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032FC" w14:textId="181D14FE" w:rsidR="000177D5" w:rsidRPr="00585B29" w:rsidRDefault="000177D5" w:rsidP="007A60F3">
      <w:pPr>
        <w:widowControl w:val="0"/>
        <w:jc w:val="center"/>
        <w:rPr>
          <w:b/>
          <w:bCs/>
          <w:color w:val="000000"/>
          <w:sz w:val="32"/>
          <w:szCs w:val="32"/>
        </w:rPr>
      </w:pPr>
      <w:r w:rsidRPr="00585B29">
        <w:rPr>
          <w:b/>
          <w:bCs/>
          <w:sz w:val="32"/>
          <w:szCs w:val="32"/>
        </w:rPr>
        <w:t>San Joaquin Valley</w:t>
      </w:r>
      <w:r w:rsidR="00585B29" w:rsidRPr="00585B29">
        <w:rPr>
          <w:b/>
          <w:bCs/>
          <w:sz w:val="32"/>
          <w:szCs w:val="32"/>
        </w:rPr>
        <w:t xml:space="preserve"> </w:t>
      </w:r>
      <w:r w:rsidRPr="00585B29">
        <w:rPr>
          <w:b/>
          <w:bCs/>
          <w:color w:val="000000"/>
          <w:sz w:val="32"/>
          <w:szCs w:val="32"/>
        </w:rPr>
        <w:t>Air Pollution Control District</w:t>
      </w:r>
    </w:p>
    <w:p w14:paraId="62F0D4DF" w14:textId="77777777" w:rsidR="000177D5" w:rsidRPr="00993B55" w:rsidRDefault="000177D5" w:rsidP="007A60F3">
      <w:pPr>
        <w:widowControl w:val="0"/>
        <w:jc w:val="center"/>
        <w:rPr>
          <w:color w:val="000000"/>
        </w:rPr>
      </w:pPr>
    </w:p>
    <w:p w14:paraId="4C235B5C" w14:textId="480913F2" w:rsidR="000177D5" w:rsidRPr="0039074E" w:rsidRDefault="00E8311D" w:rsidP="007A60F3">
      <w:pPr>
        <w:widowControl w:val="0"/>
        <w:jc w:val="center"/>
        <w:rPr>
          <w:bCs/>
          <w:sz w:val="32"/>
          <w:szCs w:val="18"/>
        </w:rPr>
      </w:pPr>
      <w:r>
        <w:rPr>
          <w:bCs/>
          <w:sz w:val="32"/>
          <w:szCs w:val="18"/>
        </w:rPr>
        <w:t xml:space="preserve">District Policy </w:t>
      </w:r>
      <w:r w:rsidR="000177D5" w:rsidRPr="0039074E">
        <w:rPr>
          <w:bCs/>
          <w:sz w:val="32"/>
          <w:szCs w:val="18"/>
        </w:rPr>
        <w:t>APR 1010</w:t>
      </w:r>
    </w:p>
    <w:p w14:paraId="0374A4ED" w14:textId="596520FF" w:rsidR="000177D5" w:rsidRPr="0039074E" w:rsidRDefault="0057580E" w:rsidP="007A60F3">
      <w:pPr>
        <w:widowControl w:val="0"/>
        <w:jc w:val="center"/>
        <w:rPr>
          <w:bCs/>
          <w:sz w:val="32"/>
          <w:szCs w:val="18"/>
        </w:rPr>
      </w:pPr>
      <w:r w:rsidRPr="0039074E">
        <w:rPr>
          <w:bCs/>
          <w:sz w:val="32"/>
          <w:szCs w:val="18"/>
        </w:rPr>
        <w:t xml:space="preserve">Authority to Construct </w:t>
      </w:r>
      <w:r w:rsidR="000177D5" w:rsidRPr="0039074E">
        <w:rPr>
          <w:bCs/>
          <w:sz w:val="32"/>
          <w:szCs w:val="18"/>
        </w:rPr>
        <w:t>Application Review Format</w:t>
      </w:r>
    </w:p>
    <w:p w14:paraId="561759F1" w14:textId="3AD3C483" w:rsidR="000177D5" w:rsidRPr="00993B55" w:rsidRDefault="000177D5" w:rsidP="007A60F3">
      <w:pPr>
        <w:widowControl w:val="0"/>
        <w:rPr>
          <w:color w:val="000000"/>
        </w:rPr>
      </w:pPr>
    </w:p>
    <w:p w14:paraId="58E24AD1" w14:textId="77777777" w:rsidR="000177D5" w:rsidRPr="00993B55" w:rsidRDefault="000177D5" w:rsidP="007A60F3">
      <w:pPr>
        <w:widowControl w:val="0"/>
        <w:rPr>
          <w:color w:val="000000"/>
        </w:rPr>
      </w:pP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9975"/>
      </w:tblGrid>
      <w:tr w:rsidR="000177D5" w:rsidRPr="00993B55" w14:paraId="6FF655A2" w14:textId="77777777" w:rsidTr="00AB1344">
        <w:trPr>
          <w:trHeight w:val="960"/>
        </w:trPr>
        <w:tc>
          <w:tcPr>
            <w:tcW w:w="9975" w:type="dxa"/>
          </w:tcPr>
          <w:p w14:paraId="7C5D0CB6" w14:textId="0A69E1DC" w:rsidR="000177D5" w:rsidRPr="00993B55" w:rsidRDefault="000177D5" w:rsidP="007A60F3">
            <w:pPr>
              <w:widowControl w:val="0"/>
              <w:rPr>
                <w:color w:val="000000"/>
                <w:szCs w:val="24"/>
              </w:rPr>
            </w:pPr>
          </w:p>
          <w:p w14:paraId="18BDABB0" w14:textId="26F3DEBB" w:rsidR="000177D5" w:rsidRPr="00993B55" w:rsidRDefault="000177D5" w:rsidP="007A60F3">
            <w:pPr>
              <w:widowControl w:val="0"/>
              <w:rPr>
                <w:color w:val="000000"/>
                <w:szCs w:val="24"/>
              </w:rPr>
            </w:pPr>
          </w:p>
          <w:p w14:paraId="3F70454C" w14:textId="641EA8D9" w:rsidR="000177D5" w:rsidRPr="00993B55" w:rsidRDefault="000177D5" w:rsidP="007A60F3">
            <w:pPr>
              <w:widowControl w:val="0"/>
              <w:tabs>
                <w:tab w:val="left" w:pos="1890"/>
                <w:tab w:val="left" w:pos="6445"/>
                <w:tab w:val="left" w:pos="7345"/>
              </w:tabs>
              <w:rPr>
                <w:color w:val="000000"/>
                <w:szCs w:val="24"/>
                <w:u w:val="single"/>
              </w:rPr>
            </w:pPr>
            <w:r w:rsidRPr="00993B55">
              <w:rPr>
                <w:color w:val="000000"/>
                <w:szCs w:val="24"/>
              </w:rPr>
              <w:t>Approved By:</w:t>
            </w:r>
            <w:r w:rsidRPr="00993B55">
              <w:rPr>
                <w:color w:val="000000"/>
                <w:szCs w:val="24"/>
              </w:rPr>
              <w:tab/>
            </w:r>
            <w:r w:rsidRPr="00993B55">
              <w:rPr>
                <w:color w:val="000000"/>
                <w:szCs w:val="24"/>
                <w:u w:val="single"/>
              </w:rPr>
              <w:t xml:space="preserve"> </w:t>
            </w:r>
            <w:r w:rsidR="003A26DA">
              <w:rPr>
                <w:color w:val="000000"/>
                <w:szCs w:val="24"/>
                <w:u w:val="single"/>
              </w:rPr>
              <w:t>Signed</w:t>
            </w:r>
            <w:r w:rsidRPr="00993B55">
              <w:rPr>
                <w:color w:val="000000"/>
                <w:szCs w:val="24"/>
                <w:u w:val="single"/>
              </w:rPr>
              <w:t xml:space="preserve">                                      </w:t>
            </w:r>
            <w:r w:rsidRPr="00993B55">
              <w:rPr>
                <w:color w:val="000000"/>
                <w:szCs w:val="24"/>
              </w:rPr>
              <w:tab/>
              <w:t xml:space="preserve">Date: </w:t>
            </w:r>
            <w:r w:rsidRPr="00993B55">
              <w:rPr>
                <w:color w:val="000000"/>
                <w:szCs w:val="24"/>
              </w:rPr>
              <w:tab/>
            </w:r>
            <w:r w:rsidR="00F837C1">
              <w:rPr>
                <w:color w:val="000000"/>
                <w:szCs w:val="24"/>
                <w:u w:val="single"/>
              </w:rPr>
              <w:t>March 27</w:t>
            </w:r>
            <w:r w:rsidR="00A300CC">
              <w:rPr>
                <w:color w:val="000000"/>
                <w:szCs w:val="24"/>
                <w:u w:val="single"/>
              </w:rPr>
              <w:t>, 202</w:t>
            </w:r>
            <w:r w:rsidR="00120FF1">
              <w:rPr>
                <w:color w:val="000000"/>
                <w:szCs w:val="24"/>
                <w:u w:val="single"/>
              </w:rPr>
              <w:t>6</w:t>
            </w:r>
          </w:p>
          <w:p w14:paraId="511F3D97" w14:textId="1223FE42" w:rsidR="000177D5" w:rsidRPr="00993B55" w:rsidRDefault="000177D5" w:rsidP="0039074E">
            <w:pPr>
              <w:widowControl w:val="0"/>
              <w:rPr>
                <w:color w:val="000000"/>
                <w:szCs w:val="24"/>
              </w:rPr>
            </w:pPr>
            <w:r w:rsidRPr="00993B55">
              <w:rPr>
                <w:color w:val="000000"/>
                <w:szCs w:val="24"/>
              </w:rPr>
              <w:t xml:space="preserve">                            </w:t>
            </w:r>
            <w:r w:rsidR="0039074E">
              <w:rPr>
                <w:color w:val="000000"/>
                <w:szCs w:val="24"/>
              </w:rPr>
              <w:t xml:space="preserve"> </w:t>
            </w:r>
            <w:r w:rsidR="00CD3563" w:rsidRPr="00993B55">
              <w:rPr>
                <w:color w:val="000000"/>
                <w:szCs w:val="24"/>
              </w:rPr>
              <w:t>Brian Clements</w:t>
            </w:r>
          </w:p>
          <w:p w14:paraId="368AA08C" w14:textId="50221E74" w:rsidR="000177D5" w:rsidRPr="00993B55" w:rsidRDefault="000177D5" w:rsidP="007A60F3">
            <w:pPr>
              <w:widowControl w:val="0"/>
              <w:tabs>
                <w:tab w:val="left" w:pos="6175"/>
                <w:tab w:val="left" w:pos="7345"/>
              </w:tabs>
              <w:rPr>
                <w:color w:val="000000"/>
                <w:szCs w:val="24"/>
              </w:rPr>
            </w:pPr>
            <w:r w:rsidRPr="00993B55">
              <w:rPr>
                <w:color w:val="000000"/>
                <w:szCs w:val="24"/>
              </w:rPr>
              <w:t xml:space="preserve">                             Director of Permit Services</w:t>
            </w:r>
            <w:r w:rsidRPr="00993B55">
              <w:rPr>
                <w:color w:val="000000"/>
                <w:szCs w:val="24"/>
              </w:rPr>
              <w:tab/>
              <w:t>Version:</w:t>
            </w:r>
            <w:r w:rsidRPr="00993B55">
              <w:rPr>
                <w:color w:val="000000"/>
                <w:szCs w:val="24"/>
              </w:rPr>
              <w:tab/>
            </w:r>
            <w:r w:rsidR="00025EE5">
              <w:rPr>
                <w:color w:val="000000"/>
                <w:szCs w:val="24"/>
                <w:u w:val="single"/>
              </w:rPr>
              <w:t>202</w:t>
            </w:r>
            <w:r w:rsidR="00120FF1">
              <w:rPr>
                <w:color w:val="000000"/>
                <w:szCs w:val="24"/>
                <w:u w:val="single"/>
              </w:rPr>
              <w:t>6</w:t>
            </w:r>
            <w:r w:rsidR="00CD3563" w:rsidRPr="00993B55">
              <w:rPr>
                <w:color w:val="000000"/>
                <w:szCs w:val="24"/>
                <w:u w:val="single"/>
              </w:rPr>
              <w:t>-</w:t>
            </w:r>
            <w:r w:rsidR="00F837C1">
              <w:rPr>
                <w:color w:val="000000"/>
                <w:szCs w:val="24"/>
                <w:u w:val="single"/>
              </w:rPr>
              <w:t>1</w:t>
            </w:r>
            <w:r w:rsidR="00D81F09">
              <w:rPr>
                <w:color w:val="000000"/>
                <w:szCs w:val="24"/>
                <w:u w:val="single"/>
              </w:rPr>
              <w:t>a</w:t>
            </w:r>
          </w:p>
          <w:p w14:paraId="7F3DFAC4" w14:textId="77777777" w:rsidR="000177D5" w:rsidRPr="00993B55" w:rsidRDefault="000177D5" w:rsidP="007A60F3">
            <w:pPr>
              <w:widowControl w:val="0"/>
              <w:rPr>
                <w:color w:val="000000"/>
                <w:szCs w:val="24"/>
              </w:rPr>
            </w:pPr>
          </w:p>
          <w:p w14:paraId="07CA1E3A" w14:textId="77777777" w:rsidR="000177D5" w:rsidRPr="00993B55" w:rsidRDefault="000177D5" w:rsidP="007A60F3">
            <w:pPr>
              <w:widowControl w:val="0"/>
              <w:rPr>
                <w:color w:val="000000"/>
                <w:sz w:val="12"/>
              </w:rPr>
            </w:pPr>
          </w:p>
        </w:tc>
      </w:tr>
    </w:tbl>
    <w:p w14:paraId="2E67A8C4" w14:textId="77777777" w:rsidR="000177D5" w:rsidRPr="00993B55" w:rsidRDefault="000177D5" w:rsidP="007A60F3">
      <w:pPr>
        <w:widowControl w:val="0"/>
        <w:rPr>
          <w:color w:val="000000"/>
        </w:rPr>
      </w:pPr>
    </w:p>
    <w:p w14:paraId="59C22E16" w14:textId="77777777" w:rsidR="000177D5" w:rsidRPr="00993B55" w:rsidRDefault="000177D5" w:rsidP="007A60F3">
      <w:pPr>
        <w:widowControl w:val="0"/>
        <w:rPr>
          <w:color w:val="000000"/>
        </w:rPr>
      </w:pPr>
    </w:p>
    <w:p w14:paraId="096ED564" w14:textId="1ABB66C2" w:rsidR="000177D5" w:rsidRPr="00993B55" w:rsidRDefault="0093445D" w:rsidP="0047159E">
      <w:pPr>
        <w:widowControl w:val="0"/>
        <w:rPr>
          <w:color w:val="000000"/>
        </w:rPr>
      </w:pPr>
      <w:r>
        <w:rPr>
          <w:color w:val="000000"/>
        </w:rPr>
        <w:t xml:space="preserve">The purpose of this policy is to provide a guide for a standardized application review for any Authority to Construct </w:t>
      </w:r>
      <w:r w:rsidR="00EB05E6">
        <w:rPr>
          <w:color w:val="000000"/>
        </w:rPr>
        <w:t xml:space="preserve">(ATC) </w:t>
      </w:r>
      <w:r>
        <w:rPr>
          <w:color w:val="000000"/>
        </w:rPr>
        <w:t>permitting project deemed complete as of the date identified above, in a format consistent with District Rule 2201 (New and Modified Stationary Source Review Rule).</w:t>
      </w:r>
    </w:p>
    <w:p w14:paraId="7BFD172B" w14:textId="77777777" w:rsidR="000177D5" w:rsidRPr="00993B55" w:rsidRDefault="000177D5" w:rsidP="0047159E">
      <w:pPr>
        <w:widowControl w:val="0"/>
        <w:rPr>
          <w:color w:val="000000"/>
        </w:rPr>
      </w:pPr>
    </w:p>
    <w:p w14:paraId="376ED584" w14:textId="77777777" w:rsidR="000177D5" w:rsidRPr="00993B55" w:rsidRDefault="000177D5" w:rsidP="0047159E">
      <w:pPr>
        <w:widowControl w:val="0"/>
        <w:rPr>
          <w:color w:val="000000"/>
        </w:rPr>
      </w:pPr>
      <w:r w:rsidRPr="00993B55">
        <w:rPr>
          <w:color w:val="000000"/>
        </w:rPr>
        <w:t>This document illustrates the components necessary for a complete and well written engineering evaluation.  The elements have been arranged in a logical order that:</w:t>
      </w:r>
    </w:p>
    <w:p w14:paraId="3201FD66" w14:textId="77777777" w:rsidR="000177D5" w:rsidRPr="00993B55" w:rsidRDefault="000177D5" w:rsidP="0047159E">
      <w:pPr>
        <w:widowControl w:val="0"/>
        <w:rPr>
          <w:color w:val="000000"/>
        </w:rPr>
      </w:pPr>
    </w:p>
    <w:p w14:paraId="0A91C262" w14:textId="77777777" w:rsidR="000B4B59" w:rsidRDefault="000B4B59" w:rsidP="0047159E">
      <w:pPr>
        <w:widowControl w:val="0"/>
        <w:numPr>
          <w:ilvl w:val="0"/>
          <w:numId w:val="1"/>
        </w:numPr>
        <w:rPr>
          <w:color w:val="000000"/>
        </w:rPr>
      </w:pPr>
      <w:r>
        <w:rPr>
          <w:color w:val="000000"/>
        </w:rPr>
        <w:t>groups related topics together,</w:t>
      </w:r>
    </w:p>
    <w:p w14:paraId="14DAD25E" w14:textId="77777777" w:rsidR="000B4B59" w:rsidRDefault="000B4B59" w:rsidP="0047159E">
      <w:pPr>
        <w:widowControl w:val="0"/>
        <w:numPr>
          <w:ilvl w:val="0"/>
          <w:numId w:val="1"/>
        </w:numPr>
        <w:rPr>
          <w:color w:val="000000"/>
        </w:rPr>
      </w:pPr>
      <w:r>
        <w:rPr>
          <w:color w:val="000000"/>
        </w:rPr>
        <w:t>presents calculations in a logical order,</w:t>
      </w:r>
    </w:p>
    <w:p w14:paraId="29C50C6F" w14:textId="77777777" w:rsidR="000B4B59" w:rsidRDefault="000B4B59" w:rsidP="0047159E">
      <w:pPr>
        <w:widowControl w:val="0"/>
        <w:numPr>
          <w:ilvl w:val="0"/>
          <w:numId w:val="1"/>
        </w:numPr>
        <w:rPr>
          <w:color w:val="000000"/>
        </w:rPr>
      </w:pPr>
      <w:r>
        <w:rPr>
          <w:color w:val="000000"/>
        </w:rPr>
        <w:t xml:space="preserve">eliminates forward references, </w:t>
      </w:r>
    </w:p>
    <w:p w14:paraId="077ABF37" w14:textId="77777777" w:rsidR="000B4B59" w:rsidRDefault="000B4B59" w:rsidP="0047159E">
      <w:pPr>
        <w:widowControl w:val="0"/>
        <w:numPr>
          <w:ilvl w:val="0"/>
          <w:numId w:val="1"/>
        </w:numPr>
        <w:rPr>
          <w:color w:val="000000"/>
        </w:rPr>
      </w:pPr>
      <w:r>
        <w:rPr>
          <w:color w:val="000000"/>
        </w:rPr>
        <w:t>demonstrates that the proposal complies with applicable District Rules,</w:t>
      </w:r>
    </w:p>
    <w:p w14:paraId="0B066000" w14:textId="77777777" w:rsidR="000B4B59" w:rsidRDefault="000B4B59" w:rsidP="0047159E">
      <w:pPr>
        <w:widowControl w:val="0"/>
        <w:numPr>
          <w:ilvl w:val="0"/>
          <w:numId w:val="1"/>
        </w:numPr>
        <w:rPr>
          <w:color w:val="000000"/>
        </w:rPr>
      </w:pPr>
      <w:r>
        <w:rPr>
          <w:color w:val="000000"/>
        </w:rPr>
        <w:t>addresses the latest revisions to District Rule 2201, and</w:t>
      </w:r>
    </w:p>
    <w:p w14:paraId="0E9D8A43" w14:textId="63F3C668" w:rsidR="000B4B59" w:rsidRPr="00573184" w:rsidRDefault="000B4B59" w:rsidP="0047159E">
      <w:pPr>
        <w:widowControl w:val="0"/>
        <w:numPr>
          <w:ilvl w:val="0"/>
          <w:numId w:val="1"/>
        </w:numPr>
        <w:rPr>
          <w:color w:val="000000"/>
        </w:rPr>
      </w:pPr>
      <w:r w:rsidRPr="00573184">
        <w:rPr>
          <w:color w:val="000000"/>
        </w:rPr>
        <w:t xml:space="preserve">demonstrates that the proposal complies with </w:t>
      </w:r>
      <w:r>
        <w:rPr>
          <w:color w:val="000000"/>
        </w:rPr>
        <w:t>applicable</w:t>
      </w:r>
      <w:r w:rsidR="00EB05E6">
        <w:rPr>
          <w:color w:val="000000"/>
        </w:rPr>
        <w:t xml:space="preserve"> local,</w:t>
      </w:r>
      <w:r>
        <w:rPr>
          <w:color w:val="000000"/>
        </w:rPr>
        <w:t xml:space="preserve"> </w:t>
      </w:r>
      <w:r w:rsidRPr="00573184">
        <w:rPr>
          <w:color w:val="000000"/>
        </w:rPr>
        <w:t>state</w:t>
      </w:r>
      <w:r w:rsidR="00EB05E6">
        <w:rPr>
          <w:color w:val="000000"/>
        </w:rPr>
        <w:t>,</w:t>
      </w:r>
      <w:r w:rsidRPr="00573184">
        <w:rPr>
          <w:color w:val="000000"/>
        </w:rPr>
        <w:t xml:space="preserve"> and federal rules</w:t>
      </w:r>
      <w:r>
        <w:rPr>
          <w:color w:val="000000"/>
        </w:rPr>
        <w:t>.</w:t>
      </w:r>
    </w:p>
    <w:p w14:paraId="49EB32F3" w14:textId="77777777" w:rsidR="000177D5" w:rsidRPr="00993B55" w:rsidRDefault="000177D5" w:rsidP="0047159E">
      <w:pPr>
        <w:widowControl w:val="0"/>
        <w:rPr>
          <w:color w:val="000000"/>
        </w:rPr>
      </w:pPr>
    </w:p>
    <w:p w14:paraId="5F0E6A98" w14:textId="77777777" w:rsidR="000177D5" w:rsidRPr="00993B55" w:rsidRDefault="000177D5" w:rsidP="0047159E">
      <w:pPr>
        <w:widowControl w:val="0"/>
        <w:rPr>
          <w:color w:val="000000"/>
        </w:rPr>
      </w:pPr>
      <w:r w:rsidRPr="00993B55">
        <w:rPr>
          <w:color w:val="000000"/>
        </w:rPr>
        <w:t>The main sections and subsections include subject headings, written explanations, example statements, example calculations, and tables, as appropriate, that each clarify the intent of the section in which they appear.  While most evaluations will include all of the main sections represented, all evaluations must be custom tailored to include the appropriate subsections, equations, tables and Rule discussions as identified on a case-by-case basis.  The tables, equations and many of the discussions have been designed to, and can be copied, modified as appropriate, and used in actual evaluations.  Further, minor application review formatting may be adjusted to individual style as long as the entire application review follows that style consistently.</w:t>
      </w:r>
    </w:p>
    <w:p w14:paraId="471C2CA6" w14:textId="77777777" w:rsidR="000177D5" w:rsidRPr="00993B55" w:rsidRDefault="000177D5" w:rsidP="0047159E">
      <w:pPr>
        <w:widowControl w:val="0"/>
        <w:rPr>
          <w:color w:val="000000"/>
        </w:rPr>
      </w:pPr>
    </w:p>
    <w:p w14:paraId="1EE9B792" w14:textId="674D9BF0" w:rsidR="000177D5" w:rsidRPr="00993B55" w:rsidRDefault="000177D5" w:rsidP="0047159E">
      <w:pPr>
        <w:widowControl w:val="0"/>
        <w:rPr>
          <w:color w:val="000000"/>
        </w:rPr>
      </w:pPr>
      <w:r w:rsidRPr="00993B55">
        <w:rPr>
          <w:color w:val="000000"/>
        </w:rPr>
        <w:t>As part of streamlining for expedited review, those approved specific application review templates must be used.</w:t>
      </w:r>
    </w:p>
    <w:p w14:paraId="073418A9" w14:textId="26DF8F19" w:rsidR="000177D5" w:rsidRDefault="000177D5" w:rsidP="0047159E">
      <w:pPr>
        <w:widowControl w:val="0"/>
        <w:rPr>
          <w:color w:val="000000"/>
        </w:rPr>
      </w:pPr>
    </w:p>
    <w:p w14:paraId="285ABFFF" w14:textId="6A97596A" w:rsidR="000C408E" w:rsidRPr="000C408E" w:rsidRDefault="000C408E" w:rsidP="0047159E">
      <w:pPr>
        <w:widowControl w:val="0"/>
      </w:pPr>
      <w:r w:rsidRPr="000C408E">
        <w:t xml:space="preserve">***The final version of </w:t>
      </w:r>
      <w:r>
        <w:t>the application review document</w:t>
      </w:r>
      <w:r w:rsidRPr="000C408E">
        <w:t xml:space="preserve"> should be formatted in all black font.***</w:t>
      </w:r>
    </w:p>
    <w:p w14:paraId="3C84640B" w14:textId="77777777" w:rsidR="000C408E" w:rsidRPr="000C408E" w:rsidRDefault="000C408E" w:rsidP="0047159E">
      <w:pPr>
        <w:widowControl w:val="0"/>
      </w:pPr>
    </w:p>
    <w:p w14:paraId="3776C153" w14:textId="77777777" w:rsidR="00C4299A" w:rsidRDefault="000C408E" w:rsidP="00EB05E6">
      <w:pPr>
        <w:widowControl w:val="0"/>
        <w:sectPr w:rsidR="00C4299A" w:rsidSect="00337B2C">
          <w:headerReference w:type="default" r:id="rId8"/>
          <w:footerReference w:type="default" r:id="rId9"/>
          <w:headerReference w:type="first" r:id="rId10"/>
          <w:footerReference w:type="first" r:id="rId11"/>
          <w:type w:val="continuous"/>
          <w:pgSz w:w="12240" w:h="15840" w:code="1"/>
          <w:pgMar w:top="1296" w:right="1080" w:bottom="907" w:left="1080" w:header="432" w:footer="619" w:gutter="0"/>
          <w:pgNumType w:start="1"/>
          <w:cols w:space="720"/>
          <w:docGrid w:linePitch="326"/>
        </w:sectPr>
      </w:pPr>
      <w:r w:rsidRPr="000C408E">
        <w:t xml:space="preserve">***Upon finalization of </w:t>
      </w:r>
      <w:r w:rsidR="0081764F">
        <w:t>an ATC</w:t>
      </w:r>
      <w:r w:rsidRPr="000C408E">
        <w:t xml:space="preserve"> project, </w:t>
      </w:r>
      <w:r w:rsidR="0081764F">
        <w:t>a</w:t>
      </w:r>
      <w:r w:rsidRPr="000C408E">
        <w:t xml:space="preserve"> final version </w:t>
      </w:r>
      <w:r w:rsidR="006F55B9">
        <w:t xml:space="preserve">of the application review document </w:t>
      </w:r>
      <w:r w:rsidRPr="000C408E">
        <w:t>shall be included in the project file that includes ALL attachments in a single PDF.***</w:t>
      </w:r>
    </w:p>
    <w:p w14:paraId="2233A62D" w14:textId="77777777" w:rsidR="000177D5" w:rsidRPr="00993B55" w:rsidRDefault="000177D5" w:rsidP="007A60F3">
      <w:pPr>
        <w:widowControl w:val="0"/>
        <w:jc w:val="center"/>
        <w:rPr>
          <w:color w:val="000000"/>
          <w:sz w:val="32"/>
        </w:rPr>
      </w:pPr>
      <w:r w:rsidRPr="00993B55">
        <w:rPr>
          <w:color w:val="000000"/>
          <w:sz w:val="32"/>
        </w:rPr>
        <w:lastRenderedPageBreak/>
        <w:t>APR 1010 Change Log</w:t>
      </w:r>
    </w:p>
    <w:p w14:paraId="327AE1FE" w14:textId="77777777" w:rsidR="000177D5" w:rsidRPr="00993B55" w:rsidRDefault="000177D5" w:rsidP="007A60F3">
      <w:pPr>
        <w:widowControl w:val="0"/>
        <w:rPr>
          <w:color w:val="000000"/>
        </w:rPr>
      </w:pPr>
    </w:p>
    <w:tbl>
      <w:tblPr>
        <w:tblStyle w:val="TableGrid"/>
        <w:tblpPr w:leftFromText="180" w:rightFromText="180" w:vertAnchor="text" w:horzAnchor="margin" w:tblpX="-545" w:tblpY="93"/>
        <w:tblW w:w="11245" w:type="dxa"/>
        <w:tblLook w:val="04A0" w:firstRow="1" w:lastRow="0" w:firstColumn="1" w:lastColumn="0" w:noHBand="0" w:noVBand="1"/>
      </w:tblPr>
      <w:tblGrid>
        <w:gridCol w:w="1885"/>
        <w:gridCol w:w="2160"/>
        <w:gridCol w:w="7200"/>
      </w:tblGrid>
      <w:tr w:rsidR="000177D5" w:rsidRPr="00993B55" w14:paraId="2CC87F7E" w14:textId="77777777" w:rsidTr="00DC39E3">
        <w:trPr>
          <w:trHeight w:val="1434"/>
        </w:trPr>
        <w:tc>
          <w:tcPr>
            <w:tcW w:w="1885" w:type="dxa"/>
            <w:vAlign w:val="center"/>
          </w:tcPr>
          <w:p w14:paraId="2F3C985A" w14:textId="77777777" w:rsidR="000177D5" w:rsidRPr="00993B55" w:rsidRDefault="000177D5" w:rsidP="007A60F3">
            <w:pPr>
              <w:widowControl w:val="0"/>
              <w:jc w:val="left"/>
              <w:rPr>
                <w:color w:val="000000"/>
                <w:sz w:val="22"/>
                <w:szCs w:val="22"/>
              </w:rPr>
            </w:pPr>
            <w:r w:rsidRPr="00993B55">
              <w:rPr>
                <w:color w:val="000000"/>
                <w:sz w:val="22"/>
                <w:szCs w:val="22"/>
              </w:rPr>
              <w:t>Version 2020-1</w:t>
            </w:r>
          </w:p>
        </w:tc>
        <w:tc>
          <w:tcPr>
            <w:tcW w:w="2160" w:type="dxa"/>
            <w:vAlign w:val="center"/>
          </w:tcPr>
          <w:p w14:paraId="42AD8EAF" w14:textId="77777777" w:rsidR="000177D5" w:rsidRPr="00993B55" w:rsidRDefault="000177D5" w:rsidP="007A60F3">
            <w:pPr>
              <w:widowControl w:val="0"/>
              <w:jc w:val="left"/>
              <w:rPr>
                <w:color w:val="000000"/>
                <w:sz w:val="22"/>
                <w:szCs w:val="22"/>
              </w:rPr>
            </w:pPr>
            <w:r w:rsidRPr="00993B55">
              <w:rPr>
                <w:color w:val="000000"/>
                <w:sz w:val="22"/>
                <w:szCs w:val="22"/>
              </w:rPr>
              <w:t>October 01, 2020</w:t>
            </w:r>
          </w:p>
        </w:tc>
        <w:tc>
          <w:tcPr>
            <w:tcW w:w="7200" w:type="dxa"/>
            <w:vAlign w:val="center"/>
          </w:tcPr>
          <w:p w14:paraId="1747AF2F" w14:textId="77777777" w:rsidR="000177D5" w:rsidRPr="00993B55" w:rsidRDefault="000177D5" w:rsidP="007A60F3">
            <w:pPr>
              <w:pStyle w:val="ListParagraph"/>
              <w:widowControl w:val="0"/>
              <w:numPr>
                <w:ilvl w:val="0"/>
                <w:numId w:val="42"/>
              </w:numPr>
              <w:ind w:left="435"/>
              <w:jc w:val="left"/>
              <w:rPr>
                <w:color w:val="000000"/>
                <w:sz w:val="22"/>
                <w:szCs w:val="22"/>
              </w:rPr>
            </w:pPr>
            <w:r w:rsidRPr="00993B55">
              <w:rPr>
                <w:color w:val="000000"/>
                <w:sz w:val="22"/>
                <w:szCs w:val="22"/>
              </w:rPr>
              <w:t>Change Federal Major Mod Section</w:t>
            </w:r>
          </w:p>
          <w:p w14:paraId="34186F39" w14:textId="77777777" w:rsidR="000177D5" w:rsidRPr="00993B55" w:rsidRDefault="000177D5" w:rsidP="007A60F3">
            <w:pPr>
              <w:pStyle w:val="ListParagraph"/>
              <w:widowControl w:val="0"/>
              <w:numPr>
                <w:ilvl w:val="1"/>
                <w:numId w:val="42"/>
              </w:numPr>
              <w:jc w:val="left"/>
              <w:rPr>
                <w:color w:val="000000"/>
                <w:sz w:val="22"/>
                <w:szCs w:val="22"/>
              </w:rPr>
            </w:pPr>
            <w:r w:rsidRPr="00993B55">
              <w:rPr>
                <w:color w:val="000000"/>
                <w:sz w:val="22"/>
                <w:szCs w:val="22"/>
              </w:rPr>
              <w:t>Add discussion regarding BAE, AE, FOQ</w:t>
            </w:r>
          </w:p>
          <w:p w14:paraId="286FACAF" w14:textId="77777777" w:rsidR="000177D5" w:rsidRPr="00993B55" w:rsidRDefault="000177D5" w:rsidP="007A60F3">
            <w:pPr>
              <w:pStyle w:val="ListParagraph"/>
              <w:widowControl w:val="0"/>
              <w:numPr>
                <w:ilvl w:val="0"/>
                <w:numId w:val="42"/>
              </w:numPr>
              <w:ind w:left="435"/>
              <w:jc w:val="left"/>
              <w:rPr>
                <w:color w:val="000000"/>
                <w:sz w:val="22"/>
                <w:szCs w:val="22"/>
              </w:rPr>
            </w:pPr>
            <w:r w:rsidRPr="00993B55">
              <w:rPr>
                <w:color w:val="000000"/>
                <w:sz w:val="22"/>
                <w:szCs w:val="22"/>
              </w:rPr>
              <w:t>Add new discussion of New Major Source</w:t>
            </w:r>
          </w:p>
          <w:p w14:paraId="5F407A48" w14:textId="77777777" w:rsidR="000177D5" w:rsidRPr="00993B55" w:rsidRDefault="000177D5" w:rsidP="007A60F3">
            <w:pPr>
              <w:pStyle w:val="ListParagraph"/>
              <w:widowControl w:val="0"/>
              <w:numPr>
                <w:ilvl w:val="0"/>
                <w:numId w:val="42"/>
              </w:numPr>
              <w:ind w:left="435"/>
              <w:jc w:val="left"/>
              <w:rPr>
                <w:color w:val="000000"/>
                <w:sz w:val="22"/>
                <w:szCs w:val="22"/>
              </w:rPr>
            </w:pPr>
            <w:r w:rsidRPr="00993B55">
              <w:rPr>
                <w:color w:val="000000"/>
                <w:sz w:val="22"/>
                <w:szCs w:val="22"/>
              </w:rPr>
              <w:t>Add new section under District Offset calculation:</w:t>
            </w:r>
          </w:p>
          <w:p w14:paraId="61EBC3EE" w14:textId="215920E7" w:rsidR="000177D5" w:rsidRPr="00272034" w:rsidRDefault="000177D5" w:rsidP="007A60F3">
            <w:pPr>
              <w:pStyle w:val="ListParagraph"/>
              <w:widowControl w:val="0"/>
              <w:numPr>
                <w:ilvl w:val="1"/>
                <w:numId w:val="42"/>
              </w:numPr>
              <w:jc w:val="left"/>
              <w:rPr>
                <w:color w:val="000000"/>
                <w:sz w:val="22"/>
                <w:szCs w:val="22"/>
              </w:rPr>
            </w:pPr>
            <w:r w:rsidRPr="00993B55">
              <w:rPr>
                <w:sz w:val="22"/>
                <w:szCs w:val="22"/>
              </w:rPr>
              <w:t>NOx and VOC Surplus at The Time of Use</w:t>
            </w:r>
          </w:p>
        </w:tc>
      </w:tr>
      <w:tr w:rsidR="000177D5" w:rsidRPr="00993B55" w14:paraId="749FAF94" w14:textId="77777777" w:rsidTr="00DC39E3">
        <w:trPr>
          <w:trHeight w:val="894"/>
        </w:trPr>
        <w:tc>
          <w:tcPr>
            <w:tcW w:w="1885" w:type="dxa"/>
            <w:vAlign w:val="center"/>
          </w:tcPr>
          <w:p w14:paraId="22CFCC2F" w14:textId="77777777" w:rsidR="000177D5" w:rsidRPr="00993B55" w:rsidRDefault="000177D5" w:rsidP="007A60F3">
            <w:pPr>
              <w:widowControl w:val="0"/>
              <w:jc w:val="left"/>
              <w:rPr>
                <w:color w:val="000000"/>
                <w:sz w:val="22"/>
                <w:szCs w:val="22"/>
              </w:rPr>
            </w:pPr>
            <w:r w:rsidRPr="00993B55">
              <w:rPr>
                <w:color w:val="000000"/>
                <w:sz w:val="22"/>
                <w:szCs w:val="22"/>
              </w:rPr>
              <w:t>Version 2020-2</w:t>
            </w:r>
          </w:p>
        </w:tc>
        <w:tc>
          <w:tcPr>
            <w:tcW w:w="2160" w:type="dxa"/>
            <w:vAlign w:val="center"/>
          </w:tcPr>
          <w:p w14:paraId="18D8DE86" w14:textId="77777777" w:rsidR="000177D5" w:rsidRPr="00993B55" w:rsidRDefault="000177D5" w:rsidP="007A60F3">
            <w:pPr>
              <w:widowControl w:val="0"/>
              <w:jc w:val="left"/>
              <w:rPr>
                <w:color w:val="000000"/>
                <w:sz w:val="22"/>
                <w:szCs w:val="22"/>
              </w:rPr>
            </w:pPr>
            <w:r w:rsidRPr="00993B55">
              <w:rPr>
                <w:color w:val="000000"/>
                <w:sz w:val="22"/>
                <w:szCs w:val="22"/>
              </w:rPr>
              <w:t>November 01, 2020</w:t>
            </w:r>
          </w:p>
        </w:tc>
        <w:tc>
          <w:tcPr>
            <w:tcW w:w="7200" w:type="dxa"/>
            <w:vAlign w:val="center"/>
          </w:tcPr>
          <w:p w14:paraId="52DD7E0A" w14:textId="77777777" w:rsidR="000177D5" w:rsidRPr="00993B55" w:rsidRDefault="000177D5" w:rsidP="007A60F3">
            <w:pPr>
              <w:pStyle w:val="ListParagraph"/>
              <w:widowControl w:val="0"/>
              <w:numPr>
                <w:ilvl w:val="0"/>
                <w:numId w:val="42"/>
              </w:numPr>
              <w:ind w:left="435"/>
              <w:jc w:val="left"/>
              <w:rPr>
                <w:color w:val="000000"/>
                <w:sz w:val="22"/>
                <w:szCs w:val="22"/>
              </w:rPr>
            </w:pPr>
            <w:r w:rsidRPr="00993B55">
              <w:rPr>
                <w:color w:val="000000"/>
                <w:sz w:val="22"/>
                <w:szCs w:val="22"/>
              </w:rPr>
              <w:t>Change Federal Major Mod Section</w:t>
            </w:r>
          </w:p>
          <w:p w14:paraId="16392ACA" w14:textId="77777777" w:rsidR="000177D5" w:rsidRPr="00993B55" w:rsidRDefault="000177D5" w:rsidP="007A60F3">
            <w:pPr>
              <w:pStyle w:val="ListParagraph"/>
              <w:widowControl w:val="0"/>
              <w:numPr>
                <w:ilvl w:val="1"/>
                <w:numId w:val="42"/>
              </w:numPr>
              <w:jc w:val="left"/>
              <w:rPr>
                <w:color w:val="000000"/>
                <w:sz w:val="22"/>
                <w:szCs w:val="22"/>
              </w:rPr>
            </w:pPr>
            <w:r w:rsidRPr="00993B55">
              <w:rPr>
                <w:color w:val="000000"/>
                <w:sz w:val="22"/>
                <w:szCs w:val="22"/>
              </w:rPr>
              <w:t>Add SLC discussion</w:t>
            </w:r>
          </w:p>
          <w:p w14:paraId="58BA0D5E" w14:textId="38B99CDB" w:rsidR="000177D5" w:rsidRPr="00272034" w:rsidRDefault="000177D5" w:rsidP="007A60F3">
            <w:pPr>
              <w:pStyle w:val="ListParagraph"/>
              <w:widowControl w:val="0"/>
              <w:numPr>
                <w:ilvl w:val="0"/>
                <w:numId w:val="42"/>
              </w:numPr>
              <w:ind w:left="430"/>
              <w:jc w:val="left"/>
              <w:rPr>
                <w:color w:val="000000"/>
                <w:sz w:val="22"/>
                <w:szCs w:val="22"/>
              </w:rPr>
            </w:pPr>
            <w:r w:rsidRPr="00993B55">
              <w:rPr>
                <w:color w:val="000000"/>
                <w:sz w:val="22"/>
                <w:szCs w:val="22"/>
              </w:rPr>
              <w:t>Revised examples in the Offset Calculation section</w:t>
            </w:r>
          </w:p>
        </w:tc>
      </w:tr>
      <w:tr w:rsidR="000177D5" w:rsidRPr="00993B55" w14:paraId="0C8CD549" w14:textId="77777777" w:rsidTr="00DC39E3">
        <w:trPr>
          <w:trHeight w:val="876"/>
        </w:trPr>
        <w:tc>
          <w:tcPr>
            <w:tcW w:w="1885" w:type="dxa"/>
            <w:vAlign w:val="center"/>
          </w:tcPr>
          <w:p w14:paraId="2D1FB834" w14:textId="77777777" w:rsidR="000177D5" w:rsidRPr="00993B55" w:rsidRDefault="000177D5" w:rsidP="007A60F3">
            <w:pPr>
              <w:widowControl w:val="0"/>
              <w:jc w:val="left"/>
              <w:rPr>
                <w:color w:val="000000"/>
                <w:sz w:val="22"/>
                <w:szCs w:val="22"/>
              </w:rPr>
            </w:pPr>
            <w:r w:rsidRPr="00993B55">
              <w:rPr>
                <w:color w:val="000000"/>
                <w:sz w:val="22"/>
                <w:szCs w:val="22"/>
              </w:rPr>
              <w:t>Version 2020-3</w:t>
            </w:r>
          </w:p>
        </w:tc>
        <w:tc>
          <w:tcPr>
            <w:tcW w:w="2160" w:type="dxa"/>
            <w:vAlign w:val="center"/>
          </w:tcPr>
          <w:p w14:paraId="34EA6B0C" w14:textId="77777777" w:rsidR="000177D5" w:rsidRPr="00993B55" w:rsidRDefault="000177D5" w:rsidP="007A60F3">
            <w:pPr>
              <w:widowControl w:val="0"/>
              <w:jc w:val="left"/>
              <w:rPr>
                <w:color w:val="000000"/>
                <w:sz w:val="22"/>
                <w:szCs w:val="22"/>
              </w:rPr>
            </w:pPr>
            <w:r w:rsidRPr="00993B55">
              <w:rPr>
                <w:color w:val="000000"/>
                <w:sz w:val="22"/>
                <w:szCs w:val="22"/>
              </w:rPr>
              <w:t>December 07, 2020</w:t>
            </w:r>
          </w:p>
        </w:tc>
        <w:tc>
          <w:tcPr>
            <w:tcW w:w="7200" w:type="dxa"/>
            <w:vAlign w:val="center"/>
          </w:tcPr>
          <w:p w14:paraId="20198221" w14:textId="77777777" w:rsidR="000177D5" w:rsidRPr="00993B55" w:rsidRDefault="000177D5" w:rsidP="007A60F3">
            <w:pPr>
              <w:pStyle w:val="ListParagraph"/>
              <w:widowControl w:val="0"/>
              <w:numPr>
                <w:ilvl w:val="0"/>
                <w:numId w:val="42"/>
              </w:numPr>
              <w:ind w:left="435"/>
              <w:jc w:val="left"/>
              <w:rPr>
                <w:color w:val="000000"/>
                <w:sz w:val="22"/>
                <w:szCs w:val="22"/>
              </w:rPr>
            </w:pPr>
            <w:r w:rsidRPr="00993B55">
              <w:rPr>
                <w:color w:val="000000"/>
                <w:sz w:val="22"/>
                <w:szCs w:val="22"/>
              </w:rPr>
              <w:t>Add comments regarding Fugitive Emissions for Major Mod Calculation purposes</w:t>
            </w:r>
          </w:p>
          <w:p w14:paraId="17FAD367" w14:textId="1981D8E4" w:rsidR="000177D5" w:rsidRPr="00272034" w:rsidRDefault="000177D5" w:rsidP="007A60F3">
            <w:pPr>
              <w:pStyle w:val="ListParagraph"/>
              <w:widowControl w:val="0"/>
              <w:numPr>
                <w:ilvl w:val="0"/>
                <w:numId w:val="42"/>
              </w:numPr>
              <w:ind w:left="430"/>
              <w:jc w:val="left"/>
              <w:rPr>
                <w:color w:val="000000"/>
                <w:sz w:val="22"/>
                <w:szCs w:val="22"/>
              </w:rPr>
            </w:pPr>
            <w:r w:rsidRPr="00993B55">
              <w:rPr>
                <w:color w:val="000000"/>
                <w:sz w:val="22"/>
                <w:szCs w:val="22"/>
              </w:rPr>
              <w:t>Revise offset discussion NSR vs Federal requirements</w:t>
            </w:r>
          </w:p>
        </w:tc>
      </w:tr>
      <w:tr w:rsidR="000177D5" w:rsidRPr="00993B55" w14:paraId="04991482" w14:textId="77777777" w:rsidTr="00DC39E3">
        <w:trPr>
          <w:trHeight w:val="1407"/>
        </w:trPr>
        <w:tc>
          <w:tcPr>
            <w:tcW w:w="1885" w:type="dxa"/>
            <w:vAlign w:val="center"/>
          </w:tcPr>
          <w:p w14:paraId="11DF1435" w14:textId="77777777" w:rsidR="000177D5" w:rsidRPr="00993B55" w:rsidRDefault="000177D5" w:rsidP="007A60F3">
            <w:pPr>
              <w:widowControl w:val="0"/>
              <w:jc w:val="left"/>
              <w:rPr>
                <w:color w:val="000000"/>
                <w:sz w:val="22"/>
                <w:szCs w:val="22"/>
              </w:rPr>
            </w:pPr>
            <w:r w:rsidRPr="00993B55">
              <w:rPr>
                <w:color w:val="000000"/>
                <w:sz w:val="22"/>
                <w:szCs w:val="22"/>
              </w:rPr>
              <w:t>Version 2021-4</w:t>
            </w:r>
          </w:p>
        </w:tc>
        <w:tc>
          <w:tcPr>
            <w:tcW w:w="2160" w:type="dxa"/>
            <w:vAlign w:val="center"/>
          </w:tcPr>
          <w:p w14:paraId="3617020E" w14:textId="155B54C4" w:rsidR="000177D5" w:rsidRPr="00993B55" w:rsidRDefault="000177D5" w:rsidP="007A60F3">
            <w:pPr>
              <w:widowControl w:val="0"/>
              <w:jc w:val="left"/>
              <w:rPr>
                <w:color w:val="000000"/>
                <w:sz w:val="22"/>
                <w:szCs w:val="22"/>
              </w:rPr>
            </w:pPr>
            <w:r w:rsidRPr="00993B55">
              <w:rPr>
                <w:color w:val="000000"/>
                <w:sz w:val="22"/>
                <w:szCs w:val="22"/>
              </w:rPr>
              <w:t>January 05, 202</w:t>
            </w:r>
            <w:r w:rsidR="00CD3563" w:rsidRPr="00993B55">
              <w:rPr>
                <w:color w:val="000000"/>
                <w:sz w:val="22"/>
                <w:szCs w:val="22"/>
              </w:rPr>
              <w:t>1</w:t>
            </w:r>
          </w:p>
        </w:tc>
        <w:tc>
          <w:tcPr>
            <w:tcW w:w="7200" w:type="dxa"/>
            <w:vAlign w:val="center"/>
          </w:tcPr>
          <w:p w14:paraId="2BB6B3E5" w14:textId="77777777" w:rsidR="000177D5" w:rsidRPr="00993B55" w:rsidRDefault="000177D5" w:rsidP="007A60F3">
            <w:pPr>
              <w:pStyle w:val="ListParagraph"/>
              <w:widowControl w:val="0"/>
              <w:numPr>
                <w:ilvl w:val="0"/>
                <w:numId w:val="42"/>
              </w:numPr>
              <w:ind w:left="430"/>
              <w:jc w:val="left"/>
              <w:rPr>
                <w:color w:val="000000"/>
                <w:sz w:val="22"/>
                <w:szCs w:val="22"/>
              </w:rPr>
            </w:pPr>
            <w:r w:rsidRPr="00993B55">
              <w:rPr>
                <w:color w:val="000000"/>
                <w:sz w:val="22"/>
                <w:szCs w:val="22"/>
              </w:rPr>
              <w:t>Added further discussion on FMM and NMS section</w:t>
            </w:r>
          </w:p>
          <w:p w14:paraId="1B2025BF" w14:textId="77777777" w:rsidR="000177D5" w:rsidRPr="00993B55" w:rsidRDefault="000177D5" w:rsidP="007A60F3">
            <w:pPr>
              <w:pStyle w:val="ListParagraph"/>
              <w:widowControl w:val="0"/>
              <w:numPr>
                <w:ilvl w:val="0"/>
                <w:numId w:val="42"/>
              </w:numPr>
              <w:ind w:left="435"/>
              <w:jc w:val="left"/>
              <w:rPr>
                <w:color w:val="000000"/>
                <w:sz w:val="22"/>
                <w:szCs w:val="22"/>
              </w:rPr>
            </w:pPr>
            <w:r w:rsidRPr="00993B55">
              <w:rPr>
                <w:color w:val="000000"/>
                <w:sz w:val="22"/>
                <w:szCs w:val="22"/>
              </w:rPr>
              <w:t>Adjusted FMM section to address fugitive emissions: in discussion with EPA – Talk to manager and director</w:t>
            </w:r>
          </w:p>
          <w:p w14:paraId="3DE7E716" w14:textId="63A3E3CB" w:rsidR="000177D5" w:rsidRPr="00272034" w:rsidRDefault="000177D5" w:rsidP="007A60F3">
            <w:pPr>
              <w:pStyle w:val="ListParagraph"/>
              <w:widowControl w:val="0"/>
              <w:numPr>
                <w:ilvl w:val="0"/>
                <w:numId w:val="42"/>
              </w:numPr>
              <w:ind w:left="435"/>
              <w:jc w:val="left"/>
              <w:rPr>
                <w:color w:val="000000"/>
                <w:sz w:val="22"/>
                <w:szCs w:val="22"/>
              </w:rPr>
            </w:pPr>
            <w:r w:rsidRPr="00993B55">
              <w:rPr>
                <w:color w:val="000000"/>
                <w:sz w:val="22"/>
                <w:szCs w:val="22"/>
              </w:rPr>
              <w:t>Changed offset section to address Offset Equivalency Requirements:  District Offsets and Federal Offsets</w:t>
            </w:r>
          </w:p>
        </w:tc>
      </w:tr>
      <w:tr w:rsidR="00CD3563" w:rsidRPr="00993B55" w14:paraId="38FFB86A" w14:textId="77777777" w:rsidTr="00DC39E3">
        <w:trPr>
          <w:trHeight w:val="399"/>
        </w:trPr>
        <w:tc>
          <w:tcPr>
            <w:tcW w:w="1885" w:type="dxa"/>
            <w:vAlign w:val="center"/>
          </w:tcPr>
          <w:p w14:paraId="7FB466B6" w14:textId="5576FFBA" w:rsidR="00CD3563" w:rsidRPr="00993B55" w:rsidRDefault="00CD3563" w:rsidP="007A60F3">
            <w:pPr>
              <w:widowControl w:val="0"/>
              <w:jc w:val="left"/>
              <w:rPr>
                <w:color w:val="000000"/>
                <w:sz w:val="22"/>
                <w:szCs w:val="22"/>
              </w:rPr>
            </w:pPr>
            <w:r w:rsidRPr="00993B55">
              <w:rPr>
                <w:color w:val="000000"/>
                <w:sz w:val="22"/>
                <w:szCs w:val="22"/>
              </w:rPr>
              <w:t>Version 2023-</w:t>
            </w:r>
            <w:r w:rsidR="00272034">
              <w:rPr>
                <w:color w:val="000000"/>
                <w:sz w:val="22"/>
                <w:szCs w:val="22"/>
              </w:rPr>
              <w:t>5</w:t>
            </w:r>
          </w:p>
        </w:tc>
        <w:tc>
          <w:tcPr>
            <w:tcW w:w="2160" w:type="dxa"/>
            <w:vAlign w:val="center"/>
          </w:tcPr>
          <w:p w14:paraId="46D549C1" w14:textId="1FC88070" w:rsidR="00CD3563" w:rsidRPr="00993B55" w:rsidRDefault="00CD3563" w:rsidP="007A60F3">
            <w:pPr>
              <w:widowControl w:val="0"/>
              <w:jc w:val="left"/>
              <w:rPr>
                <w:color w:val="000000"/>
                <w:sz w:val="22"/>
                <w:szCs w:val="22"/>
              </w:rPr>
            </w:pPr>
            <w:r w:rsidRPr="00993B55">
              <w:rPr>
                <w:color w:val="000000"/>
                <w:sz w:val="22"/>
                <w:szCs w:val="22"/>
              </w:rPr>
              <w:t>July 17, 2023</w:t>
            </w:r>
          </w:p>
        </w:tc>
        <w:tc>
          <w:tcPr>
            <w:tcW w:w="7200" w:type="dxa"/>
            <w:vAlign w:val="center"/>
          </w:tcPr>
          <w:p w14:paraId="7F7B51D8" w14:textId="7C9D0E0C" w:rsidR="00CD3563" w:rsidRPr="00993B55" w:rsidRDefault="00CD3563" w:rsidP="007A60F3">
            <w:pPr>
              <w:pStyle w:val="ListParagraph"/>
              <w:widowControl w:val="0"/>
              <w:numPr>
                <w:ilvl w:val="0"/>
                <w:numId w:val="42"/>
              </w:numPr>
              <w:ind w:left="430"/>
              <w:jc w:val="left"/>
              <w:rPr>
                <w:color w:val="000000"/>
                <w:sz w:val="22"/>
                <w:szCs w:val="22"/>
              </w:rPr>
            </w:pPr>
            <w:r w:rsidRPr="00993B55">
              <w:rPr>
                <w:color w:val="000000"/>
                <w:sz w:val="22"/>
                <w:szCs w:val="22"/>
              </w:rPr>
              <w:t>Added PM2.5 federal offset sanctions section</w:t>
            </w:r>
          </w:p>
        </w:tc>
      </w:tr>
      <w:tr w:rsidR="00566EB6" w:rsidRPr="00993B55" w14:paraId="5EBC34B1" w14:textId="77777777" w:rsidTr="00E47771">
        <w:trPr>
          <w:trHeight w:val="3837"/>
        </w:trPr>
        <w:tc>
          <w:tcPr>
            <w:tcW w:w="1885" w:type="dxa"/>
            <w:vAlign w:val="center"/>
          </w:tcPr>
          <w:p w14:paraId="4552988B" w14:textId="5D05054F" w:rsidR="00566EB6" w:rsidRPr="00993B55" w:rsidRDefault="00345B09" w:rsidP="007A60F3">
            <w:pPr>
              <w:widowControl w:val="0"/>
              <w:jc w:val="left"/>
              <w:rPr>
                <w:color w:val="000000"/>
                <w:sz w:val="22"/>
                <w:szCs w:val="22"/>
              </w:rPr>
            </w:pPr>
            <w:r>
              <w:rPr>
                <w:color w:val="000000"/>
                <w:sz w:val="22"/>
                <w:szCs w:val="22"/>
              </w:rPr>
              <w:t>Vers</w:t>
            </w:r>
            <w:r w:rsidR="006D6E8F">
              <w:rPr>
                <w:color w:val="000000"/>
                <w:sz w:val="22"/>
                <w:szCs w:val="22"/>
              </w:rPr>
              <w:t>ion 2023-1</w:t>
            </w:r>
            <w:r w:rsidR="00566EB6">
              <w:rPr>
                <w:color w:val="000000"/>
                <w:sz w:val="22"/>
                <w:szCs w:val="22"/>
              </w:rPr>
              <w:t>a</w:t>
            </w:r>
          </w:p>
        </w:tc>
        <w:tc>
          <w:tcPr>
            <w:tcW w:w="2160" w:type="dxa"/>
            <w:vAlign w:val="center"/>
          </w:tcPr>
          <w:p w14:paraId="0CB2E4C4" w14:textId="4AA12DDE" w:rsidR="00566EB6" w:rsidRPr="00993B55" w:rsidRDefault="00566EB6" w:rsidP="007A60F3">
            <w:pPr>
              <w:widowControl w:val="0"/>
              <w:jc w:val="left"/>
              <w:rPr>
                <w:color w:val="000000"/>
                <w:sz w:val="22"/>
                <w:szCs w:val="22"/>
              </w:rPr>
            </w:pPr>
            <w:r w:rsidRPr="00566EB6">
              <w:rPr>
                <w:color w:val="000000"/>
                <w:sz w:val="22"/>
                <w:szCs w:val="22"/>
              </w:rPr>
              <w:t>August 9, 2023</w:t>
            </w:r>
          </w:p>
        </w:tc>
        <w:tc>
          <w:tcPr>
            <w:tcW w:w="7200" w:type="dxa"/>
            <w:vAlign w:val="center"/>
          </w:tcPr>
          <w:p w14:paraId="6B717B57" w14:textId="77777777" w:rsidR="00E47771" w:rsidRDefault="00E47771" w:rsidP="007A60F3">
            <w:pPr>
              <w:pStyle w:val="ListParagraph"/>
              <w:widowControl w:val="0"/>
              <w:numPr>
                <w:ilvl w:val="0"/>
                <w:numId w:val="42"/>
              </w:numPr>
              <w:ind w:left="430"/>
              <w:jc w:val="left"/>
              <w:rPr>
                <w:color w:val="000000"/>
                <w:sz w:val="22"/>
                <w:szCs w:val="22"/>
              </w:rPr>
            </w:pPr>
            <w:r>
              <w:rPr>
                <w:color w:val="000000"/>
                <w:sz w:val="22"/>
                <w:szCs w:val="22"/>
              </w:rPr>
              <w:t>Split APR-1010 into two versions</w:t>
            </w:r>
          </w:p>
          <w:p w14:paraId="7B95B894" w14:textId="51B80D40" w:rsidR="00E47771" w:rsidRDefault="00E47771" w:rsidP="007A60F3">
            <w:pPr>
              <w:pStyle w:val="ListParagraph"/>
              <w:widowControl w:val="0"/>
              <w:ind w:left="1440" w:hanging="290"/>
              <w:jc w:val="left"/>
              <w:rPr>
                <w:color w:val="000000"/>
                <w:sz w:val="22"/>
                <w:szCs w:val="22"/>
              </w:rPr>
            </w:pPr>
            <w:r>
              <w:rPr>
                <w:color w:val="000000"/>
                <w:sz w:val="22"/>
                <w:szCs w:val="22"/>
              </w:rPr>
              <w:t xml:space="preserve">a - </w:t>
            </w:r>
            <w:r w:rsidR="00A90D56">
              <w:rPr>
                <w:color w:val="000000"/>
                <w:sz w:val="22"/>
                <w:szCs w:val="22"/>
              </w:rPr>
              <w:t>Any source/project</w:t>
            </w:r>
          </w:p>
          <w:p w14:paraId="4544E425" w14:textId="76FFC3F7" w:rsidR="00E47771" w:rsidRDefault="00A56E69" w:rsidP="007A60F3">
            <w:pPr>
              <w:pStyle w:val="ListParagraph"/>
              <w:widowControl w:val="0"/>
              <w:ind w:left="1440" w:hanging="290"/>
              <w:jc w:val="left"/>
              <w:rPr>
                <w:color w:val="000000"/>
                <w:sz w:val="22"/>
                <w:szCs w:val="22"/>
              </w:rPr>
            </w:pPr>
            <w:r>
              <w:rPr>
                <w:color w:val="000000"/>
                <w:sz w:val="22"/>
                <w:szCs w:val="22"/>
              </w:rPr>
              <w:t xml:space="preserve">b - </w:t>
            </w:r>
            <w:r w:rsidR="00E47771">
              <w:rPr>
                <w:color w:val="000000"/>
                <w:sz w:val="22"/>
                <w:szCs w:val="22"/>
              </w:rPr>
              <w:t xml:space="preserve">Minor sources and no offsets triggered </w:t>
            </w:r>
          </w:p>
          <w:p w14:paraId="0B97C5E1" w14:textId="76AF7C6A" w:rsidR="008F5E23" w:rsidRDefault="008F5E23" w:rsidP="007A60F3">
            <w:pPr>
              <w:pStyle w:val="ListParagraph"/>
              <w:widowControl w:val="0"/>
              <w:numPr>
                <w:ilvl w:val="0"/>
                <w:numId w:val="42"/>
              </w:numPr>
              <w:ind w:left="430"/>
              <w:jc w:val="left"/>
              <w:rPr>
                <w:color w:val="000000"/>
                <w:sz w:val="22"/>
                <w:szCs w:val="22"/>
              </w:rPr>
            </w:pPr>
            <w:r>
              <w:rPr>
                <w:color w:val="000000"/>
                <w:sz w:val="22"/>
                <w:szCs w:val="22"/>
              </w:rPr>
              <w:t>Address August 9</w:t>
            </w:r>
            <w:r w:rsidRPr="005C6313">
              <w:rPr>
                <w:color w:val="000000"/>
                <w:sz w:val="22"/>
                <w:szCs w:val="22"/>
              </w:rPr>
              <w:t>th</w:t>
            </w:r>
            <w:r>
              <w:rPr>
                <w:color w:val="000000"/>
                <w:sz w:val="22"/>
                <w:szCs w:val="22"/>
              </w:rPr>
              <w:t>, 2023 effective date of Rule 2201 amendment</w:t>
            </w:r>
          </w:p>
          <w:p w14:paraId="6C484F6E" w14:textId="0AAE7D3A" w:rsidR="000D778E" w:rsidRDefault="006826FA" w:rsidP="007A60F3">
            <w:pPr>
              <w:pStyle w:val="ListParagraph"/>
              <w:widowControl w:val="0"/>
              <w:numPr>
                <w:ilvl w:val="0"/>
                <w:numId w:val="42"/>
              </w:numPr>
              <w:ind w:left="430"/>
              <w:jc w:val="left"/>
              <w:rPr>
                <w:color w:val="000000"/>
                <w:sz w:val="22"/>
                <w:szCs w:val="22"/>
              </w:rPr>
            </w:pPr>
            <w:r>
              <w:rPr>
                <w:color w:val="000000"/>
                <w:sz w:val="22"/>
                <w:szCs w:val="22"/>
              </w:rPr>
              <w:t xml:space="preserve">Updated </w:t>
            </w:r>
            <w:r w:rsidR="000D778E" w:rsidRPr="00A146BF">
              <w:rPr>
                <w:color w:val="000000"/>
                <w:sz w:val="22"/>
                <w:szCs w:val="22"/>
              </w:rPr>
              <w:t xml:space="preserve">FOQ </w:t>
            </w:r>
            <w:r w:rsidR="000D778E">
              <w:rPr>
                <w:color w:val="000000"/>
                <w:sz w:val="22"/>
                <w:szCs w:val="22"/>
              </w:rPr>
              <w:t>analyses</w:t>
            </w:r>
          </w:p>
          <w:p w14:paraId="0DBA2D67" w14:textId="34570DB1" w:rsidR="000D778E" w:rsidRDefault="006826FA" w:rsidP="007A60F3">
            <w:pPr>
              <w:pStyle w:val="ListParagraph"/>
              <w:widowControl w:val="0"/>
              <w:numPr>
                <w:ilvl w:val="0"/>
                <w:numId w:val="42"/>
              </w:numPr>
              <w:ind w:left="430"/>
              <w:jc w:val="left"/>
              <w:rPr>
                <w:color w:val="000000"/>
                <w:sz w:val="22"/>
                <w:szCs w:val="22"/>
              </w:rPr>
            </w:pPr>
            <w:r>
              <w:rPr>
                <w:color w:val="000000"/>
                <w:sz w:val="22"/>
                <w:szCs w:val="22"/>
              </w:rPr>
              <w:t xml:space="preserve">Added </w:t>
            </w:r>
            <w:r w:rsidR="000D778E" w:rsidRPr="00A146BF">
              <w:rPr>
                <w:color w:val="000000"/>
                <w:sz w:val="22"/>
                <w:szCs w:val="22"/>
              </w:rPr>
              <w:t>Federal Offset Equivalency Demonstration</w:t>
            </w:r>
            <w:r w:rsidR="000D778E" w:rsidRPr="00944FCD">
              <w:rPr>
                <w:color w:val="000000"/>
                <w:sz w:val="22"/>
                <w:szCs w:val="22"/>
              </w:rPr>
              <w:t xml:space="preserve"> </w:t>
            </w:r>
          </w:p>
          <w:p w14:paraId="2120D7CB" w14:textId="66EC2E54" w:rsidR="008F5E23" w:rsidRPr="00944FCD" w:rsidRDefault="008F5E23" w:rsidP="007A60F3">
            <w:pPr>
              <w:pStyle w:val="ListParagraph"/>
              <w:widowControl w:val="0"/>
              <w:numPr>
                <w:ilvl w:val="0"/>
                <w:numId w:val="42"/>
              </w:numPr>
              <w:ind w:left="430"/>
              <w:jc w:val="left"/>
              <w:rPr>
                <w:color w:val="000000"/>
                <w:sz w:val="22"/>
                <w:szCs w:val="22"/>
              </w:rPr>
            </w:pPr>
            <w:r w:rsidRPr="00944FCD">
              <w:rPr>
                <w:color w:val="000000"/>
                <w:sz w:val="22"/>
                <w:szCs w:val="22"/>
              </w:rPr>
              <w:t>Added federal land management visibility modeling analysis requirements for new major sources and federal major modifications</w:t>
            </w:r>
          </w:p>
          <w:p w14:paraId="040347F0" w14:textId="77777777" w:rsidR="008F5E23" w:rsidRDefault="008F5E23" w:rsidP="007A60F3">
            <w:pPr>
              <w:pStyle w:val="ListParagraph"/>
              <w:widowControl w:val="0"/>
              <w:numPr>
                <w:ilvl w:val="0"/>
                <w:numId w:val="42"/>
              </w:numPr>
              <w:ind w:left="430"/>
              <w:jc w:val="left"/>
              <w:rPr>
                <w:color w:val="000000"/>
                <w:sz w:val="22"/>
                <w:szCs w:val="22"/>
              </w:rPr>
            </w:pPr>
            <w:r>
              <w:rPr>
                <w:color w:val="000000"/>
                <w:sz w:val="22"/>
                <w:szCs w:val="22"/>
              </w:rPr>
              <w:t>Public Noticing for facility</w:t>
            </w:r>
            <w:r w:rsidRPr="00796F96">
              <w:rPr>
                <w:color w:val="000000"/>
                <w:sz w:val="22"/>
                <w:szCs w:val="22"/>
              </w:rPr>
              <w:t xml:space="preserve"> exceeding 80% of major source threshold</w:t>
            </w:r>
          </w:p>
          <w:p w14:paraId="0CEB76B7" w14:textId="77777777" w:rsidR="008F5E23" w:rsidRPr="00944FCD" w:rsidRDefault="008F5E23" w:rsidP="007A60F3">
            <w:pPr>
              <w:pStyle w:val="ListParagraph"/>
              <w:widowControl w:val="0"/>
              <w:numPr>
                <w:ilvl w:val="0"/>
                <w:numId w:val="42"/>
              </w:numPr>
              <w:ind w:left="430"/>
              <w:jc w:val="left"/>
              <w:rPr>
                <w:color w:val="000000"/>
                <w:sz w:val="22"/>
                <w:szCs w:val="22"/>
              </w:rPr>
            </w:pPr>
            <w:r>
              <w:rPr>
                <w:color w:val="000000"/>
                <w:sz w:val="22"/>
                <w:szCs w:val="22"/>
              </w:rPr>
              <w:t>R</w:t>
            </w:r>
            <w:r w:rsidRPr="00944FCD">
              <w:rPr>
                <w:color w:val="000000"/>
                <w:sz w:val="22"/>
                <w:szCs w:val="22"/>
              </w:rPr>
              <w:t xml:space="preserve">outine replacements of entire emissions units at major sources </w:t>
            </w:r>
            <w:r>
              <w:rPr>
                <w:color w:val="000000"/>
                <w:sz w:val="22"/>
                <w:szCs w:val="22"/>
              </w:rPr>
              <w:t>(</w:t>
            </w:r>
            <w:r w:rsidRPr="00944FCD">
              <w:rPr>
                <w:color w:val="000000"/>
                <w:sz w:val="22"/>
                <w:szCs w:val="22"/>
              </w:rPr>
              <w:t>may now constitute a federal major modification</w:t>
            </w:r>
            <w:r>
              <w:rPr>
                <w:color w:val="000000"/>
                <w:sz w:val="22"/>
                <w:szCs w:val="22"/>
              </w:rPr>
              <w:t>)</w:t>
            </w:r>
          </w:p>
          <w:p w14:paraId="45FEE5A1" w14:textId="429522FD" w:rsidR="00566EB6" w:rsidRPr="008F5E23" w:rsidRDefault="008F5E23" w:rsidP="007A60F3">
            <w:pPr>
              <w:pStyle w:val="ListParagraph"/>
              <w:widowControl w:val="0"/>
              <w:numPr>
                <w:ilvl w:val="0"/>
                <w:numId w:val="42"/>
              </w:numPr>
              <w:ind w:left="430"/>
              <w:jc w:val="left"/>
              <w:rPr>
                <w:color w:val="000000"/>
                <w:sz w:val="22"/>
                <w:szCs w:val="22"/>
              </w:rPr>
            </w:pPr>
            <w:r>
              <w:rPr>
                <w:color w:val="000000"/>
                <w:sz w:val="22"/>
                <w:szCs w:val="22"/>
              </w:rPr>
              <w:t>Other minor updates</w:t>
            </w:r>
          </w:p>
        </w:tc>
      </w:tr>
      <w:tr w:rsidR="00566EB6" w:rsidRPr="00993B55" w14:paraId="42B3D5E4" w14:textId="77777777" w:rsidTr="006826FA">
        <w:trPr>
          <w:trHeight w:val="2604"/>
        </w:trPr>
        <w:tc>
          <w:tcPr>
            <w:tcW w:w="1885" w:type="dxa"/>
            <w:vAlign w:val="center"/>
          </w:tcPr>
          <w:p w14:paraId="0749748A" w14:textId="4E84EC76" w:rsidR="00566EB6" w:rsidRDefault="006D6E8F" w:rsidP="007A60F3">
            <w:pPr>
              <w:widowControl w:val="0"/>
              <w:jc w:val="left"/>
              <w:rPr>
                <w:color w:val="000000"/>
                <w:sz w:val="22"/>
                <w:szCs w:val="22"/>
              </w:rPr>
            </w:pPr>
            <w:r>
              <w:rPr>
                <w:color w:val="000000"/>
                <w:sz w:val="22"/>
                <w:szCs w:val="22"/>
              </w:rPr>
              <w:t>Version 2023-1</w:t>
            </w:r>
            <w:r w:rsidR="00566EB6">
              <w:rPr>
                <w:color w:val="000000"/>
                <w:sz w:val="22"/>
                <w:szCs w:val="22"/>
              </w:rPr>
              <w:t>b</w:t>
            </w:r>
            <w:r w:rsidR="008F5E23">
              <w:rPr>
                <w:color w:val="000000"/>
                <w:sz w:val="22"/>
                <w:szCs w:val="22"/>
              </w:rPr>
              <w:t xml:space="preserve"> (minor</w:t>
            </w:r>
            <w:r w:rsidR="001233A2">
              <w:rPr>
                <w:color w:val="000000"/>
                <w:sz w:val="22"/>
                <w:szCs w:val="22"/>
              </w:rPr>
              <w:t xml:space="preserve"> sources)</w:t>
            </w:r>
          </w:p>
        </w:tc>
        <w:tc>
          <w:tcPr>
            <w:tcW w:w="2160" w:type="dxa"/>
            <w:vAlign w:val="center"/>
          </w:tcPr>
          <w:p w14:paraId="28088490" w14:textId="31A234CF" w:rsidR="00566EB6" w:rsidRPr="00566EB6" w:rsidRDefault="00566EB6" w:rsidP="007A60F3">
            <w:pPr>
              <w:widowControl w:val="0"/>
              <w:jc w:val="left"/>
              <w:rPr>
                <w:color w:val="000000"/>
                <w:sz w:val="22"/>
                <w:szCs w:val="22"/>
              </w:rPr>
            </w:pPr>
            <w:r>
              <w:rPr>
                <w:color w:val="000000"/>
                <w:sz w:val="22"/>
                <w:szCs w:val="22"/>
              </w:rPr>
              <w:t>August 9, 2023</w:t>
            </w:r>
          </w:p>
        </w:tc>
        <w:tc>
          <w:tcPr>
            <w:tcW w:w="7200" w:type="dxa"/>
            <w:vAlign w:val="center"/>
          </w:tcPr>
          <w:p w14:paraId="557D1A71" w14:textId="5BBF38FD" w:rsidR="00AA578C" w:rsidRDefault="00AA578C" w:rsidP="007A60F3">
            <w:pPr>
              <w:pStyle w:val="ListParagraph"/>
              <w:widowControl w:val="0"/>
              <w:numPr>
                <w:ilvl w:val="0"/>
                <w:numId w:val="42"/>
              </w:numPr>
              <w:ind w:left="430"/>
              <w:jc w:val="left"/>
              <w:rPr>
                <w:color w:val="000000"/>
                <w:sz w:val="22"/>
                <w:szCs w:val="22"/>
              </w:rPr>
            </w:pPr>
            <w:r>
              <w:rPr>
                <w:color w:val="000000"/>
                <w:sz w:val="22"/>
                <w:szCs w:val="22"/>
              </w:rPr>
              <w:t>Split APR-1010 into two versions</w:t>
            </w:r>
          </w:p>
          <w:p w14:paraId="7E7E4A2F" w14:textId="59D001D0" w:rsidR="00A56E69" w:rsidRDefault="00A56E69" w:rsidP="007A60F3">
            <w:pPr>
              <w:pStyle w:val="ListParagraph"/>
              <w:widowControl w:val="0"/>
              <w:ind w:left="1440" w:hanging="290"/>
              <w:jc w:val="left"/>
              <w:rPr>
                <w:color w:val="000000"/>
                <w:sz w:val="22"/>
                <w:szCs w:val="22"/>
              </w:rPr>
            </w:pPr>
            <w:r>
              <w:rPr>
                <w:color w:val="000000"/>
                <w:sz w:val="22"/>
                <w:szCs w:val="22"/>
              </w:rPr>
              <w:t xml:space="preserve">a - </w:t>
            </w:r>
            <w:r w:rsidR="00A90D56">
              <w:rPr>
                <w:color w:val="000000"/>
                <w:sz w:val="22"/>
                <w:szCs w:val="22"/>
              </w:rPr>
              <w:t>Any source/project</w:t>
            </w:r>
          </w:p>
          <w:p w14:paraId="51FA3BD1" w14:textId="26DBA492" w:rsidR="003A70B5" w:rsidRPr="00A56E69" w:rsidRDefault="00A56E69" w:rsidP="007A60F3">
            <w:pPr>
              <w:pStyle w:val="ListParagraph"/>
              <w:widowControl w:val="0"/>
              <w:ind w:left="1440" w:hanging="290"/>
              <w:jc w:val="left"/>
              <w:rPr>
                <w:color w:val="000000"/>
                <w:sz w:val="22"/>
                <w:szCs w:val="22"/>
              </w:rPr>
            </w:pPr>
            <w:r>
              <w:rPr>
                <w:color w:val="000000"/>
                <w:sz w:val="22"/>
                <w:szCs w:val="22"/>
              </w:rPr>
              <w:t xml:space="preserve">b - Minor sources and no offsets triggered </w:t>
            </w:r>
            <w:r w:rsidR="003A70B5" w:rsidRPr="00A56E69">
              <w:rPr>
                <w:color w:val="000000"/>
                <w:sz w:val="22"/>
                <w:szCs w:val="22"/>
              </w:rPr>
              <w:tab/>
            </w:r>
            <w:r w:rsidR="003A70B5" w:rsidRPr="00A56E69">
              <w:rPr>
                <w:color w:val="000000"/>
                <w:sz w:val="22"/>
                <w:szCs w:val="22"/>
              </w:rPr>
              <w:tab/>
            </w:r>
          </w:p>
          <w:p w14:paraId="7D10B0CA" w14:textId="3BA21E9C" w:rsidR="008F5E23" w:rsidRDefault="008F5E23" w:rsidP="007A60F3">
            <w:pPr>
              <w:pStyle w:val="ListParagraph"/>
              <w:widowControl w:val="0"/>
              <w:numPr>
                <w:ilvl w:val="0"/>
                <w:numId w:val="42"/>
              </w:numPr>
              <w:ind w:left="430"/>
              <w:jc w:val="left"/>
              <w:rPr>
                <w:color w:val="000000"/>
                <w:sz w:val="22"/>
                <w:szCs w:val="22"/>
              </w:rPr>
            </w:pPr>
            <w:r>
              <w:rPr>
                <w:color w:val="000000"/>
                <w:sz w:val="22"/>
                <w:szCs w:val="22"/>
              </w:rPr>
              <w:t>Address August 9</w:t>
            </w:r>
            <w:r w:rsidRPr="00A64B4A">
              <w:rPr>
                <w:color w:val="000000"/>
                <w:sz w:val="22"/>
                <w:szCs w:val="22"/>
                <w:vertAlign w:val="superscript"/>
              </w:rPr>
              <w:t>th</w:t>
            </w:r>
            <w:r>
              <w:rPr>
                <w:color w:val="000000"/>
                <w:sz w:val="22"/>
                <w:szCs w:val="22"/>
              </w:rPr>
              <w:t>, 2023 effective date of Rule 2201 amendment</w:t>
            </w:r>
          </w:p>
          <w:p w14:paraId="3AC1A634" w14:textId="77777777" w:rsidR="008F5E23" w:rsidRDefault="008F5E23" w:rsidP="007A60F3">
            <w:pPr>
              <w:pStyle w:val="ListParagraph"/>
              <w:widowControl w:val="0"/>
              <w:numPr>
                <w:ilvl w:val="0"/>
                <w:numId w:val="42"/>
              </w:numPr>
              <w:ind w:left="430"/>
              <w:jc w:val="left"/>
              <w:rPr>
                <w:color w:val="000000"/>
                <w:sz w:val="22"/>
                <w:szCs w:val="22"/>
              </w:rPr>
            </w:pPr>
            <w:r w:rsidRPr="00796F96">
              <w:rPr>
                <w:color w:val="000000"/>
                <w:sz w:val="22"/>
                <w:szCs w:val="22"/>
              </w:rPr>
              <w:t>Public Noticing for project exceeding 80% of major source threshold</w:t>
            </w:r>
          </w:p>
          <w:p w14:paraId="635C24C8" w14:textId="7897FCFD" w:rsidR="000D778E" w:rsidRDefault="001E5263" w:rsidP="007A60F3">
            <w:pPr>
              <w:pStyle w:val="ListParagraph"/>
              <w:widowControl w:val="0"/>
              <w:numPr>
                <w:ilvl w:val="0"/>
                <w:numId w:val="42"/>
              </w:numPr>
              <w:ind w:left="430"/>
              <w:jc w:val="left"/>
              <w:rPr>
                <w:color w:val="000000"/>
                <w:sz w:val="22"/>
                <w:szCs w:val="22"/>
              </w:rPr>
            </w:pPr>
            <w:r>
              <w:rPr>
                <w:color w:val="000000"/>
                <w:sz w:val="22"/>
                <w:szCs w:val="22"/>
              </w:rPr>
              <w:t xml:space="preserve">Updated </w:t>
            </w:r>
            <w:r w:rsidR="008F5E23" w:rsidRPr="00A146BF">
              <w:rPr>
                <w:color w:val="000000"/>
                <w:sz w:val="22"/>
                <w:szCs w:val="22"/>
              </w:rPr>
              <w:t xml:space="preserve">FOQ </w:t>
            </w:r>
            <w:r>
              <w:rPr>
                <w:color w:val="000000"/>
                <w:sz w:val="22"/>
                <w:szCs w:val="22"/>
              </w:rPr>
              <w:t>discussion</w:t>
            </w:r>
          </w:p>
          <w:p w14:paraId="6B46CDC2" w14:textId="77777777" w:rsidR="00566EB6" w:rsidRDefault="006826FA" w:rsidP="007A60F3">
            <w:pPr>
              <w:pStyle w:val="ListParagraph"/>
              <w:widowControl w:val="0"/>
              <w:numPr>
                <w:ilvl w:val="0"/>
                <w:numId w:val="42"/>
              </w:numPr>
              <w:ind w:left="430"/>
              <w:jc w:val="left"/>
              <w:rPr>
                <w:color w:val="000000"/>
                <w:sz w:val="22"/>
                <w:szCs w:val="22"/>
              </w:rPr>
            </w:pPr>
            <w:r>
              <w:rPr>
                <w:color w:val="000000"/>
                <w:sz w:val="22"/>
                <w:szCs w:val="22"/>
              </w:rPr>
              <w:t xml:space="preserve">Added </w:t>
            </w:r>
            <w:r w:rsidR="008F5E23" w:rsidRPr="00A146BF">
              <w:rPr>
                <w:color w:val="000000"/>
                <w:sz w:val="22"/>
                <w:szCs w:val="22"/>
              </w:rPr>
              <w:t>Federal Offset Equivalency Demonstration</w:t>
            </w:r>
          </w:p>
          <w:p w14:paraId="69D24527" w14:textId="01D1A239" w:rsidR="006826FA" w:rsidRDefault="006826FA" w:rsidP="007A60F3">
            <w:pPr>
              <w:pStyle w:val="ListParagraph"/>
              <w:widowControl w:val="0"/>
              <w:numPr>
                <w:ilvl w:val="0"/>
                <w:numId w:val="42"/>
              </w:numPr>
              <w:ind w:left="430"/>
              <w:jc w:val="left"/>
              <w:rPr>
                <w:color w:val="000000"/>
                <w:sz w:val="22"/>
                <w:szCs w:val="22"/>
              </w:rPr>
            </w:pPr>
            <w:r>
              <w:rPr>
                <w:color w:val="000000"/>
                <w:sz w:val="22"/>
                <w:szCs w:val="22"/>
              </w:rPr>
              <w:t>Other minor updates</w:t>
            </w:r>
          </w:p>
        </w:tc>
      </w:tr>
      <w:tr w:rsidR="000A49D9" w:rsidRPr="00993B55" w14:paraId="4F3250E8" w14:textId="77777777" w:rsidTr="00CB1314">
        <w:trPr>
          <w:trHeight w:val="532"/>
        </w:trPr>
        <w:tc>
          <w:tcPr>
            <w:tcW w:w="1885" w:type="dxa"/>
            <w:vAlign w:val="center"/>
          </w:tcPr>
          <w:p w14:paraId="0FFE8895" w14:textId="5CAC3E3D" w:rsidR="000A49D9" w:rsidRDefault="000A49D9" w:rsidP="007A60F3">
            <w:pPr>
              <w:widowControl w:val="0"/>
              <w:jc w:val="left"/>
              <w:rPr>
                <w:color w:val="000000"/>
                <w:sz w:val="22"/>
                <w:szCs w:val="22"/>
              </w:rPr>
            </w:pPr>
            <w:r>
              <w:rPr>
                <w:color w:val="000000"/>
                <w:sz w:val="22"/>
                <w:szCs w:val="22"/>
              </w:rPr>
              <w:t>Version 2023-2a</w:t>
            </w:r>
          </w:p>
        </w:tc>
        <w:tc>
          <w:tcPr>
            <w:tcW w:w="2160" w:type="dxa"/>
            <w:vAlign w:val="center"/>
          </w:tcPr>
          <w:p w14:paraId="32CA78F9" w14:textId="1B8B66BB" w:rsidR="000A49D9" w:rsidRDefault="000A49D9" w:rsidP="007A60F3">
            <w:pPr>
              <w:widowControl w:val="0"/>
              <w:jc w:val="left"/>
              <w:rPr>
                <w:color w:val="000000"/>
                <w:sz w:val="22"/>
                <w:szCs w:val="22"/>
              </w:rPr>
            </w:pPr>
            <w:r>
              <w:rPr>
                <w:color w:val="000000"/>
                <w:sz w:val="22"/>
                <w:szCs w:val="22"/>
              </w:rPr>
              <w:t>December 20, 2023</w:t>
            </w:r>
          </w:p>
        </w:tc>
        <w:tc>
          <w:tcPr>
            <w:tcW w:w="7200" w:type="dxa"/>
            <w:vAlign w:val="center"/>
          </w:tcPr>
          <w:p w14:paraId="1C8FAED1" w14:textId="79ED6F10" w:rsidR="000A49D9" w:rsidRDefault="000A49D9" w:rsidP="007A60F3">
            <w:pPr>
              <w:pStyle w:val="ListParagraph"/>
              <w:widowControl w:val="0"/>
              <w:numPr>
                <w:ilvl w:val="0"/>
                <w:numId w:val="42"/>
              </w:numPr>
              <w:ind w:left="430"/>
              <w:jc w:val="left"/>
              <w:rPr>
                <w:color w:val="000000"/>
                <w:sz w:val="22"/>
                <w:szCs w:val="22"/>
              </w:rPr>
            </w:pPr>
            <w:r>
              <w:rPr>
                <w:color w:val="000000"/>
                <w:sz w:val="22"/>
                <w:szCs w:val="22"/>
              </w:rPr>
              <w:t>Removed PM2.5 federal offset sanctions section for projects finalized after 12/20/23</w:t>
            </w:r>
          </w:p>
        </w:tc>
      </w:tr>
      <w:tr w:rsidR="000A49D9" w:rsidRPr="00993B55" w14:paraId="59D7671C" w14:textId="77777777" w:rsidTr="00CB1314">
        <w:trPr>
          <w:trHeight w:val="640"/>
        </w:trPr>
        <w:tc>
          <w:tcPr>
            <w:tcW w:w="1885" w:type="dxa"/>
            <w:vAlign w:val="center"/>
          </w:tcPr>
          <w:p w14:paraId="337CCBB8" w14:textId="7AAFB45E" w:rsidR="000A49D9" w:rsidRDefault="000A49D9" w:rsidP="007A60F3">
            <w:pPr>
              <w:widowControl w:val="0"/>
              <w:jc w:val="left"/>
              <w:rPr>
                <w:color w:val="000000"/>
                <w:sz w:val="22"/>
                <w:szCs w:val="22"/>
              </w:rPr>
            </w:pPr>
            <w:r>
              <w:rPr>
                <w:color w:val="000000"/>
                <w:sz w:val="22"/>
                <w:szCs w:val="22"/>
              </w:rPr>
              <w:t>Version 202</w:t>
            </w:r>
            <w:r w:rsidR="00CE25AA">
              <w:rPr>
                <w:color w:val="000000"/>
                <w:sz w:val="22"/>
                <w:szCs w:val="22"/>
              </w:rPr>
              <w:t>4-1a</w:t>
            </w:r>
          </w:p>
        </w:tc>
        <w:tc>
          <w:tcPr>
            <w:tcW w:w="2160" w:type="dxa"/>
            <w:vAlign w:val="center"/>
          </w:tcPr>
          <w:p w14:paraId="55A0168D" w14:textId="551EE2CF" w:rsidR="000A49D9" w:rsidRDefault="00CE25AA" w:rsidP="007A60F3">
            <w:pPr>
              <w:widowControl w:val="0"/>
              <w:jc w:val="left"/>
              <w:rPr>
                <w:color w:val="000000"/>
                <w:sz w:val="22"/>
                <w:szCs w:val="22"/>
              </w:rPr>
            </w:pPr>
            <w:r>
              <w:rPr>
                <w:color w:val="000000"/>
                <w:sz w:val="22"/>
                <w:szCs w:val="22"/>
              </w:rPr>
              <w:t>February 2</w:t>
            </w:r>
            <w:r w:rsidR="00A24109">
              <w:rPr>
                <w:color w:val="000000"/>
                <w:sz w:val="22"/>
                <w:szCs w:val="22"/>
              </w:rPr>
              <w:t>7</w:t>
            </w:r>
            <w:r w:rsidR="000A49D9">
              <w:rPr>
                <w:color w:val="000000"/>
                <w:sz w:val="22"/>
                <w:szCs w:val="22"/>
              </w:rPr>
              <w:t>, 2024</w:t>
            </w:r>
          </w:p>
        </w:tc>
        <w:tc>
          <w:tcPr>
            <w:tcW w:w="7200" w:type="dxa"/>
            <w:vAlign w:val="center"/>
          </w:tcPr>
          <w:p w14:paraId="172BC6DD" w14:textId="77777777" w:rsidR="000A49D9" w:rsidRDefault="000A49D9" w:rsidP="007A60F3">
            <w:pPr>
              <w:pStyle w:val="ListParagraph"/>
              <w:widowControl w:val="0"/>
              <w:numPr>
                <w:ilvl w:val="0"/>
                <w:numId w:val="42"/>
              </w:numPr>
              <w:ind w:left="430"/>
              <w:jc w:val="left"/>
              <w:rPr>
                <w:color w:val="000000"/>
                <w:sz w:val="22"/>
                <w:szCs w:val="22"/>
              </w:rPr>
            </w:pPr>
            <w:r>
              <w:rPr>
                <w:color w:val="000000"/>
                <w:sz w:val="22"/>
                <w:szCs w:val="22"/>
              </w:rPr>
              <w:t>Minor formatting updates</w:t>
            </w:r>
          </w:p>
          <w:p w14:paraId="798E0EB6" w14:textId="41DBB833" w:rsidR="000A49D9" w:rsidRDefault="000A49D9" w:rsidP="007A60F3">
            <w:pPr>
              <w:pStyle w:val="ListParagraph"/>
              <w:widowControl w:val="0"/>
              <w:numPr>
                <w:ilvl w:val="0"/>
                <w:numId w:val="42"/>
              </w:numPr>
              <w:ind w:left="430"/>
              <w:jc w:val="left"/>
              <w:rPr>
                <w:color w:val="000000"/>
                <w:sz w:val="22"/>
                <w:szCs w:val="22"/>
              </w:rPr>
            </w:pPr>
            <w:r>
              <w:rPr>
                <w:color w:val="000000"/>
                <w:sz w:val="22"/>
                <w:szCs w:val="22"/>
              </w:rPr>
              <w:t>Updated CEQA section</w:t>
            </w:r>
          </w:p>
        </w:tc>
      </w:tr>
    </w:tbl>
    <w:p w14:paraId="15769DC9" w14:textId="3CB237CE" w:rsidR="00711F51" w:rsidRDefault="00711F51" w:rsidP="007A60F3">
      <w:pPr>
        <w:widowControl w:val="0"/>
        <w:jc w:val="center"/>
        <w:rPr>
          <w:color w:val="000000"/>
          <w:sz w:val="32"/>
        </w:rPr>
      </w:pPr>
      <w:r w:rsidRPr="00993B55">
        <w:rPr>
          <w:color w:val="000000"/>
          <w:sz w:val="32"/>
        </w:rPr>
        <w:lastRenderedPageBreak/>
        <w:t>APR 1010 Change Log</w:t>
      </w:r>
      <w:r>
        <w:rPr>
          <w:color w:val="000000"/>
          <w:sz w:val="32"/>
        </w:rPr>
        <w:t xml:space="preserve"> (cont’d)</w:t>
      </w:r>
    </w:p>
    <w:tbl>
      <w:tblPr>
        <w:tblStyle w:val="TableGrid"/>
        <w:tblpPr w:leftFromText="180" w:rightFromText="180" w:vertAnchor="text" w:horzAnchor="margin" w:tblpX="-545" w:tblpY="93"/>
        <w:tblW w:w="11245" w:type="dxa"/>
        <w:tblLook w:val="04A0" w:firstRow="1" w:lastRow="0" w:firstColumn="1" w:lastColumn="0" w:noHBand="0" w:noVBand="1"/>
      </w:tblPr>
      <w:tblGrid>
        <w:gridCol w:w="1885"/>
        <w:gridCol w:w="2160"/>
        <w:gridCol w:w="7200"/>
      </w:tblGrid>
      <w:tr w:rsidR="00711F51" w14:paraId="2B7394AF" w14:textId="77777777" w:rsidTr="006F55B9">
        <w:trPr>
          <w:trHeight w:val="1163"/>
        </w:trPr>
        <w:tc>
          <w:tcPr>
            <w:tcW w:w="1885" w:type="dxa"/>
            <w:vAlign w:val="center"/>
          </w:tcPr>
          <w:p w14:paraId="5BDAB6F9" w14:textId="77777777" w:rsidR="00711F51" w:rsidRDefault="00711F51" w:rsidP="007A60F3">
            <w:pPr>
              <w:widowControl w:val="0"/>
              <w:jc w:val="left"/>
              <w:rPr>
                <w:color w:val="000000"/>
                <w:sz w:val="22"/>
                <w:szCs w:val="22"/>
              </w:rPr>
            </w:pPr>
            <w:r>
              <w:rPr>
                <w:color w:val="000000"/>
                <w:sz w:val="22"/>
                <w:szCs w:val="22"/>
              </w:rPr>
              <w:t>Version 2024-2a</w:t>
            </w:r>
          </w:p>
        </w:tc>
        <w:tc>
          <w:tcPr>
            <w:tcW w:w="2160" w:type="dxa"/>
            <w:vAlign w:val="center"/>
          </w:tcPr>
          <w:p w14:paraId="70AA5C00" w14:textId="77777777" w:rsidR="00711F51" w:rsidRDefault="00711F51" w:rsidP="007A60F3">
            <w:pPr>
              <w:widowControl w:val="0"/>
              <w:jc w:val="left"/>
              <w:rPr>
                <w:color w:val="000000"/>
                <w:sz w:val="22"/>
                <w:szCs w:val="22"/>
              </w:rPr>
            </w:pPr>
            <w:r>
              <w:rPr>
                <w:color w:val="000000"/>
                <w:sz w:val="22"/>
                <w:szCs w:val="22"/>
              </w:rPr>
              <w:t>May 1, 2024</w:t>
            </w:r>
          </w:p>
        </w:tc>
        <w:tc>
          <w:tcPr>
            <w:tcW w:w="7200" w:type="dxa"/>
            <w:vAlign w:val="center"/>
          </w:tcPr>
          <w:p w14:paraId="52985B45" w14:textId="77777777" w:rsidR="00711F51" w:rsidRDefault="00711F51" w:rsidP="007A60F3">
            <w:pPr>
              <w:pStyle w:val="ListParagraph"/>
              <w:widowControl w:val="0"/>
              <w:numPr>
                <w:ilvl w:val="0"/>
                <w:numId w:val="42"/>
              </w:numPr>
              <w:ind w:left="430"/>
              <w:jc w:val="left"/>
              <w:rPr>
                <w:color w:val="000000"/>
                <w:sz w:val="22"/>
                <w:szCs w:val="22"/>
              </w:rPr>
            </w:pPr>
            <w:r w:rsidRPr="00993B55">
              <w:rPr>
                <w:color w:val="000000"/>
                <w:sz w:val="22"/>
                <w:szCs w:val="22"/>
              </w:rPr>
              <w:t xml:space="preserve">Added </w:t>
            </w:r>
            <w:r>
              <w:rPr>
                <w:color w:val="000000"/>
                <w:sz w:val="22"/>
                <w:szCs w:val="22"/>
              </w:rPr>
              <w:t>NOx and VOC (Ozone)</w:t>
            </w:r>
            <w:r w:rsidRPr="00993B55">
              <w:rPr>
                <w:color w:val="000000"/>
                <w:sz w:val="22"/>
                <w:szCs w:val="22"/>
              </w:rPr>
              <w:t xml:space="preserve"> federal offset sanctions section</w:t>
            </w:r>
          </w:p>
          <w:p w14:paraId="39F235DE" w14:textId="77777777" w:rsidR="00711F51" w:rsidRDefault="00711F51" w:rsidP="007A60F3">
            <w:pPr>
              <w:pStyle w:val="ListParagraph"/>
              <w:widowControl w:val="0"/>
              <w:numPr>
                <w:ilvl w:val="0"/>
                <w:numId w:val="42"/>
              </w:numPr>
              <w:ind w:left="430"/>
              <w:jc w:val="left"/>
              <w:rPr>
                <w:color w:val="000000"/>
                <w:sz w:val="22"/>
                <w:szCs w:val="22"/>
              </w:rPr>
            </w:pPr>
            <w:r>
              <w:rPr>
                <w:color w:val="000000"/>
                <w:sz w:val="22"/>
                <w:szCs w:val="22"/>
              </w:rPr>
              <w:t>Clarification of TV Significant Modification public notification requirement</w:t>
            </w:r>
          </w:p>
          <w:p w14:paraId="1C094A49" w14:textId="77777777" w:rsidR="00711F51" w:rsidRDefault="00711F51" w:rsidP="007A60F3">
            <w:pPr>
              <w:pStyle w:val="ListParagraph"/>
              <w:widowControl w:val="0"/>
              <w:numPr>
                <w:ilvl w:val="0"/>
                <w:numId w:val="42"/>
              </w:numPr>
              <w:ind w:left="430"/>
              <w:jc w:val="left"/>
              <w:rPr>
                <w:color w:val="000000"/>
                <w:sz w:val="22"/>
                <w:szCs w:val="22"/>
              </w:rPr>
            </w:pPr>
            <w:r>
              <w:rPr>
                <w:color w:val="000000"/>
                <w:sz w:val="22"/>
                <w:szCs w:val="22"/>
              </w:rPr>
              <w:t>Other minor updates</w:t>
            </w:r>
          </w:p>
        </w:tc>
      </w:tr>
      <w:tr w:rsidR="003523EC" w14:paraId="420C5172" w14:textId="77777777" w:rsidTr="006F55B9">
        <w:trPr>
          <w:trHeight w:val="947"/>
        </w:trPr>
        <w:tc>
          <w:tcPr>
            <w:tcW w:w="1885" w:type="dxa"/>
            <w:vAlign w:val="center"/>
          </w:tcPr>
          <w:p w14:paraId="6B18E00F" w14:textId="06C5E995" w:rsidR="003523EC" w:rsidRDefault="003523EC" w:rsidP="007A60F3">
            <w:pPr>
              <w:widowControl w:val="0"/>
              <w:jc w:val="left"/>
              <w:rPr>
                <w:color w:val="000000"/>
                <w:sz w:val="22"/>
                <w:szCs w:val="22"/>
              </w:rPr>
            </w:pPr>
            <w:r>
              <w:rPr>
                <w:color w:val="000000"/>
                <w:sz w:val="22"/>
                <w:szCs w:val="22"/>
              </w:rPr>
              <w:t>Version 2024-3a</w:t>
            </w:r>
          </w:p>
        </w:tc>
        <w:tc>
          <w:tcPr>
            <w:tcW w:w="2160" w:type="dxa"/>
            <w:vAlign w:val="center"/>
          </w:tcPr>
          <w:p w14:paraId="34589670" w14:textId="0DC69737" w:rsidR="003523EC" w:rsidRDefault="003523EC" w:rsidP="007A60F3">
            <w:pPr>
              <w:widowControl w:val="0"/>
              <w:jc w:val="left"/>
              <w:rPr>
                <w:color w:val="000000"/>
                <w:sz w:val="22"/>
                <w:szCs w:val="22"/>
              </w:rPr>
            </w:pPr>
            <w:r>
              <w:rPr>
                <w:color w:val="000000"/>
                <w:sz w:val="22"/>
                <w:szCs w:val="22"/>
              </w:rPr>
              <w:t>October 25, 2024</w:t>
            </w:r>
          </w:p>
        </w:tc>
        <w:tc>
          <w:tcPr>
            <w:tcW w:w="7200" w:type="dxa"/>
            <w:vAlign w:val="center"/>
          </w:tcPr>
          <w:p w14:paraId="30CCA8F4" w14:textId="09D4AF78" w:rsidR="003523EC" w:rsidRDefault="003523EC" w:rsidP="007A60F3">
            <w:pPr>
              <w:pStyle w:val="ListParagraph"/>
              <w:widowControl w:val="0"/>
              <w:numPr>
                <w:ilvl w:val="0"/>
                <w:numId w:val="42"/>
              </w:numPr>
              <w:ind w:left="430"/>
              <w:jc w:val="left"/>
              <w:rPr>
                <w:color w:val="000000"/>
                <w:sz w:val="22"/>
                <w:szCs w:val="22"/>
              </w:rPr>
            </w:pPr>
            <w:r>
              <w:rPr>
                <w:color w:val="000000"/>
                <w:sz w:val="22"/>
                <w:szCs w:val="22"/>
              </w:rPr>
              <w:t>Removed</w:t>
            </w:r>
            <w:r w:rsidRPr="00993B55">
              <w:rPr>
                <w:color w:val="000000"/>
                <w:sz w:val="22"/>
                <w:szCs w:val="22"/>
              </w:rPr>
              <w:t xml:space="preserve"> </w:t>
            </w:r>
            <w:r>
              <w:rPr>
                <w:color w:val="000000"/>
                <w:sz w:val="22"/>
                <w:szCs w:val="22"/>
              </w:rPr>
              <w:t>NOx and VOC (Ozone)</w:t>
            </w:r>
            <w:r w:rsidRPr="00993B55">
              <w:rPr>
                <w:color w:val="000000"/>
                <w:sz w:val="22"/>
                <w:szCs w:val="22"/>
              </w:rPr>
              <w:t xml:space="preserve"> federal offset sanctions section</w:t>
            </w:r>
            <w:r>
              <w:rPr>
                <w:color w:val="000000"/>
                <w:sz w:val="22"/>
                <w:szCs w:val="22"/>
              </w:rPr>
              <w:t xml:space="preserve"> for projects finalized after 10/25/24</w:t>
            </w:r>
          </w:p>
          <w:p w14:paraId="45900B3F" w14:textId="7CACD565" w:rsidR="003523EC" w:rsidRPr="00993B55" w:rsidRDefault="003523EC" w:rsidP="007A60F3">
            <w:pPr>
              <w:pStyle w:val="ListParagraph"/>
              <w:widowControl w:val="0"/>
              <w:numPr>
                <w:ilvl w:val="0"/>
                <w:numId w:val="42"/>
              </w:numPr>
              <w:ind w:left="430"/>
              <w:jc w:val="left"/>
              <w:rPr>
                <w:color w:val="000000"/>
                <w:sz w:val="22"/>
                <w:szCs w:val="22"/>
              </w:rPr>
            </w:pPr>
            <w:r>
              <w:rPr>
                <w:color w:val="000000"/>
                <w:sz w:val="22"/>
                <w:szCs w:val="22"/>
              </w:rPr>
              <w:t>Updated Rule 2520 section</w:t>
            </w:r>
          </w:p>
        </w:tc>
      </w:tr>
      <w:tr w:rsidR="003523EC" w14:paraId="5F2BE3D4" w14:textId="77777777" w:rsidTr="00880108">
        <w:trPr>
          <w:trHeight w:val="2541"/>
        </w:trPr>
        <w:tc>
          <w:tcPr>
            <w:tcW w:w="1885" w:type="dxa"/>
            <w:vAlign w:val="center"/>
          </w:tcPr>
          <w:p w14:paraId="3E60601B" w14:textId="6DB57C46" w:rsidR="003523EC" w:rsidRDefault="003523EC" w:rsidP="007A60F3">
            <w:pPr>
              <w:widowControl w:val="0"/>
              <w:jc w:val="left"/>
              <w:rPr>
                <w:color w:val="000000"/>
                <w:sz w:val="22"/>
                <w:szCs w:val="22"/>
              </w:rPr>
            </w:pPr>
            <w:r>
              <w:rPr>
                <w:color w:val="000000"/>
                <w:sz w:val="22"/>
                <w:szCs w:val="22"/>
              </w:rPr>
              <w:t>Version 2026-1a</w:t>
            </w:r>
          </w:p>
        </w:tc>
        <w:tc>
          <w:tcPr>
            <w:tcW w:w="2160" w:type="dxa"/>
            <w:vAlign w:val="center"/>
          </w:tcPr>
          <w:p w14:paraId="1253BF0F" w14:textId="20C22C28" w:rsidR="003523EC" w:rsidRDefault="00882BF0" w:rsidP="007A60F3">
            <w:pPr>
              <w:widowControl w:val="0"/>
              <w:jc w:val="left"/>
              <w:rPr>
                <w:color w:val="000000"/>
                <w:sz w:val="22"/>
                <w:szCs w:val="22"/>
              </w:rPr>
            </w:pPr>
            <w:r>
              <w:rPr>
                <w:color w:val="000000"/>
                <w:sz w:val="22"/>
                <w:szCs w:val="22"/>
              </w:rPr>
              <w:t xml:space="preserve">March </w:t>
            </w:r>
            <w:r w:rsidR="00DD5826">
              <w:rPr>
                <w:color w:val="000000"/>
                <w:sz w:val="22"/>
                <w:szCs w:val="22"/>
              </w:rPr>
              <w:t>2</w:t>
            </w:r>
            <w:r>
              <w:rPr>
                <w:color w:val="000000"/>
                <w:sz w:val="22"/>
                <w:szCs w:val="22"/>
              </w:rPr>
              <w:t>7</w:t>
            </w:r>
            <w:r w:rsidR="003523EC">
              <w:rPr>
                <w:color w:val="000000"/>
                <w:sz w:val="22"/>
                <w:szCs w:val="22"/>
              </w:rPr>
              <w:t>, 2026</w:t>
            </w:r>
          </w:p>
        </w:tc>
        <w:tc>
          <w:tcPr>
            <w:tcW w:w="7200" w:type="dxa"/>
            <w:vAlign w:val="center"/>
          </w:tcPr>
          <w:p w14:paraId="22F4030D" w14:textId="77777777" w:rsidR="00CB1314" w:rsidRDefault="00CB1314" w:rsidP="007A60F3">
            <w:pPr>
              <w:pStyle w:val="ListParagraph"/>
              <w:widowControl w:val="0"/>
              <w:numPr>
                <w:ilvl w:val="0"/>
                <w:numId w:val="42"/>
              </w:numPr>
              <w:ind w:left="432"/>
              <w:jc w:val="left"/>
              <w:rPr>
                <w:color w:val="000000"/>
                <w:sz w:val="22"/>
                <w:szCs w:val="22"/>
              </w:rPr>
            </w:pPr>
            <w:r>
              <w:rPr>
                <w:color w:val="000000"/>
                <w:sz w:val="22"/>
                <w:szCs w:val="22"/>
              </w:rPr>
              <w:t>Enhanced guidance writing project proposal section</w:t>
            </w:r>
          </w:p>
          <w:p w14:paraId="510E18EE" w14:textId="79B0E7EA" w:rsidR="00CB1314" w:rsidRDefault="00CB1314" w:rsidP="00CB1314">
            <w:pPr>
              <w:pStyle w:val="ListParagraph"/>
              <w:widowControl w:val="0"/>
              <w:numPr>
                <w:ilvl w:val="0"/>
                <w:numId w:val="42"/>
              </w:numPr>
              <w:ind w:left="432"/>
              <w:jc w:val="left"/>
              <w:rPr>
                <w:color w:val="000000"/>
                <w:sz w:val="22"/>
                <w:szCs w:val="22"/>
              </w:rPr>
            </w:pPr>
            <w:r>
              <w:rPr>
                <w:color w:val="000000"/>
                <w:sz w:val="22"/>
                <w:szCs w:val="22"/>
              </w:rPr>
              <w:t xml:space="preserve">Revised </w:t>
            </w:r>
            <w:r w:rsidR="00E47EC0">
              <w:rPr>
                <w:color w:val="000000"/>
                <w:sz w:val="22"/>
                <w:szCs w:val="22"/>
              </w:rPr>
              <w:t>Health Risk Assessment</w:t>
            </w:r>
            <w:r>
              <w:rPr>
                <w:color w:val="000000"/>
                <w:sz w:val="22"/>
                <w:szCs w:val="22"/>
              </w:rPr>
              <w:t xml:space="preserve"> discussion</w:t>
            </w:r>
          </w:p>
          <w:p w14:paraId="541FFCC2" w14:textId="5B29106F" w:rsidR="001E19A1" w:rsidRDefault="001E19A1" w:rsidP="007A60F3">
            <w:pPr>
              <w:pStyle w:val="ListParagraph"/>
              <w:widowControl w:val="0"/>
              <w:numPr>
                <w:ilvl w:val="0"/>
                <w:numId w:val="42"/>
              </w:numPr>
              <w:ind w:left="432"/>
              <w:jc w:val="left"/>
              <w:rPr>
                <w:color w:val="000000"/>
                <w:sz w:val="22"/>
                <w:szCs w:val="22"/>
              </w:rPr>
            </w:pPr>
            <w:r>
              <w:rPr>
                <w:color w:val="000000"/>
                <w:sz w:val="22"/>
                <w:szCs w:val="22"/>
              </w:rPr>
              <w:t xml:space="preserve">Revised Rule 4001 </w:t>
            </w:r>
            <w:r w:rsidR="00B456FD">
              <w:rPr>
                <w:color w:val="000000"/>
                <w:sz w:val="22"/>
                <w:szCs w:val="22"/>
              </w:rPr>
              <w:t xml:space="preserve">guidance and </w:t>
            </w:r>
            <w:r>
              <w:rPr>
                <w:color w:val="000000"/>
                <w:sz w:val="22"/>
                <w:szCs w:val="22"/>
              </w:rPr>
              <w:t>discussion</w:t>
            </w:r>
          </w:p>
          <w:p w14:paraId="1F451692" w14:textId="68CE89B3" w:rsidR="00B83BAC" w:rsidRDefault="00B83BAC" w:rsidP="007A60F3">
            <w:pPr>
              <w:pStyle w:val="ListParagraph"/>
              <w:widowControl w:val="0"/>
              <w:numPr>
                <w:ilvl w:val="0"/>
                <w:numId w:val="42"/>
              </w:numPr>
              <w:ind w:left="432"/>
              <w:jc w:val="left"/>
              <w:rPr>
                <w:color w:val="000000"/>
                <w:sz w:val="22"/>
                <w:szCs w:val="22"/>
              </w:rPr>
            </w:pPr>
            <w:r>
              <w:rPr>
                <w:color w:val="000000"/>
                <w:sz w:val="22"/>
                <w:szCs w:val="22"/>
              </w:rPr>
              <w:t xml:space="preserve">Added </w:t>
            </w:r>
            <w:r w:rsidR="006F55B9">
              <w:rPr>
                <w:color w:val="000000"/>
                <w:sz w:val="22"/>
                <w:szCs w:val="22"/>
              </w:rPr>
              <w:t>M</w:t>
            </w:r>
            <w:r w:rsidR="00DF4D59">
              <w:rPr>
                <w:color w:val="000000"/>
                <w:sz w:val="22"/>
                <w:szCs w:val="22"/>
              </w:rPr>
              <w:t xml:space="preserve">ajor </w:t>
            </w:r>
            <w:r w:rsidR="00FD3432">
              <w:rPr>
                <w:color w:val="000000"/>
                <w:sz w:val="22"/>
                <w:szCs w:val="22"/>
              </w:rPr>
              <w:t xml:space="preserve">HAP </w:t>
            </w:r>
            <w:r>
              <w:rPr>
                <w:color w:val="000000"/>
                <w:sz w:val="22"/>
                <w:szCs w:val="22"/>
              </w:rPr>
              <w:t xml:space="preserve">source determination discussion </w:t>
            </w:r>
          </w:p>
          <w:p w14:paraId="56857A2F" w14:textId="1CCC3F7C" w:rsidR="00882BF0" w:rsidRDefault="00880108" w:rsidP="007A60F3">
            <w:pPr>
              <w:pStyle w:val="ListParagraph"/>
              <w:widowControl w:val="0"/>
              <w:numPr>
                <w:ilvl w:val="0"/>
                <w:numId w:val="42"/>
              </w:numPr>
              <w:ind w:left="432"/>
              <w:jc w:val="left"/>
              <w:rPr>
                <w:color w:val="000000"/>
                <w:sz w:val="22"/>
                <w:szCs w:val="22"/>
              </w:rPr>
            </w:pPr>
            <w:r>
              <w:rPr>
                <w:color w:val="000000"/>
                <w:sz w:val="22"/>
                <w:szCs w:val="22"/>
              </w:rPr>
              <w:t>Revised</w:t>
            </w:r>
            <w:r w:rsidR="00882BF0">
              <w:rPr>
                <w:color w:val="000000"/>
                <w:sz w:val="22"/>
                <w:szCs w:val="22"/>
              </w:rPr>
              <w:t xml:space="preserve"> PSD discussion</w:t>
            </w:r>
          </w:p>
          <w:p w14:paraId="7D25F9D2" w14:textId="7EC2EB89" w:rsidR="001E786D" w:rsidRDefault="00FD3432" w:rsidP="007A60F3">
            <w:pPr>
              <w:pStyle w:val="ListParagraph"/>
              <w:widowControl w:val="0"/>
              <w:numPr>
                <w:ilvl w:val="0"/>
                <w:numId w:val="42"/>
              </w:numPr>
              <w:ind w:left="432"/>
              <w:jc w:val="left"/>
              <w:rPr>
                <w:color w:val="000000"/>
                <w:sz w:val="22"/>
                <w:szCs w:val="22"/>
              </w:rPr>
            </w:pPr>
            <w:r>
              <w:rPr>
                <w:color w:val="000000"/>
                <w:sz w:val="22"/>
                <w:szCs w:val="22"/>
              </w:rPr>
              <w:t>Added additional</w:t>
            </w:r>
            <w:r w:rsidR="00706E14">
              <w:rPr>
                <w:color w:val="000000"/>
                <w:sz w:val="22"/>
                <w:szCs w:val="22"/>
              </w:rPr>
              <w:t xml:space="preserve"> </w:t>
            </w:r>
            <w:r w:rsidR="00F75EE2">
              <w:rPr>
                <w:color w:val="000000"/>
                <w:sz w:val="22"/>
                <w:szCs w:val="22"/>
              </w:rPr>
              <w:t xml:space="preserve">Compliance Certification </w:t>
            </w:r>
            <w:r w:rsidR="006F40D1">
              <w:rPr>
                <w:color w:val="000000"/>
                <w:sz w:val="22"/>
                <w:szCs w:val="22"/>
              </w:rPr>
              <w:t>verification</w:t>
            </w:r>
            <w:r>
              <w:rPr>
                <w:color w:val="000000"/>
                <w:sz w:val="22"/>
                <w:szCs w:val="22"/>
              </w:rPr>
              <w:t xml:space="preserve"> guidance</w:t>
            </w:r>
            <w:r w:rsidR="00F75EE2">
              <w:rPr>
                <w:color w:val="000000"/>
                <w:sz w:val="22"/>
                <w:szCs w:val="22"/>
              </w:rPr>
              <w:t xml:space="preserve"> for </w:t>
            </w:r>
            <w:r w:rsidR="006A369E">
              <w:rPr>
                <w:color w:val="000000"/>
                <w:sz w:val="22"/>
                <w:szCs w:val="22"/>
              </w:rPr>
              <w:t xml:space="preserve">Major Source public notice </w:t>
            </w:r>
            <w:r>
              <w:rPr>
                <w:color w:val="000000"/>
                <w:sz w:val="22"/>
                <w:szCs w:val="22"/>
              </w:rPr>
              <w:t>projects</w:t>
            </w:r>
          </w:p>
          <w:p w14:paraId="51B1A699" w14:textId="11B8F6B3" w:rsidR="004F459B" w:rsidRPr="004F459B" w:rsidRDefault="00CB1314" w:rsidP="004F459B">
            <w:pPr>
              <w:pStyle w:val="ListParagraph"/>
              <w:widowControl w:val="0"/>
              <w:numPr>
                <w:ilvl w:val="0"/>
                <w:numId w:val="42"/>
              </w:numPr>
              <w:ind w:left="432"/>
              <w:jc w:val="left"/>
              <w:rPr>
                <w:color w:val="000000"/>
                <w:sz w:val="22"/>
                <w:szCs w:val="22"/>
              </w:rPr>
            </w:pPr>
            <w:r w:rsidRPr="00A30BFD">
              <w:rPr>
                <w:color w:val="000000"/>
                <w:sz w:val="22"/>
                <w:szCs w:val="22"/>
              </w:rPr>
              <w:t xml:space="preserve">Removed </w:t>
            </w:r>
            <w:r>
              <w:rPr>
                <w:color w:val="000000"/>
                <w:sz w:val="22"/>
                <w:szCs w:val="22"/>
              </w:rPr>
              <w:t>I</w:t>
            </w:r>
            <w:r w:rsidRPr="00A30BFD">
              <w:rPr>
                <w:color w:val="000000"/>
                <w:sz w:val="22"/>
                <w:szCs w:val="22"/>
              </w:rPr>
              <w:t xml:space="preserve">ndemnification </w:t>
            </w:r>
            <w:r>
              <w:rPr>
                <w:color w:val="000000"/>
                <w:sz w:val="22"/>
                <w:szCs w:val="22"/>
              </w:rPr>
              <w:t>A</w:t>
            </w:r>
            <w:r w:rsidRPr="00A30BFD">
              <w:rPr>
                <w:color w:val="000000"/>
                <w:sz w:val="22"/>
                <w:szCs w:val="22"/>
              </w:rPr>
              <w:t>greement/</w:t>
            </w:r>
            <w:r>
              <w:rPr>
                <w:color w:val="000000"/>
                <w:sz w:val="22"/>
                <w:szCs w:val="22"/>
              </w:rPr>
              <w:t>L</w:t>
            </w:r>
            <w:r w:rsidRPr="00A30BFD">
              <w:rPr>
                <w:color w:val="000000"/>
                <w:sz w:val="22"/>
                <w:szCs w:val="22"/>
              </w:rPr>
              <w:t xml:space="preserve">etter of </w:t>
            </w:r>
            <w:r>
              <w:rPr>
                <w:color w:val="000000"/>
                <w:sz w:val="22"/>
                <w:szCs w:val="22"/>
              </w:rPr>
              <w:t>C</w:t>
            </w:r>
            <w:r w:rsidRPr="00A30BFD">
              <w:rPr>
                <w:color w:val="000000"/>
                <w:sz w:val="22"/>
                <w:szCs w:val="22"/>
              </w:rPr>
              <w:t xml:space="preserve">redit </w:t>
            </w:r>
            <w:r>
              <w:rPr>
                <w:color w:val="000000"/>
                <w:sz w:val="22"/>
                <w:szCs w:val="22"/>
              </w:rPr>
              <w:t>discussion</w:t>
            </w:r>
          </w:p>
          <w:p w14:paraId="31D54E5C" w14:textId="7983A437" w:rsidR="004A59A7" w:rsidRPr="00A30BFD" w:rsidRDefault="004A59A7" w:rsidP="007A60F3">
            <w:pPr>
              <w:pStyle w:val="ListParagraph"/>
              <w:widowControl w:val="0"/>
              <w:numPr>
                <w:ilvl w:val="0"/>
                <w:numId w:val="42"/>
              </w:numPr>
              <w:ind w:left="432"/>
              <w:jc w:val="left"/>
              <w:rPr>
                <w:color w:val="000000"/>
                <w:sz w:val="22"/>
                <w:szCs w:val="22"/>
              </w:rPr>
            </w:pPr>
            <w:r>
              <w:rPr>
                <w:color w:val="000000"/>
                <w:sz w:val="22"/>
                <w:szCs w:val="22"/>
              </w:rPr>
              <w:t xml:space="preserve">Other minor </w:t>
            </w:r>
            <w:r w:rsidR="006F55B9">
              <w:rPr>
                <w:color w:val="000000"/>
                <w:sz w:val="22"/>
                <w:szCs w:val="22"/>
              </w:rPr>
              <w:t xml:space="preserve">and formatting </w:t>
            </w:r>
            <w:r>
              <w:rPr>
                <w:color w:val="000000"/>
                <w:sz w:val="22"/>
                <w:szCs w:val="22"/>
              </w:rPr>
              <w:t>updates</w:t>
            </w:r>
          </w:p>
        </w:tc>
      </w:tr>
    </w:tbl>
    <w:p w14:paraId="1065F685" w14:textId="77777777" w:rsidR="00337B2C" w:rsidRDefault="00337B2C" w:rsidP="007A60F3">
      <w:pPr>
        <w:widowControl w:val="0"/>
        <w:jc w:val="left"/>
        <w:rPr>
          <w:color w:val="000000"/>
        </w:rPr>
      </w:pPr>
    </w:p>
    <w:p w14:paraId="7EF3DC47" w14:textId="77777777" w:rsidR="00C4299A" w:rsidRDefault="00C4299A" w:rsidP="007A60F3">
      <w:pPr>
        <w:widowControl w:val="0"/>
        <w:jc w:val="left"/>
        <w:rPr>
          <w:color w:val="000000"/>
        </w:rPr>
      </w:pPr>
    </w:p>
    <w:p w14:paraId="4D49D921" w14:textId="77777777" w:rsidR="00C4299A" w:rsidRDefault="00C4299A" w:rsidP="007A60F3">
      <w:pPr>
        <w:widowControl w:val="0"/>
        <w:jc w:val="left"/>
        <w:rPr>
          <w:color w:val="000000"/>
        </w:rPr>
      </w:pPr>
    </w:p>
    <w:p w14:paraId="2F437EB5" w14:textId="77777777" w:rsidR="00C4299A" w:rsidRDefault="00C4299A" w:rsidP="007A60F3">
      <w:pPr>
        <w:widowControl w:val="0"/>
        <w:jc w:val="left"/>
        <w:rPr>
          <w:color w:val="000000"/>
        </w:rPr>
      </w:pPr>
    </w:p>
    <w:p w14:paraId="3F80188C" w14:textId="251B9C2F" w:rsidR="00C4299A" w:rsidRDefault="00C4299A" w:rsidP="007A60F3">
      <w:pPr>
        <w:widowControl w:val="0"/>
        <w:jc w:val="left"/>
        <w:rPr>
          <w:color w:val="000000"/>
        </w:rPr>
        <w:sectPr w:rsidR="00C4299A" w:rsidSect="00F3524B">
          <w:headerReference w:type="default" r:id="rId12"/>
          <w:type w:val="continuous"/>
          <w:pgSz w:w="12240" w:h="15840" w:code="1"/>
          <w:pgMar w:top="1296" w:right="1080" w:bottom="907" w:left="1080" w:header="432" w:footer="619" w:gutter="0"/>
          <w:cols w:space="720"/>
          <w:docGrid w:linePitch="326"/>
        </w:sectPr>
      </w:pPr>
    </w:p>
    <w:p w14:paraId="2F8DBA04" w14:textId="77777777" w:rsidR="005A1E7F" w:rsidRPr="00505E9F" w:rsidRDefault="005A1E7F" w:rsidP="007A60F3">
      <w:pPr>
        <w:widowControl w:val="0"/>
        <w:jc w:val="center"/>
        <w:rPr>
          <w:b/>
          <w:bCs/>
          <w:color w:val="000000"/>
          <w:sz w:val="40"/>
          <w:szCs w:val="22"/>
        </w:rPr>
      </w:pPr>
      <w:r w:rsidRPr="00505E9F">
        <w:rPr>
          <w:b/>
          <w:bCs/>
          <w:color w:val="000000"/>
          <w:sz w:val="36"/>
          <w:szCs w:val="22"/>
        </w:rPr>
        <w:lastRenderedPageBreak/>
        <w:t>San Joaquin Valley Air Pollution Control District</w:t>
      </w:r>
    </w:p>
    <w:p w14:paraId="4A9BFCEB" w14:textId="76C3DF6D" w:rsidR="000177D5" w:rsidRDefault="000177D5" w:rsidP="007A60F3">
      <w:pPr>
        <w:widowControl w:val="0"/>
        <w:jc w:val="center"/>
        <w:rPr>
          <w:color w:val="000000"/>
          <w:sz w:val="32"/>
        </w:rPr>
      </w:pPr>
      <w:r w:rsidRPr="00993B55">
        <w:rPr>
          <w:sz w:val="32"/>
        </w:rPr>
        <w:t xml:space="preserve">Authority to Construct </w:t>
      </w:r>
      <w:r w:rsidR="00263B19">
        <w:rPr>
          <w:sz w:val="32"/>
        </w:rPr>
        <w:t xml:space="preserve">Permit </w:t>
      </w:r>
      <w:r w:rsidRPr="00993B55">
        <w:rPr>
          <w:color w:val="000000"/>
          <w:sz w:val="32"/>
        </w:rPr>
        <w:t>Application Review</w:t>
      </w:r>
    </w:p>
    <w:p w14:paraId="5D42A7B3" w14:textId="77777777" w:rsidR="000177D5" w:rsidRPr="00993B55" w:rsidRDefault="000177D5" w:rsidP="007A60F3">
      <w:pPr>
        <w:widowControl w:val="0"/>
        <w:jc w:val="center"/>
      </w:pPr>
    </w:p>
    <w:p w14:paraId="6128602F" w14:textId="77777777" w:rsidR="000177D5" w:rsidRPr="00993B55" w:rsidRDefault="000177D5" w:rsidP="007A60F3">
      <w:pPr>
        <w:widowControl w:val="0"/>
        <w:jc w:val="center"/>
        <w:rPr>
          <w:color w:val="0000FF"/>
        </w:rPr>
      </w:pPr>
      <w:r w:rsidRPr="00993B55">
        <w:rPr>
          <w:color w:val="0000FF"/>
        </w:rPr>
        <w:t>Type of Project</w:t>
      </w:r>
    </w:p>
    <w:p w14:paraId="64FEC2F7" w14:textId="77777777" w:rsidR="000177D5" w:rsidRPr="00993B55" w:rsidRDefault="000177D5" w:rsidP="007A60F3">
      <w:pPr>
        <w:widowControl w:val="0"/>
        <w:jc w:val="center"/>
        <w:rPr>
          <w:color w:val="000000"/>
        </w:rPr>
      </w:pPr>
    </w:p>
    <w:tbl>
      <w:tblPr>
        <w:tblW w:w="10350" w:type="dxa"/>
        <w:tblInd w:w="18" w:type="dxa"/>
        <w:tblLayout w:type="fixed"/>
        <w:tblLook w:val="0000" w:firstRow="0" w:lastRow="0" w:firstColumn="0" w:lastColumn="0" w:noHBand="0" w:noVBand="0"/>
      </w:tblPr>
      <w:tblGrid>
        <w:gridCol w:w="2862"/>
        <w:gridCol w:w="3078"/>
        <w:gridCol w:w="1080"/>
        <w:gridCol w:w="810"/>
        <w:gridCol w:w="2520"/>
      </w:tblGrid>
      <w:tr w:rsidR="000177D5" w:rsidRPr="00993B55" w14:paraId="5C7D6512" w14:textId="77777777" w:rsidTr="00FA2E79">
        <w:trPr>
          <w:cantSplit/>
        </w:trPr>
        <w:tc>
          <w:tcPr>
            <w:tcW w:w="2862" w:type="dxa"/>
            <w:vAlign w:val="center"/>
          </w:tcPr>
          <w:p w14:paraId="1C8A5A0B" w14:textId="77777777" w:rsidR="000177D5" w:rsidRPr="00993B55" w:rsidRDefault="000177D5" w:rsidP="007A60F3">
            <w:pPr>
              <w:widowControl w:val="0"/>
              <w:spacing w:before="40" w:after="40"/>
              <w:jc w:val="right"/>
              <w:rPr>
                <w:color w:val="000000"/>
              </w:rPr>
            </w:pPr>
            <w:r w:rsidRPr="00993B55">
              <w:rPr>
                <w:color w:val="000000"/>
              </w:rPr>
              <w:t>Facility Name:</w:t>
            </w:r>
          </w:p>
        </w:tc>
        <w:tc>
          <w:tcPr>
            <w:tcW w:w="4158" w:type="dxa"/>
            <w:gridSpan w:val="2"/>
            <w:vAlign w:val="center"/>
          </w:tcPr>
          <w:p w14:paraId="02AD2972" w14:textId="77777777" w:rsidR="000177D5" w:rsidRPr="00993B55" w:rsidRDefault="000177D5" w:rsidP="007A60F3">
            <w:pPr>
              <w:widowControl w:val="0"/>
              <w:spacing w:before="40" w:after="40"/>
              <w:rPr>
                <w:color w:val="000000"/>
              </w:rPr>
            </w:pPr>
          </w:p>
        </w:tc>
        <w:tc>
          <w:tcPr>
            <w:tcW w:w="810" w:type="dxa"/>
            <w:vAlign w:val="center"/>
          </w:tcPr>
          <w:p w14:paraId="481BBEE6" w14:textId="77777777" w:rsidR="000177D5" w:rsidRPr="00993B55" w:rsidRDefault="000177D5" w:rsidP="007A60F3">
            <w:pPr>
              <w:widowControl w:val="0"/>
              <w:spacing w:before="40" w:after="40"/>
              <w:jc w:val="right"/>
              <w:rPr>
                <w:color w:val="000000"/>
              </w:rPr>
            </w:pPr>
            <w:r w:rsidRPr="00993B55">
              <w:rPr>
                <w:color w:val="000000"/>
              </w:rPr>
              <w:t>Date:</w:t>
            </w:r>
          </w:p>
        </w:tc>
        <w:tc>
          <w:tcPr>
            <w:tcW w:w="2520" w:type="dxa"/>
            <w:vAlign w:val="center"/>
          </w:tcPr>
          <w:p w14:paraId="6B775825" w14:textId="77777777" w:rsidR="000177D5" w:rsidRPr="00993B55" w:rsidRDefault="000177D5" w:rsidP="007A60F3">
            <w:pPr>
              <w:widowControl w:val="0"/>
              <w:spacing w:before="40" w:after="40"/>
              <w:rPr>
                <w:color w:val="000000"/>
              </w:rPr>
            </w:pPr>
          </w:p>
        </w:tc>
      </w:tr>
      <w:tr w:rsidR="000177D5" w:rsidRPr="00993B55" w14:paraId="2D08364D" w14:textId="77777777" w:rsidTr="00FA2E79">
        <w:trPr>
          <w:cantSplit/>
        </w:trPr>
        <w:tc>
          <w:tcPr>
            <w:tcW w:w="2862" w:type="dxa"/>
            <w:vMerge w:val="restart"/>
          </w:tcPr>
          <w:p w14:paraId="519B5774" w14:textId="77777777" w:rsidR="000177D5" w:rsidRPr="00993B55" w:rsidRDefault="000177D5" w:rsidP="007A60F3">
            <w:pPr>
              <w:widowControl w:val="0"/>
              <w:spacing w:before="40" w:after="40"/>
              <w:jc w:val="right"/>
              <w:rPr>
                <w:color w:val="000000"/>
              </w:rPr>
            </w:pPr>
            <w:r w:rsidRPr="00993B55">
              <w:rPr>
                <w:color w:val="000000"/>
              </w:rPr>
              <w:t>Mailing Address:</w:t>
            </w:r>
          </w:p>
        </w:tc>
        <w:tc>
          <w:tcPr>
            <w:tcW w:w="3078" w:type="dxa"/>
            <w:vMerge w:val="restart"/>
          </w:tcPr>
          <w:p w14:paraId="4F76D6E7" w14:textId="77777777" w:rsidR="000177D5" w:rsidRPr="00993B55" w:rsidRDefault="000177D5" w:rsidP="007A60F3">
            <w:pPr>
              <w:widowControl w:val="0"/>
              <w:spacing w:before="40" w:after="40"/>
              <w:rPr>
                <w:color w:val="000000"/>
              </w:rPr>
            </w:pPr>
          </w:p>
        </w:tc>
        <w:tc>
          <w:tcPr>
            <w:tcW w:w="1890" w:type="dxa"/>
            <w:gridSpan w:val="2"/>
            <w:vAlign w:val="center"/>
          </w:tcPr>
          <w:p w14:paraId="1D1F4CFD" w14:textId="77777777" w:rsidR="000177D5" w:rsidRPr="00993B55" w:rsidRDefault="000177D5" w:rsidP="007A60F3">
            <w:pPr>
              <w:widowControl w:val="0"/>
              <w:spacing w:before="40" w:after="40"/>
              <w:jc w:val="right"/>
              <w:rPr>
                <w:color w:val="000000"/>
              </w:rPr>
            </w:pPr>
            <w:r w:rsidRPr="00993B55">
              <w:rPr>
                <w:color w:val="000000"/>
              </w:rPr>
              <w:t>Engineer:</w:t>
            </w:r>
          </w:p>
        </w:tc>
        <w:tc>
          <w:tcPr>
            <w:tcW w:w="2520" w:type="dxa"/>
            <w:vAlign w:val="center"/>
          </w:tcPr>
          <w:p w14:paraId="54D93D0E" w14:textId="77777777" w:rsidR="000177D5" w:rsidRPr="00993B55" w:rsidRDefault="000177D5" w:rsidP="007A60F3">
            <w:pPr>
              <w:widowControl w:val="0"/>
              <w:spacing w:before="40" w:after="40"/>
              <w:rPr>
                <w:color w:val="000000"/>
              </w:rPr>
            </w:pPr>
          </w:p>
        </w:tc>
      </w:tr>
      <w:tr w:rsidR="000177D5" w:rsidRPr="00993B55" w14:paraId="3711DA7C" w14:textId="77777777" w:rsidTr="00FA2E79">
        <w:trPr>
          <w:cantSplit/>
        </w:trPr>
        <w:tc>
          <w:tcPr>
            <w:tcW w:w="2862" w:type="dxa"/>
            <w:vMerge/>
          </w:tcPr>
          <w:p w14:paraId="2F17F740" w14:textId="77777777" w:rsidR="000177D5" w:rsidRPr="00993B55" w:rsidRDefault="000177D5" w:rsidP="007A60F3">
            <w:pPr>
              <w:widowControl w:val="0"/>
              <w:spacing w:before="40" w:after="40"/>
              <w:jc w:val="right"/>
              <w:rPr>
                <w:color w:val="000000"/>
              </w:rPr>
            </w:pPr>
          </w:p>
        </w:tc>
        <w:tc>
          <w:tcPr>
            <w:tcW w:w="3078" w:type="dxa"/>
            <w:vMerge/>
          </w:tcPr>
          <w:p w14:paraId="45750C78" w14:textId="77777777" w:rsidR="000177D5" w:rsidRPr="00993B55" w:rsidRDefault="000177D5" w:rsidP="007A60F3">
            <w:pPr>
              <w:widowControl w:val="0"/>
              <w:spacing w:before="40" w:after="40"/>
              <w:rPr>
                <w:color w:val="000000"/>
              </w:rPr>
            </w:pPr>
          </w:p>
        </w:tc>
        <w:tc>
          <w:tcPr>
            <w:tcW w:w="1890" w:type="dxa"/>
            <w:gridSpan w:val="2"/>
            <w:vAlign w:val="center"/>
          </w:tcPr>
          <w:p w14:paraId="366C369B" w14:textId="77777777" w:rsidR="000177D5" w:rsidRPr="00993B55" w:rsidRDefault="000177D5" w:rsidP="007A60F3">
            <w:pPr>
              <w:widowControl w:val="0"/>
              <w:spacing w:before="40" w:after="40"/>
              <w:jc w:val="right"/>
              <w:rPr>
                <w:color w:val="000000"/>
              </w:rPr>
            </w:pPr>
            <w:r w:rsidRPr="00993B55">
              <w:rPr>
                <w:color w:val="000000"/>
              </w:rPr>
              <w:t>Lead Engineer:</w:t>
            </w:r>
          </w:p>
        </w:tc>
        <w:tc>
          <w:tcPr>
            <w:tcW w:w="2520" w:type="dxa"/>
            <w:vAlign w:val="center"/>
          </w:tcPr>
          <w:p w14:paraId="70779812" w14:textId="77777777" w:rsidR="000177D5" w:rsidRPr="00993B55" w:rsidRDefault="000177D5" w:rsidP="007A60F3">
            <w:pPr>
              <w:widowControl w:val="0"/>
              <w:spacing w:before="40" w:after="40"/>
              <w:rPr>
                <w:color w:val="000000"/>
              </w:rPr>
            </w:pPr>
          </w:p>
        </w:tc>
      </w:tr>
      <w:tr w:rsidR="000177D5" w:rsidRPr="00993B55" w14:paraId="5C621917" w14:textId="77777777" w:rsidTr="00FA2E79">
        <w:trPr>
          <w:cantSplit/>
        </w:trPr>
        <w:tc>
          <w:tcPr>
            <w:tcW w:w="2862" w:type="dxa"/>
            <w:vAlign w:val="center"/>
          </w:tcPr>
          <w:p w14:paraId="42F788E9" w14:textId="4EB96E92" w:rsidR="000177D5" w:rsidRPr="00993B55" w:rsidRDefault="0021169E" w:rsidP="007A60F3">
            <w:pPr>
              <w:widowControl w:val="0"/>
              <w:spacing w:before="40" w:after="40"/>
              <w:jc w:val="right"/>
              <w:rPr>
                <w:color w:val="000000"/>
              </w:rPr>
            </w:pPr>
            <w:r>
              <w:rPr>
                <w:color w:val="000000"/>
              </w:rPr>
              <w:t xml:space="preserve">Facility </w:t>
            </w:r>
            <w:r w:rsidR="000177D5" w:rsidRPr="00993B55">
              <w:rPr>
                <w:color w:val="000000"/>
              </w:rPr>
              <w:t>Contact Person:</w:t>
            </w:r>
          </w:p>
        </w:tc>
        <w:tc>
          <w:tcPr>
            <w:tcW w:w="7488" w:type="dxa"/>
            <w:gridSpan w:val="4"/>
            <w:vAlign w:val="center"/>
          </w:tcPr>
          <w:p w14:paraId="2D4C1F86" w14:textId="77777777" w:rsidR="000177D5" w:rsidRPr="00993B55" w:rsidRDefault="000177D5" w:rsidP="007A60F3">
            <w:pPr>
              <w:widowControl w:val="0"/>
              <w:spacing w:before="40" w:after="40"/>
              <w:rPr>
                <w:color w:val="000000"/>
              </w:rPr>
            </w:pPr>
          </w:p>
        </w:tc>
      </w:tr>
      <w:tr w:rsidR="000177D5" w:rsidRPr="00993B55" w14:paraId="3438F919" w14:textId="77777777" w:rsidTr="00FA2E79">
        <w:trPr>
          <w:cantSplit/>
        </w:trPr>
        <w:tc>
          <w:tcPr>
            <w:tcW w:w="2862" w:type="dxa"/>
            <w:vAlign w:val="center"/>
          </w:tcPr>
          <w:p w14:paraId="3A697726" w14:textId="230295B9" w:rsidR="000177D5" w:rsidRPr="00993B55" w:rsidRDefault="002B1132" w:rsidP="007A60F3">
            <w:pPr>
              <w:widowControl w:val="0"/>
              <w:spacing w:before="40" w:after="40"/>
              <w:jc w:val="right"/>
              <w:rPr>
                <w:color w:val="000000"/>
              </w:rPr>
            </w:pPr>
            <w:r>
              <w:rPr>
                <w:color w:val="000000"/>
              </w:rPr>
              <w:t xml:space="preserve">Contact </w:t>
            </w:r>
            <w:r w:rsidR="000177D5" w:rsidRPr="00993B55">
              <w:rPr>
                <w:color w:val="000000"/>
              </w:rPr>
              <w:t>Telephone:</w:t>
            </w:r>
          </w:p>
        </w:tc>
        <w:tc>
          <w:tcPr>
            <w:tcW w:w="7488" w:type="dxa"/>
            <w:gridSpan w:val="4"/>
            <w:vAlign w:val="center"/>
          </w:tcPr>
          <w:p w14:paraId="7B0CC6F1" w14:textId="77777777" w:rsidR="000177D5" w:rsidRPr="00993B55" w:rsidRDefault="000177D5" w:rsidP="007A60F3">
            <w:pPr>
              <w:widowControl w:val="0"/>
              <w:spacing w:before="40" w:after="40"/>
              <w:rPr>
                <w:color w:val="000000"/>
              </w:rPr>
            </w:pPr>
          </w:p>
        </w:tc>
      </w:tr>
      <w:tr w:rsidR="000177D5" w:rsidRPr="00993B55" w14:paraId="5FD49D72" w14:textId="77777777" w:rsidTr="00FA2E79">
        <w:trPr>
          <w:cantSplit/>
        </w:trPr>
        <w:tc>
          <w:tcPr>
            <w:tcW w:w="2862" w:type="dxa"/>
            <w:vAlign w:val="center"/>
          </w:tcPr>
          <w:p w14:paraId="3B68B3CA" w14:textId="6D9BC17E" w:rsidR="000177D5" w:rsidRPr="00993B55" w:rsidRDefault="002B1132" w:rsidP="007A60F3">
            <w:pPr>
              <w:widowControl w:val="0"/>
              <w:spacing w:before="40" w:after="40"/>
              <w:jc w:val="right"/>
              <w:rPr>
                <w:color w:val="000000"/>
              </w:rPr>
            </w:pPr>
            <w:r>
              <w:rPr>
                <w:color w:val="000000"/>
              </w:rPr>
              <w:t xml:space="preserve">Contact </w:t>
            </w:r>
            <w:r w:rsidR="000177D5" w:rsidRPr="00993B55">
              <w:rPr>
                <w:color w:val="000000"/>
              </w:rPr>
              <w:t>E-Mail:</w:t>
            </w:r>
          </w:p>
        </w:tc>
        <w:tc>
          <w:tcPr>
            <w:tcW w:w="7488" w:type="dxa"/>
            <w:gridSpan w:val="4"/>
            <w:vAlign w:val="center"/>
          </w:tcPr>
          <w:p w14:paraId="3AC62DB7" w14:textId="77777777" w:rsidR="000177D5" w:rsidRPr="00993B55" w:rsidRDefault="000177D5" w:rsidP="007A60F3">
            <w:pPr>
              <w:widowControl w:val="0"/>
              <w:spacing w:before="40" w:after="40"/>
              <w:rPr>
                <w:color w:val="000000"/>
              </w:rPr>
            </w:pPr>
          </w:p>
        </w:tc>
      </w:tr>
      <w:tr w:rsidR="000177D5" w:rsidRPr="00993B55" w14:paraId="27EE9322" w14:textId="77777777" w:rsidTr="00FA2E79">
        <w:trPr>
          <w:cantSplit/>
        </w:trPr>
        <w:tc>
          <w:tcPr>
            <w:tcW w:w="2862" w:type="dxa"/>
            <w:vAlign w:val="center"/>
          </w:tcPr>
          <w:p w14:paraId="7AA901B1" w14:textId="77777777" w:rsidR="000177D5" w:rsidRPr="00993B55" w:rsidRDefault="000177D5" w:rsidP="007A60F3">
            <w:pPr>
              <w:widowControl w:val="0"/>
              <w:spacing w:before="40" w:after="40"/>
              <w:jc w:val="right"/>
              <w:rPr>
                <w:color w:val="000000"/>
              </w:rPr>
            </w:pPr>
            <w:r w:rsidRPr="00993B55">
              <w:rPr>
                <w:color w:val="000000"/>
              </w:rPr>
              <w:t>Application #(s):</w:t>
            </w:r>
          </w:p>
        </w:tc>
        <w:tc>
          <w:tcPr>
            <w:tcW w:w="7488" w:type="dxa"/>
            <w:gridSpan w:val="4"/>
            <w:vAlign w:val="center"/>
          </w:tcPr>
          <w:p w14:paraId="40B2D6FE" w14:textId="77777777" w:rsidR="000177D5" w:rsidRPr="00993B55" w:rsidRDefault="000177D5" w:rsidP="007A60F3">
            <w:pPr>
              <w:widowControl w:val="0"/>
              <w:spacing w:before="40" w:after="40"/>
              <w:rPr>
                <w:color w:val="000000"/>
              </w:rPr>
            </w:pPr>
          </w:p>
        </w:tc>
      </w:tr>
      <w:tr w:rsidR="000177D5" w:rsidRPr="00993B55" w14:paraId="619C7364" w14:textId="77777777" w:rsidTr="00FA2E79">
        <w:trPr>
          <w:cantSplit/>
        </w:trPr>
        <w:tc>
          <w:tcPr>
            <w:tcW w:w="2862" w:type="dxa"/>
            <w:vAlign w:val="center"/>
          </w:tcPr>
          <w:p w14:paraId="068F566C" w14:textId="77777777" w:rsidR="000177D5" w:rsidRPr="00993B55" w:rsidRDefault="000177D5" w:rsidP="007A60F3">
            <w:pPr>
              <w:widowControl w:val="0"/>
              <w:spacing w:before="40" w:after="40"/>
              <w:jc w:val="right"/>
              <w:rPr>
                <w:color w:val="000000"/>
              </w:rPr>
            </w:pPr>
            <w:r w:rsidRPr="00993B55">
              <w:rPr>
                <w:color w:val="000000"/>
              </w:rPr>
              <w:t>Project #:</w:t>
            </w:r>
          </w:p>
        </w:tc>
        <w:tc>
          <w:tcPr>
            <w:tcW w:w="7488" w:type="dxa"/>
            <w:gridSpan w:val="4"/>
            <w:vAlign w:val="center"/>
          </w:tcPr>
          <w:p w14:paraId="43F32342" w14:textId="77777777" w:rsidR="000177D5" w:rsidRPr="00993B55" w:rsidRDefault="000177D5" w:rsidP="007A60F3">
            <w:pPr>
              <w:widowControl w:val="0"/>
              <w:spacing w:before="40" w:after="40"/>
              <w:rPr>
                <w:color w:val="000000"/>
              </w:rPr>
            </w:pPr>
          </w:p>
        </w:tc>
      </w:tr>
      <w:tr w:rsidR="000177D5" w:rsidRPr="00993B55" w14:paraId="4F17D7D4" w14:textId="77777777" w:rsidTr="00FA2E79">
        <w:trPr>
          <w:cantSplit/>
        </w:trPr>
        <w:tc>
          <w:tcPr>
            <w:tcW w:w="2862" w:type="dxa"/>
            <w:vAlign w:val="center"/>
          </w:tcPr>
          <w:p w14:paraId="4A03AA0E" w14:textId="7C25C283" w:rsidR="000177D5" w:rsidRPr="00993B55" w:rsidRDefault="0021169E" w:rsidP="007A60F3">
            <w:pPr>
              <w:widowControl w:val="0"/>
              <w:spacing w:before="40" w:after="40"/>
              <w:jc w:val="right"/>
              <w:rPr>
                <w:noProof/>
                <w:color w:val="000000"/>
              </w:rPr>
            </w:pPr>
            <w:r>
              <w:rPr>
                <w:noProof/>
                <w:color w:val="000000"/>
              </w:rPr>
              <w:t xml:space="preserve">Date </w:t>
            </w:r>
            <w:r w:rsidR="000177D5" w:rsidRPr="00993B55">
              <w:rPr>
                <w:noProof/>
                <w:color w:val="000000"/>
              </w:rPr>
              <w:t>Deemed Complete:</w:t>
            </w:r>
          </w:p>
        </w:tc>
        <w:tc>
          <w:tcPr>
            <w:tcW w:w="7488" w:type="dxa"/>
            <w:gridSpan w:val="4"/>
            <w:vAlign w:val="center"/>
          </w:tcPr>
          <w:p w14:paraId="099FB60D" w14:textId="77777777" w:rsidR="000177D5" w:rsidRPr="00993B55" w:rsidRDefault="000177D5" w:rsidP="007A60F3">
            <w:pPr>
              <w:widowControl w:val="0"/>
              <w:spacing w:before="40" w:after="40"/>
              <w:rPr>
                <w:color w:val="000000"/>
              </w:rPr>
            </w:pPr>
          </w:p>
        </w:tc>
      </w:tr>
    </w:tbl>
    <w:p w14:paraId="60BFC850" w14:textId="77777777" w:rsidR="000177D5" w:rsidRPr="00993B55" w:rsidRDefault="000177D5" w:rsidP="007A60F3">
      <w:pPr>
        <w:widowControl w:val="0"/>
        <w:rPr>
          <w:color w:val="000000"/>
          <w:u w:val="double"/>
        </w:rPr>
      </w:pPr>
    </w:p>
    <w:p w14:paraId="38749F45" w14:textId="6FA1E890" w:rsidR="000177D5" w:rsidRPr="00993B55" w:rsidRDefault="000177D5" w:rsidP="007A60F3">
      <w:pPr>
        <w:widowControl w:val="0"/>
        <w:rPr>
          <w:color w:val="000000"/>
          <w:u w:val="double"/>
        </w:rPr>
      </w:pPr>
      <w:r w:rsidRPr="00993B55">
        <w:rPr>
          <w:noProof/>
          <w:color w:val="000000"/>
          <w:u w:val="double"/>
        </w:rPr>
        <mc:AlternateContent>
          <mc:Choice Requires="wps">
            <w:drawing>
              <wp:anchor distT="0" distB="0" distL="114300" distR="114300" simplePos="0" relativeHeight="251659264" behindDoc="0" locked="0" layoutInCell="1" allowOverlap="1" wp14:anchorId="7CA4775F" wp14:editId="4C846FEC">
                <wp:simplePos x="0" y="0"/>
                <wp:positionH relativeFrom="column">
                  <wp:posOffset>40640</wp:posOffset>
                </wp:positionH>
                <wp:positionV relativeFrom="paragraph">
                  <wp:posOffset>16510</wp:posOffset>
                </wp:positionV>
                <wp:extent cx="6426200" cy="10160"/>
                <wp:effectExtent l="19050" t="19050" r="31750" b="27940"/>
                <wp:wrapNone/>
                <wp:docPr id="1" name="Straight Connector 1"/>
                <wp:cNvGraphicFramePr/>
                <a:graphic xmlns:a="http://schemas.openxmlformats.org/drawingml/2006/main">
                  <a:graphicData uri="http://schemas.microsoft.com/office/word/2010/wordprocessingShape">
                    <wps:wsp>
                      <wps:cNvCnPr/>
                      <wps:spPr>
                        <a:xfrm flipV="1">
                          <a:off x="0" y="0"/>
                          <a:ext cx="6426200" cy="10160"/>
                        </a:xfrm>
                        <a:prstGeom prst="line">
                          <a:avLst/>
                        </a:prstGeom>
                        <a:ln w="28575">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75FF2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2pt,1.3pt" to="509.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" strokecolor="blue" strokeweight="2.25pt"/>
            </w:pict>
          </mc:Fallback>
        </mc:AlternateContent>
      </w:r>
    </w:p>
    <w:p w14:paraId="6D0EFDB8" w14:textId="77777777" w:rsidR="000177D5" w:rsidRPr="00993B55" w:rsidRDefault="000177D5" w:rsidP="007A60F3">
      <w:pPr>
        <w:widowControl w:val="0"/>
        <w:rPr>
          <w:color w:val="000000"/>
          <w:u w:val="double"/>
        </w:rPr>
      </w:pPr>
    </w:p>
    <w:p w14:paraId="73286C02" w14:textId="77777777" w:rsidR="000177D5" w:rsidRPr="00993B55" w:rsidRDefault="000177D5" w:rsidP="00B74F52">
      <w:pPr>
        <w:pStyle w:val="Heading1"/>
        <w:spacing w:before="0"/>
      </w:pPr>
      <w:r w:rsidRPr="00993B55">
        <w:t>I.</w:t>
      </w:r>
      <w:r w:rsidRPr="00993B55">
        <w:tab/>
        <w:t>Proposal</w:t>
      </w:r>
    </w:p>
    <w:p w14:paraId="3E4D29A4" w14:textId="7AC280CC" w:rsidR="000177D5" w:rsidRDefault="00A05F5C" w:rsidP="007A60F3">
      <w:pPr>
        <w:widowControl w:val="0"/>
        <w:rPr>
          <w:color w:val="FF0000"/>
        </w:rPr>
      </w:pPr>
      <w:r>
        <w:rPr>
          <w:color w:val="FF0000"/>
        </w:rPr>
        <w:t xml:space="preserve">This proposal section is critically important </w:t>
      </w:r>
      <w:r w:rsidR="00A20C61">
        <w:rPr>
          <w:color w:val="FF0000"/>
        </w:rPr>
        <w:t xml:space="preserve">to ensure an understanding of the project in order to properly </w:t>
      </w:r>
      <w:r w:rsidR="004E2546">
        <w:rPr>
          <w:color w:val="FF0000"/>
        </w:rPr>
        <w:t>evaluat</w:t>
      </w:r>
      <w:r w:rsidR="00A20C61">
        <w:rPr>
          <w:color w:val="FF0000"/>
        </w:rPr>
        <w:t>e</w:t>
      </w:r>
      <w:r w:rsidR="004E2546">
        <w:rPr>
          <w:color w:val="FF0000"/>
        </w:rPr>
        <w:t xml:space="preserve"> and demonstrat</w:t>
      </w:r>
      <w:r w:rsidR="00A20C61">
        <w:rPr>
          <w:color w:val="FF0000"/>
        </w:rPr>
        <w:t>e</w:t>
      </w:r>
      <w:r w:rsidR="004E2546">
        <w:rPr>
          <w:color w:val="FF0000"/>
        </w:rPr>
        <w:t xml:space="preserve"> compliance with all applicable requirements.  </w:t>
      </w:r>
      <w:r w:rsidR="00BD5BF9">
        <w:rPr>
          <w:color w:val="FF0000"/>
        </w:rPr>
        <w:t xml:space="preserve">The proposal should thoroughly summarize the project and include important aspects </w:t>
      </w:r>
      <w:r w:rsidR="00A20C61">
        <w:rPr>
          <w:color w:val="FF0000"/>
        </w:rPr>
        <w:t>that may</w:t>
      </w:r>
      <w:r w:rsidR="00664F7F">
        <w:rPr>
          <w:color w:val="FF0000"/>
        </w:rPr>
        <w:t xml:space="preserve"> be considered as part of this evaluation. </w:t>
      </w:r>
      <w:r w:rsidR="00BD5BF9">
        <w:rPr>
          <w:color w:val="FF0000"/>
        </w:rPr>
        <w:t xml:space="preserve"> </w:t>
      </w:r>
      <w:r w:rsidR="000177D5" w:rsidRPr="00993B55">
        <w:rPr>
          <w:color w:val="FF0000"/>
        </w:rPr>
        <w:t xml:space="preserve">Cite the facility name and describe the proposal in general detail.  Include the relevant history as necessary.  Identify the proposed equipment and/or modification(s) and </w:t>
      </w:r>
      <w:r w:rsidR="000177D5" w:rsidRPr="00993B55">
        <w:rPr>
          <w:bCs/>
          <w:color w:val="FF0000"/>
        </w:rPr>
        <w:t xml:space="preserve">(when applicable) </w:t>
      </w:r>
      <w:r w:rsidR="000177D5" w:rsidRPr="00993B55">
        <w:rPr>
          <w:color w:val="FF0000"/>
        </w:rPr>
        <w:t>briefly describe how the existing equipment will be affected.</w:t>
      </w:r>
    </w:p>
    <w:p w14:paraId="31434648" w14:textId="77777777" w:rsidR="000177D5" w:rsidRPr="00993B55" w:rsidRDefault="000177D5" w:rsidP="007A60F3">
      <w:pPr>
        <w:widowControl w:val="0"/>
        <w:rPr>
          <w:bCs/>
        </w:rPr>
      </w:pPr>
    </w:p>
    <w:p w14:paraId="7CEBF97E" w14:textId="77777777" w:rsidR="000177D5" w:rsidRPr="00993B55" w:rsidRDefault="000177D5" w:rsidP="007A60F3">
      <w:pPr>
        <w:widowControl w:val="0"/>
        <w:tabs>
          <w:tab w:val="left" w:pos="1530"/>
        </w:tabs>
        <w:rPr>
          <w:i/>
          <w:iCs/>
          <w:color w:val="0000FF"/>
          <w:u w:val="single"/>
        </w:rPr>
      </w:pPr>
      <w:r w:rsidRPr="00993B55">
        <w:rPr>
          <w:i/>
          <w:iCs/>
          <w:color w:val="0000FF"/>
          <w:u w:val="single"/>
        </w:rPr>
        <w:t>Example (a)</w:t>
      </w:r>
      <w:r w:rsidRPr="00993B55">
        <w:rPr>
          <w:i/>
          <w:iCs/>
          <w:color w:val="0000FF"/>
        </w:rPr>
        <w:t>:</w:t>
      </w:r>
      <w:r w:rsidRPr="00993B55">
        <w:rPr>
          <w:i/>
          <w:iCs/>
          <w:color w:val="0000FF"/>
        </w:rPr>
        <w:tab/>
        <w:t>(For a new permit unit.)</w:t>
      </w:r>
    </w:p>
    <w:p w14:paraId="03CF3F9A" w14:textId="68E5CDC5" w:rsidR="000177D5" w:rsidRPr="00993B55" w:rsidRDefault="00A46F82" w:rsidP="007A60F3">
      <w:pPr>
        <w:widowControl w:val="0"/>
        <w:rPr>
          <w:bCs/>
        </w:rPr>
      </w:pPr>
      <w:r w:rsidRPr="00993B55">
        <w:t xml:space="preserve">The primary business of ABC Ice Cream is the manufacturing of ice cream and frozen desserts.  </w:t>
      </w:r>
      <w:r>
        <w:rPr>
          <w:szCs w:val="24"/>
        </w:rPr>
        <w:t>They have</w:t>
      </w:r>
      <w:r w:rsidR="000177D5" w:rsidRPr="00993B55">
        <w:t xml:space="preserve"> requested an Authority to Construct (ATC) permit for the installation of a </w:t>
      </w:r>
      <w:r w:rsidR="009D49B5" w:rsidRPr="009D49B5">
        <w:rPr>
          <w:color w:val="0000FF"/>
        </w:rPr>
        <w:t>XX.X</w:t>
      </w:r>
      <w:r w:rsidR="000177D5" w:rsidRPr="00993B55">
        <w:t xml:space="preserve"> MW peaking power plant powered by a General Electric (GE) LM-6000 Gas Turbine.  The LM-6000 will be installed in a simple-cycle configuration and equipped with water injection technology, a Selective Catalytic Reduction (SCR) System, and an Oxidation Catalyst.  The draft ATC(s) are included in </w:t>
      </w:r>
      <w:r w:rsidR="000177D5" w:rsidRPr="00993B55">
        <w:rPr>
          <w:color w:val="0000FF"/>
        </w:rPr>
        <w:t>Appendix XXX</w:t>
      </w:r>
      <w:r w:rsidR="000177D5" w:rsidRPr="00993B55">
        <w:t>.</w:t>
      </w:r>
    </w:p>
    <w:p w14:paraId="40C7AEEB" w14:textId="77777777" w:rsidR="000177D5" w:rsidRPr="00993B55" w:rsidRDefault="000177D5" w:rsidP="007A60F3">
      <w:pPr>
        <w:widowControl w:val="0"/>
        <w:rPr>
          <w:bCs/>
        </w:rPr>
      </w:pPr>
    </w:p>
    <w:p w14:paraId="478E3B26" w14:textId="77777777" w:rsidR="000177D5" w:rsidRPr="00993B55" w:rsidRDefault="000177D5" w:rsidP="007A60F3">
      <w:pPr>
        <w:widowControl w:val="0"/>
        <w:tabs>
          <w:tab w:val="left" w:pos="1530"/>
        </w:tabs>
        <w:rPr>
          <w:i/>
          <w:iCs/>
          <w:color w:val="0000FF"/>
          <w:u w:val="single"/>
        </w:rPr>
      </w:pPr>
      <w:r w:rsidRPr="00993B55">
        <w:rPr>
          <w:i/>
          <w:iCs/>
          <w:color w:val="0000FF"/>
          <w:u w:val="single"/>
        </w:rPr>
        <w:t>Example (b)</w:t>
      </w:r>
      <w:r w:rsidRPr="00993B55">
        <w:rPr>
          <w:i/>
          <w:iCs/>
          <w:color w:val="0000FF"/>
        </w:rPr>
        <w:t>:</w:t>
      </w:r>
      <w:r w:rsidRPr="00993B55">
        <w:rPr>
          <w:i/>
          <w:iCs/>
          <w:color w:val="0000FF"/>
        </w:rPr>
        <w:tab/>
        <w:t>(For a modified permit unit.)</w:t>
      </w:r>
    </w:p>
    <w:p w14:paraId="367FE91D" w14:textId="77777777" w:rsidR="000177D5" w:rsidRPr="00993B55" w:rsidRDefault="000177D5" w:rsidP="007A60F3">
      <w:pPr>
        <w:widowControl w:val="0"/>
      </w:pPr>
      <w:r w:rsidRPr="00993B55">
        <w:t>The primary business of ABC Ice Cream is the manufacturing of ice cream and frozen desserts.  ABC has submitted an Authority to Construct (ATC) application for the following:</w:t>
      </w:r>
    </w:p>
    <w:p w14:paraId="641EBBE0" w14:textId="77777777" w:rsidR="000177D5" w:rsidRPr="00993B55" w:rsidRDefault="000177D5" w:rsidP="007A60F3">
      <w:pPr>
        <w:widowControl w:val="0"/>
      </w:pPr>
    </w:p>
    <w:p w14:paraId="0A1A5F03" w14:textId="485DD396" w:rsidR="000177D5" w:rsidRPr="00993B55" w:rsidRDefault="000177D5" w:rsidP="007A60F3">
      <w:pPr>
        <w:widowControl w:val="0"/>
        <w:numPr>
          <w:ilvl w:val="0"/>
          <w:numId w:val="9"/>
        </w:numPr>
      </w:pPr>
      <w:r w:rsidRPr="00993B55">
        <w:t xml:space="preserve">Retrofit existing </w:t>
      </w:r>
      <w:r w:rsidR="009D49B5" w:rsidRPr="009D49B5">
        <w:rPr>
          <w:color w:val="0000FF"/>
        </w:rPr>
        <w:t>XX.X</w:t>
      </w:r>
      <w:r w:rsidRPr="009D49B5">
        <w:rPr>
          <w:color w:val="0000FF"/>
        </w:rPr>
        <w:t xml:space="preserve"> </w:t>
      </w:r>
      <w:r w:rsidRPr="00993B55">
        <w:t>MMBtu/hr Hurst boiler (</w:t>
      </w:r>
      <w:r w:rsidR="009E1460" w:rsidRPr="009E1460">
        <w:rPr>
          <w:color w:val="0000FF"/>
        </w:rPr>
        <w:t>X</w:t>
      </w:r>
      <w:r w:rsidRPr="009E1460">
        <w:rPr>
          <w:color w:val="0000FF"/>
        </w:rPr>
        <w:t>-XX</w:t>
      </w:r>
      <w:r w:rsidR="009D49B5">
        <w:rPr>
          <w:color w:val="0000FF"/>
        </w:rPr>
        <w:t>X</w:t>
      </w:r>
      <w:r w:rsidRPr="009E1460">
        <w:rPr>
          <w:color w:val="0000FF"/>
        </w:rPr>
        <w:t>X-X-X</w:t>
      </w:r>
      <w:r w:rsidRPr="00993B55">
        <w:t xml:space="preserve">) (see </w:t>
      </w:r>
      <w:r w:rsidRPr="00993B55">
        <w:rPr>
          <w:color w:val="0000FF"/>
        </w:rPr>
        <w:t>Appendix XXX</w:t>
      </w:r>
      <w:r w:rsidRPr="00993B55">
        <w:t xml:space="preserve"> for current permit requirements) currently equipped with an Industrial Combustion Model LNDG30 natural gas-fired burner, with an Alzeta Corporation Model CSB22 natural gas-fired burner.  The facility is proposing to retrofit their existing burner with a lower NO</w:t>
      </w:r>
      <w:r w:rsidR="00B650AE">
        <w:t>x</w:t>
      </w:r>
      <w:r w:rsidRPr="00993B55">
        <w:t xml:space="preserve"> burner for compliance with the recently issued Rule 4306.</w:t>
      </w:r>
    </w:p>
    <w:p w14:paraId="30BBB960" w14:textId="77777777" w:rsidR="000177D5" w:rsidRPr="00993B55" w:rsidRDefault="000177D5" w:rsidP="007A60F3">
      <w:pPr>
        <w:widowControl w:val="0"/>
      </w:pPr>
    </w:p>
    <w:p w14:paraId="2CC37610" w14:textId="418C6B20" w:rsidR="000177D5" w:rsidRPr="00993B55" w:rsidRDefault="000177D5" w:rsidP="007A60F3">
      <w:pPr>
        <w:widowControl w:val="0"/>
        <w:rPr>
          <w:color w:val="000000"/>
        </w:rPr>
      </w:pPr>
      <w:r w:rsidRPr="00993B55">
        <w:rPr>
          <w:color w:val="000000"/>
        </w:rPr>
        <w:t>Disposition of Outstanding ATCs</w:t>
      </w:r>
      <w:r w:rsidR="006C327F">
        <w:rPr>
          <w:color w:val="000000"/>
        </w:rPr>
        <w:t xml:space="preserve"> </w:t>
      </w:r>
      <w:r w:rsidR="006C327F" w:rsidRPr="006C327F">
        <w:rPr>
          <w:color w:val="FF0000"/>
        </w:rPr>
        <w:t>(if needed</w:t>
      </w:r>
      <w:r w:rsidR="006C327F">
        <w:rPr>
          <w:color w:val="FF0000"/>
        </w:rPr>
        <w:t>, otherwise delete</w:t>
      </w:r>
      <w:r w:rsidR="006C327F" w:rsidRPr="006C327F">
        <w:rPr>
          <w:color w:val="FF0000"/>
        </w:rPr>
        <w:t>)</w:t>
      </w:r>
    </w:p>
    <w:p w14:paraId="619503A6" w14:textId="1D7CD1BA" w:rsidR="000177D5" w:rsidRPr="00993B55" w:rsidRDefault="000177D5" w:rsidP="007A60F3">
      <w:pPr>
        <w:widowControl w:val="0"/>
        <w:rPr>
          <w:color w:val="000000"/>
        </w:rPr>
      </w:pPr>
      <w:r w:rsidRPr="00993B55">
        <w:rPr>
          <w:color w:val="000000"/>
        </w:rPr>
        <w:t xml:space="preserve">ATC </w:t>
      </w:r>
      <w:r w:rsidR="009E1460">
        <w:rPr>
          <w:color w:val="0000FF"/>
        </w:rPr>
        <w:t>X</w:t>
      </w:r>
      <w:r w:rsidRPr="006C327F">
        <w:rPr>
          <w:color w:val="0000FF"/>
        </w:rPr>
        <w:t>-XXXX</w:t>
      </w:r>
      <w:r w:rsidR="009D49B5">
        <w:rPr>
          <w:color w:val="0000FF"/>
        </w:rPr>
        <w:t>-X-X</w:t>
      </w:r>
      <w:r w:rsidRPr="006C327F">
        <w:rPr>
          <w:color w:val="0000FF"/>
        </w:rPr>
        <w:t xml:space="preserve"> </w:t>
      </w:r>
      <w:r w:rsidRPr="00993B55">
        <w:rPr>
          <w:color w:val="000000"/>
        </w:rPr>
        <w:t xml:space="preserve">has been implemented and serves as the base document. Current PTO </w:t>
      </w:r>
      <w:r w:rsidR="009E1460">
        <w:rPr>
          <w:color w:val="0000FF"/>
        </w:rPr>
        <w:t>X</w:t>
      </w:r>
      <w:r w:rsidRPr="006C327F">
        <w:rPr>
          <w:color w:val="0000FF"/>
        </w:rPr>
        <w:t>-</w:t>
      </w:r>
      <w:r w:rsidRPr="006C327F">
        <w:rPr>
          <w:color w:val="0000FF"/>
        </w:rPr>
        <w:lastRenderedPageBreak/>
        <w:t>XXXX</w:t>
      </w:r>
      <w:r w:rsidR="009D49B5">
        <w:rPr>
          <w:color w:val="0000FF"/>
        </w:rPr>
        <w:t>-X-X</w:t>
      </w:r>
      <w:r w:rsidRPr="006C327F">
        <w:rPr>
          <w:color w:val="0000FF"/>
        </w:rPr>
        <w:t xml:space="preserve"> </w:t>
      </w:r>
      <w:r w:rsidRPr="00993B55">
        <w:rPr>
          <w:color w:val="000000"/>
        </w:rPr>
        <w:t xml:space="preserve">and ATC </w:t>
      </w:r>
      <w:r w:rsidR="000C2F87">
        <w:rPr>
          <w:color w:val="0000FF"/>
        </w:rPr>
        <w:t>X</w:t>
      </w:r>
      <w:r w:rsidRPr="006C327F">
        <w:rPr>
          <w:color w:val="0000FF"/>
        </w:rPr>
        <w:t>-XXXX</w:t>
      </w:r>
      <w:r w:rsidR="009D49B5">
        <w:rPr>
          <w:color w:val="0000FF"/>
        </w:rPr>
        <w:t>-X-X</w:t>
      </w:r>
      <w:r w:rsidRPr="006C327F">
        <w:rPr>
          <w:color w:val="0000FF"/>
        </w:rPr>
        <w:t xml:space="preserve"> </w:t>
      </w:r>
      <w:r w:rsidRPr="00993B55">
        <w:rPr>
          <w:color w:val="000000"/>
        </w:rPr>
        <w:t xml:space="preserve">are included in </w:t>
      </w:r>
      <w:r w:rsidRPr="00993B55">
        <w:rPr>
          <w:color w:val="0000FF"/>
        </w:rPr>
        <w:t>Appendix XXX</w:t>
      </w:r>
      <w:r w:rsidRPr="00993B55">
        <w:rPr>
          <w:color w:val="000000"/>
        </w:rPr>
        <w:t>.</w:t>
      </w:r>
    </w:p>
    <w:p w14:paraId="2CB9EE38" w14:textId="77777777" w:rsidR="000177D5" w:rsidRPr="00993B55" w:rsidRDefault="000177D5" w:rsidP="007A60F3">
      <w:pPr>
        <w:widowControl w:val="0"/>
        <w:rPr>
          <w:color w:val="000000"/>
        </w:rPr>
      </w:pPr>
    </w:p>
    <w:p w14:paraId="73F497EF" w14:textId="77777777" w:rsidR="000177D5" w:rsidRPr="00993B55" w:rsidRDefault="000177D5" w:rsidP="007A60F3">
      <w:pPr>
        <w:widowControl w:val="0"/>
        <w:rPr>
          <w:bCs/>
          <w:color w:val="FF0000"/>
        </w:rPr>
      </w:pPr>
      <w:r w:rsidRPr="00993B55">
        <w:rPr>
          <w:bCs/>
          <w:color w:val="FF0000"/>
        </w:rPr>
        <w:t>Also (when applicable) discuss whether the facility is a Title V facility, and address the Certificate of Conformity (COC) process.</w:t>
      </w:r>
    </w:p>
    <w:p w14:paraId="09759181" w14:textId="77777777" w:rsidR="000177D5" w:rsidRPr="00054F30" w:rsidRDefault="000177D5" w:rsidP="007A60F3">
      <w:pPr>
        <w:widowControl w:val="0"/>
      </w:pPr>
    </w:p>
    <w:p w14:paraId="7E5BC811" w14:textId="77777777" w:rsidR="000177D5" w:rsidRPr="00993B55" w:rsidRDefault="000177D5" w:rsidP="007A60F3">
      <w:pPr>
        <w:widowControl w:val="0"/>
        <w:tabs>
          <w:tab w:val="left" w:pos="1530"/>
        </w:tabs>
        <w:rPr>
          <w:i/>
          <w:iCs/>
          <w:color w:val="0000FF"/>
          <w:u w:val="single"/>
        </w:rPr>
      </w:pPr>
      <w:r w:rsidRPr="00993B55">
        <w:rPr>
          <w:i/>
          <w:iCs/>
          <w:color w:val="0000FF"/>
          <w:u w:val="single"/>
        </w:rPr>
        <w:t>Example (a)</w:t>
      </w:r>
      <w:r w:rsidRPr="00993B55">
        <w:rPr>
          <w:i/>
          <w:iCs/>
          <w:color w:val="0000FF"/>
        </w:rPr>
        <w:t>:</w:t>
      </w:r>
      <w:r w:rsidRPr="00993B55">
        <w:rPr>
          <w:i/>
          <w:iCs/>
          <w:color w:val="0000FF"/>
        </w:rPr>
        <w:tab/>
        <w:t>(Without COC – Title V Minor Modification)</w:t>
      </w:r>
    </w:p>
    <w:p w14:paraId="22173BF3" w14:textId="77777777" w:rsidR="000177D5" w:rsidRPr="00993B55" w:rsidRDefault="000177D5" w:rsidP="007A60F3">
      <w:pPr>
        <w:widowControl w:val="0"/>
        <w:rPr>
          <w:szCs w:val="24"/>
        </w:rPr>
      </w:pPr>
      <w:r w:rsidRPr="00993B55">
        <w:rPr>
          <w:szCs w:val="24"/>
        </w:rPr>
        <w:t xml:space="preserve">XYZ Company received their Title V Permit on XXXXX.  </w:t>
      </w:r>
      <w:r w:rsidRPr="00993B55">
        <w:t xml:space="preserve">This modification can be classified as a Title V minor modification </w:t>
      </w:r>
      <w:r w:rsidRPr="00993B55">
        <w:rPr>
          <w:szCs w:val="24"/>
        </w:rPr>
        <w:t>pursuant to Rule 2520</w:t>
      </w:r>
      <w:r w:rsidRPr="00993B55">
        <w:t xml:space="preserve">, and can be processed with a Certificate of Conformity (COC).  But the facility has not requested that this project be processed in that manner; therefore, </w:t>
      </w:r>
      <w:r w:rsidRPr="00993B55">
        <w:rPr>
          <w:szCs w:val="24"/>
        </w:rPr>
        <w:t>XYZ Company will be required to submit a Title V minor modification application prior to operating under the revised provisions of the ATC(s) issued with this project.</w:t>
      </w:r>
    </w:p>
    <w:p w14:paraId="706391D8" w14:textId="77777777" w:rsidR="000177D5" w:rsidRPr="00993B55" w:rsidRDefault="000177D5" w:rsidP="007A60F3">
      <w:pPr>
        <w:widowControl w:val="0"/>
        <w:rPr>
          <w:szCs w:val="24"/>
        </w:rPr>
      </w:pPr>
    </w:p>
    <w:p w14:paraId="36DF10FE" w14:textId="77777777" w:rsidR="000177D5" w:rsidRPr="00993B55" w:rsidRDefault="000177D5" w:rsidP="007A60F3">
      <w:pPr>
        <w:widowControl w:val="0"/>
        <w:tabs>
          <w:tab w:val="left" w:pos="1530"/>
        </w:tabs>
        <w:rPr>
          <w:i/>
          <w:iCs/>
          <w:color w:val="0000FF"/>
          <w:u w:val="single"/>
        </w:rPr>
      </w:pPr>
      <w:r w:rsidRPr="00993B55">
        <w:rPr>
          <w:i/>
          <w:iCs/>
          <w:color w:val="0000FF"/>
          <w:u w:val="single"/>
        </w:rPr>
        <w:t>Example (b)</w:t>
      </w:r>
      <w:r w:rsidRPr="00993B55">
        <w:rPr>
          <w:i/>
          <w:iCs/>
          <w:color w:val="0000FF"/>
        </w:rPr>
        <w:t>:</w:t>
      </w:r>
      <w:r w:rsidRPr="00993B55">
        <w:rPr>
          <w:i/>
          <w:iCs/>
          <w:color w:val="0000FF"/>
        </w:rPr>
        <w:tab/>
        <w:t>(Without COC – Title V Significant Modification)</w:t>
      </w:r>
    </w:p>
    <w:p w14:paraId="269BAE20" w14:textId="77777777" w:rsidR="000177D5" w:rsidRPr="00993B55" w:rsidRDefault="000177D5" w:rsidP="007A60F3">
      <w:pPr>
        <w:widowControl w:val="0"/>
        <w:rPr>
          <w:szCs w:val="24"/>
        </w:rPr>
      </w:pPr>
      <w:r w:rsidRPr="00993B55">
        <w:rPr>
          <w:szCs w:val="24"/>
        </w:rPr>
        <w:t xml:space="preserve">XYZ Company received their Title V Permit on XXXXX.  </w:t>
      </w:r>
      <w:r w:rsidRPr="00993B55">
        <w:t xml:space="preserve">This modification can be classified as a Title V significant modification </w:t>
      </w:r>
      <w:r w:rsidRPr="00993B55">
        <w:rPr>
          <w:szCs w:val="24"/>
        </w:rPr>
        <w:t>pursuant to Rule 2520</w:t>
      </w:r>
      <w:r w:rsidRPr="00993B55">
        <w:t xml:space="preserve">, and can be processed with a Certificate of Conformity (COC).  But the facility has not requested that this project be processed in that manner; therefore, </w:t>
      </w:r>
      <w:r w:rsidRPr="00993B55">
        <w:rPr>
          <w:szCs w:val="24"/>
        </w:rPr>
        <w:t>XYZ Company will be required to submit a Title V significant modification application and receive a revised permit prior to operating under the revised provisions of the ATC(s) issued with this project.</w:t>
      </w:r>
    </w:p>
    <w:p w14:paraId="1F21E824" w14:textId="77777777" w:rsidR="000177D5" w:rsidRPr="00993B55" w:rsidRDefault="000177D5" w:rsidP="007A60F3">
      <w:pPr>
        <w:widowControl w:val="0"/>
        <w:rPr>
          <w:color w:val="000000"/>
        </w:rPr>
      </w:pPr>
    </w:p>
    <w:p w14:paraId="72D365B9" w14:textId="77777777" w:rsidR="000177D5" w:rsidRPr="00993B55" w:rsidRDefault="000177D5" w:rsidP="007A60F3">
      <w:pPr>
        <w:widowControl w:val="0"/>
        <w:tabs>
          <w:tab w:val="left" w:pos="1530"/>
        </w:tabs>
        <w:rPr>
          <w:color w:val="0000FF"/>
          <w:szCs w:val="24"/>
        </w:rPr>
      </w:pPr>
      <w:r w:rsidRPr="00993B55">
        <w:rPr>
          <w:i/>
          <w:iCs/>
          <w:color w:val="0000FF"/>
          <w:u w:val="single"/>
        </w:rPr>
        <w:t>Example (c)</w:t>
      </w:r>
      <w:r w:rsidRPr="00993B55">
        <w:rPr>
          <w:i/>
          <w:iCs/>
          <w:color w:val="0000FF"/>
        </w:rPr>
        <w:t>:</w:t>
      </w:r>
      <w:r w:rsidRPr="00993B55">
        <w:rPr>
          <w:i/>
          <w:iCs/>
          <w:color w:val="0000FF"/>
        </w:rPr>
        <w:tab/>
        <w:t>(With COC – Title V Minor Modification)</w:t>
      </w:r>
    </w:p>
    <w:p w14:paraId="32F25056" w14:textId="7179F8F4" w:rsidR="000177D5" w:rsidRPr="00993B55" w:rsidRDefault="000177D5" w:rsidP="007A60F3">
      <w:pPr>
        <w:widowControl w:val="0"/>
        <w:tabs>
          <w:tab w:val="left" w:pos="540"/>
        </w:tabs>
      </w:pPr>
      <w:r w:rsidRPr="00993B55">
        <w:rPr>
          <w:szCs w:val="24"/>
        </w:rPr>
        <w:t xml:space="preserve">XYZ Company received their Title V Permit on XXXXX.  </w:t>
      </w:r>
      <w:r w:rsidRPr="00993B55">
        <w:t xml:space="preserve">This modification can be classified as a Title V minor modification </w:t>
      </w:r>
      <w:r w:rsidRPr="00993B55">
        <w:rPr>
          <w:szCs w:val="24"/>
        </w:rPr>
        <w:t>pursuant to Rule 2520</w:t>
      </w:r>
      <w:r w:rsidRPr="00993B55">
        <w:t>, and can be processed with a Certificate of Conformity (COC).  Since the facility has specifically requested that this project be processed in that manner, the 45-day EPA comment period will be satisfied prior to the issuance of the Authority to Construct.  XYZ Company must apply to administratively amend their Title V permit.</w:t>
      </w:r>
    </w:p>
    <w:p w14:paraId="1500BCE6" w14:textId="77777777" w:rsidR="000177D5" w:rsidRPr="00993B55" w:rsidRDefault="000177D5" w:rsidP="007A60F3">
      <w:pPr>
        <w:widowControl w:val="0"/>
        <w:tabs>
          <w:tab w:val="left" w:pos="540"/>
        </w:tabs>
      </w:pPr>
    </w:p>
    <w:p w14:paraId="585B8C3C" w14:textId="77777777" w:rsidR="000177D5" w:rsidRPr="00993B55" w:rsidRDefault="000177D5" w:rsidP="007A60F3">
      <w:pPr>
        <w:widowControl w:val="0"/>
        <w:tabs>
          <w:tab w:val="left" w:pos="1530"/>
        </w:tabs>
        <w:rPr>
          <w:color w:val="0000FF"/>
          <w:szCs w:val="24"/>
        </w:rPr>
      </w:pPr>
      <w:r w:rsidRPr="00993B55">
        <w:rPr>
          <w:i/>
          <w:iCs/>
          <w:color w:val="0000FF"/>
          <w:u w:val="single"/>
        </w:rPr>
        <w:t>Example (d)</w:t>
      </w:r>
      <w:r w:rsidRPr="00993B55">
        <w:rPr>
          <w:i/>
          <w:iCs/>
          <w:color w:val="0000FF"/>
        </w:rPr>
        <w:t>:</w:t>
      </w:r>
      <w:r w:rsidRPr="00993B55">
        <w:rPr>
          <w:i/>
          <w:iCs/>
          <w:color w:val="0000FF"/>
        </w:rPr>
        <w:tab/>
        <w:t>(With COC – Title V Significant Modification)</w:t>
      </w:r>
    </w:p>
    <w:p w14:paraId="4B1FBAFB" w14:textId="77777777" w:rsidR="000177D5" w:rsidRPr="00993B55" w:rsidRDefault="000177D5" w:rsidP="007A60F3">
      <w:pPr>
        <w:widowControl w:val="0"/>
        <w:tabs>
          <w:tab w:val="left" w:pos="540"/>
        </w:tabs>
      </w:pPr>
      <w:r w:rsidRPr="00993B55">
        <w:rPr>
          <w:szCs w:val="24"/>
        </w:rPr>
        <w:t xml:space="preserve">XYZ Company received their Title V Permit on XXXXX.  </w:t>
      </w:r>
      <w:r w:rsidRPr="00993B55">
        <w:t xml:space="preserve">This modification can be classified as a Title V significant modification </w:t>
      </w:r>
      <w:r w:rsidRPr="00993B55">
        <w:rPr>
          <w:szCs w:val="24"/>
        </w:rPr>
        <w:t>pursuant to Rule 2520</w:t>
      </w:r>
      <w:r w:rsidRPr="00993B55">
        <w:t>, and can be processed with a Certificate of Conformity (COC).  Since the facility has specifically requested that this project be processed in that manner, the 45-day EPA comment period will be satisfied prior to the issuance of the Authority to Construct.  XYZ Company must apply to administratively amend their Title V permit.</w:t>
      </w:r>
    </w:p>
    <w:p w14:paraId="08B2C9A9" w14:textId="77777777" w:rsidR="000177D5" w:rsidRPr="00542D59" w:rsidRDefault="000177D5" w:rsidP="001E7BD0">
      <w:pPr>
        <w:pStyle w:val="Heading1"/>
      </w:pPr>
      <w:r w:rsidRPr="00542D59">
        <w:t xml:space="preserve">II. </w:t>
      </w:r>
      <w:r w:rsidRPr="00542D59">
        <w:tab/>
      </w:r>
      <w:r w:rsidRPr="001E7BD0">
        <w:t>Applicable</w:t>
      </w:r>
      <w:r w:rsidRPr="00542D59">
        <w:t xml:space="preserve"> Rules</w:t>
      </w:r>
    </w:p>
    <w:p w14:paraId="649093BC" w14:textId="77777777" w:rsidR="000177D5" w:rsidRPr="00993B55" w:rsidRDefault="000177D5" w:rsidP="007A60F3">
      <w:pPr>
        <w:widowControl w:val="0"/>
        <w:rPr>
          <w:color w:val="FF0000"/>
        </w:rPr>
      </w:pPr>
      <w:r w:rsidRPr="00993B55">
        <w:rPr>
          <w:color w:val="FF0000"/>
        </w:rPr>
        <w:t>List applicable rules including the rule number, rule title and the date upon which the rule was adopted or most recently amended, including any other applicable regulation, such as CH&amp;SCs.  Also, list any potentially applicable rules that may need further discussion as to why they do or do not apply.  All rules listed here shall be discussed in Section VIII (Compliance) below.</w:t>
      </w:r>
    </w:p>
    <w:p w14:paraId="74838880" w14:textId="77777777" w:rsidR="009A38CD" w:rsidRPr="00993B55" w:rsidRDefault="009A38CD" w:rsidP="007A60F3">
      <w:pPr>
        <w:widowControl w:val="0"/>
        <w:rPr>
          <w:color w:val="000000"/>
        </w:rPr>
      </w:pPr>
    </w:p>
    <w:p w14:paraId="7479693D" w14:textId="77777777" w:rsidR="000177D5" w:rsidRPr="00993B55" w:rsidRDefault="000177D5" w:rsidP="007A60F3">
      <w:pPr>
        <w:widowControl w:val="0"/>
        <w:tabs>
          <w:tab w:val="left" w:pos="1530"/>
        </w:tabs>
        <w:rPr>
          <w:i/>
          <w:iCs/>
          <w:color w:val="0000FF"/>
          <w:u w:val="single"/>
        </w:rPr>
      </w:pPr>
      <w:r w:rsidRPr="00993B55">
        <w:rPr>
          <w:i/>
          <w:iCs/>
          <w:color w:val="0000FF"/>
          <w:u w:val="single"/>
        </w:rPr>
        <w:t>For example:</w:t>
      </w:r>
      <w:r w:rsidRPr="00993B55">
        <w:rPr>
          <w:i/>
          <w:iCs/>
          <w:color w:val="0000FF"/>
          <w:u w:val="single"/>
        </w:rPr>
        <w:tab/>
        <w:t>(For a boiler.)</w:t>
      </w:r>
    </w:p>
    <w:p w14:paraId="70C73E1F" w14:textId="31F96EC3" w:rsidR="000177D5" w:rsidRPr="00993B55" w:rsidRDefault="000177D5" w:rsidP="007A60F3">
      <w:pPr>
        <w:widowControl w:val="0"/>
        <w:tabs>
          <w:tab w:val="left" w:pos="1980"/>
        </w:tabs>
        <w:rPr>
          <w:color w:val="000000"/>
        </w:rPr>
      </w:pPr>
      <w:r w:rsidRPr="00993B55">
        <w:rPr>
          <w:color w:val="000000"/>
        </w:rPr>
        <w:t>Rule 2201</w:t>
      </w:r>
      <w:r w:rsidRPr="00993B55">
        <w:rPr>
          <w:color w:val="000000"/>
        </w:rPr>
        <w:tab/>
        <w:t>New and Modified Stationary Source Review Rule (</w:t>
      </w:r>
      <w:r w:rsidR="0046265A">
        <w:rPr>
          <w:color w:val="000000"/>
        </w:rPr>
        <w:t>4</w:t>
      </w:r>
      <w:r w:rsidR="00A608F1">
        <w:rPr>
          <w:color w:val="000000"/>
        </w:rPr>
        <w:t>/</w:t>
      </w:r>
      <w:r w:rsidR="0046265A">
        <w:rPr>
          <w:color w:val="000000"/>
        </w:rPr>
        <w:t>20</w:t>
      </w:r>
      <w:r w:rsidR="00A608F1">
        <w:rPr>
          <w:color w:val="000000"/>
        </w:rPr>
        <w:t>/23</w:t>
      </w:r>
      <w:r w:rsidRPr="00993B55">
        <w:rPr>
          <w:color w:val="000000"/>
        </w:rPr>
        <w:t>)</w:t>
      </w:r>
    </w:p>
    <w:p w14:paraId="26A719EF" w14:textId="64973796" w:rsidR="000177D5" w:rsidRPr="00993B55" w:rsidRDefault="000177D5" w:rsidP="007A60F3">
      <w:pPr>
        <w:widowControl w:val="0"/>
        <w:tabs>
          <w:tab w:val="left" w:pos="1980"/>
        </w:tabs>
        <w:rPr>
          <w:color w:val="000000"/>
        </w:rPr>
      </w:pPr>
      <w:r w:rsidRPr="00993B55">
        <w:rPr>
          <w:color w:val="000000"/>
        </w:rPr>
        <w:t>Rule 2410</w:t>
      </w:r>
      <w:r w:rsidRPr="00993B55">
        <w:rPr>
          <w:color w:val="000000"/>
        </w:rPr>
        <w:tab/>
        <w:t>Prevention of Significant Deterioration (6/16/11)</w:t>
      </w:r>
    </w:p>
    <w:p w14:paraId="739AA43D" w14:textId="32CE5E20" w:rsidR="000177D5" w:rsidRPr="00993B55" w:rsidRDefault="000177D5" w:rsidP="007A60F3">
      <w:pPr>
        <w:widowControl w:val="0"/>
        <w:tabs>
          <w:tab w:val="left" w:pos="1980"/>
        </w:tabs>
        <w:rPr>
          <w:color w:val="000000"/>
        </w:rPr>
      </w:pPr>
      <w:r w:rsidRPr="00993B55">
        <w:rPr>
          <w:color w:val="000000"/>
        </w:rPr>
        <w:t>Rule 2520</w:t>
      </w:r>
      <w:r w:rsidRPr="00993B55">
        <w:rPr>
          <w:color w:val="000000"/>
        </w:rPr>
        <w:tab/>
        <w:t>Federal</w:t>
      </w:r>
      <w:r w:rsidR="00697148">
        <w:rPr>
          <w:color w:val="000000"/>
        </w:rPr>
        <w:t>ly Mandated Operating Permits (6/20/24</w:t>
      </w:r>
      <w:r w:rsidRPr="00993B55">
        <w:rPr>
          <w:color w:val="000000"/>
        </w:rPr>
        <w:t>)</w:t>
      </w:r>
    </w:p>
    <w:p w14:paraId="0E9B9DC4" w14:textId="048283D1" w:rsidR="000177D5" w:rsidRPr="00993B55" w:rsidRDefault="000177D5" w:rsidP="007A60F3">
      <w:pPr>
        <w:widowControl w:val="0"/>
        <w:tabs>
          <w:tab w:val="left" w:pos="1980"/>
        </w:tabs>
        <w:rPr>
          <w:color w:val="000000"/>
        </w:rPr>
      </w:pPr>
      <w:r w:rsidRPr="00993B55">
        <w:rPr>
          <w:color w:val="000000"/>
        </w:rPr>
        <w:t>Rule 4001</w:t>
      </w:r>
      <w:r w:rsidRPr="00993B55">
        <w:rPr>
          <w:color w:val="000000"/>
        </w:rPr>
        <w:tab/>
        <w:t>New Source Performance Standards (4/14/99)</w:t>
      </w:r>
    </w:p>
    <w:p w14:paraId="0300275F" w14:textId="294C04F9" w:rsidR="000177D5" w:rsidRPr="00993B55" w:rsidRDefault="000177D5" w:rsidP="007A60F3">
      <w:pPr>
        <w:widowControl w:val="0"/>
        <w:tabs>
          <w:tab w:val="left" w:pos="1980"/>
        </w:tabs>
        <w:rPr>
          <w:color w:val="000000"/>
        </w:rPr>
      </w:pPr>
      <w:r w:rsidRPr="00993B55">
        <w:rPr>
          <w:color w:val="000000"/>
        </w:rPr>
        <w:t>Rule 4002</w:t>
      </w:r>
      <w:r w:rsidRPr="00993B55">
        <w:rPr>
          <w:color w:val="000000"/>
        </w:rPr>
        <w:tab/>
        <w:t>National Emissions Standards for Hazardous Air Pollutants (5/20/04)</w:t>
      </w:r>
    </w:p>
    <w:p w14:paraId="37F31FB5" w14:textId="3E981372" w:rsidR="000177D5" w:rsidRPr="00993B55" w:rsidRDefault="000177D5" w:rsidP="007A60F3">
      <w:pPr>
        <w:widowControl w:val="0"/>
        <w:tabs>
          <w:tab w:val="left" w:pos="1980"/>
        </w:tabs>
        <w:rPr>
          <w:color w:val="000000"/>
        </w:rPr>
      </w:pPr>
      <w:r w:rsidRPr="00993B55">
        <w:rPr>
          <w:color w:val="000000"/>
        </w:rPr>
        <w:lastRenderedPageBreak/>
        <w:t>Rule 4101</w:t>
      </w:r>
      <w:r w:rsidRPr="00993B55">
        <w:rPr>
          <w:color w:val="000000"/>
        </w:rPr>
        <w:tab/>
        <w:t>Visible Emissions (</w:t>
      </w:r>
      <w:r w:rsidR="00552C95">
        <w:rPr>
          <w:color w:val="000000"/>
        </w:rPr>
        <w:t>4</w:t>
      </w:r>
      <w:r w:rsidRPr="00993B55">
        <w:rPr>
          <w:color w:val="000000"/>
        </w:rPr>
        <w:t>/</w:t>
      </w:r>
      <w:r w:rsidR="00552C95">
        <w:rPr>
          <w:color w:val="000000"/>
        </w:rPr>
        <w:t>16</w:t>
      </w:r>
      <w:r w:rsidRPr="00993B55">
        <w:rPr>
          <w:color w:val="000000"/>
        </w:rPr>
        <w:t>/</w:t>
      </w:r>
      <w:r w:rsidR="00552C95">
        <w:rPr>
          <w:color w:val="000000"/>
        </w:rPr>
        <w:t>26</w:t>
      </w:r>
      <w:r w:rsidRPr="00993B55">
        <w:rPr>
          <w:color w:val="000000"/>
        </w:rPr>
        <w:t>)</w:t>
      </w:r>
    </w:p>
    <w:p w14:paraId="05144571" w14:textId="2756F851" w:rsidR="000177D5" w:rsidRPr="00993B55" w:rsidRDefault="000177D5" w:rsidP="007A60F3">
      <w:pPr>
        <w:widowControl w:val="0"/>
        <w:tabs>
          <w:tab w:val="left" w:pos="1980"/>
        </w:tabs>
        <w:rPr>
          <w:color w:val="000000"/>
        </w:rPr>
      </w:pPr>
      <w:r w:rsidRPr="00993B55">
        <w:rPr>
          <w:color w:val="000000"/>
        </w:rPr>
        <w:t>Rule 4102</w:t>
      </w:r>
      <w:r w:rsidRPr="00993B55">
        <w:rPr>
          <w:color w:val="000000"/>
        </w:rPr>
        <w:tab/>
        <w:t>Nuisance (12/17/92)</w:t>
      </w:r>
    </w:p>
    <w:p w14:paraId="75B8ACA1" w14:textId="297505EE" w:rsidR="000177D5" w:rsidRPr="00993B55" w:rsidRDefault="000177D5" w:rsidP="007A60F3">
      <w:pPr>
        <w:widowControl w:val="0"/>
        <w:tabs>
          <w:tab w:val="left" w:pos="1980"/>
        </w:tabs>
        <w:rPr>
          <w:color w:val="000000"/>
        </w:rPr>
      </w:pPr>
      <w:r w:rsidRPr="00993B55">
        <w:rPr>
          <w:color w:val="000000"/>
        </w:rPr>
        <w:t>Rule 4201</w:t>
      </w:r>
      <w:r w:rsidRPr="00993B55">
        <w:rPr>
          <w:color w:val="000000"/>
        </w:rPr>
        <w:tab/>
        <w:t>Particulate Matter Concentration (12/17/92)</w:t>
      </w:r>
    </w:p>
    <w:p w14:paraId="48C39F9D" w14:textId="711A8296" w:rsidR="000177D5" w:rsidRPr="00993B55" w:rsidRDefault="000177D5" w:rsidP="007A60F3">
      <w:pPr>
        <w:widowControl w:val="0"/>
        <w:tabs>
          <w:tab w:val="left" w:pos="1980"/>
        </w:tabs>
        <w:rPr>
          <w:color w:val="000000"/>
        </w:rPr>
      </w:pPr>
      <w:r w:rsidRPr="00993B55">
        <w:rPr>
          <w:color w:val="000000"/>
        </w:rPr>
        <w:t>Rule 4301</w:t>
      </w:r>
      <w:r w:rsidRPr="00993B55">
        <w:rPr>
          <w:color w:val="000000"/>
        </w:rPr>
        <w:tab/>
        <w:t>Fuel Burning Equipment (12/17/92)</w:t>
      </w:r>
    </w:p>
    <w:p w14:paraId="13CF1F15" w14:textId="30A8A51F" w:rsidR="000177D5" w:rsidRPr="00993B55" w:rsidRDefault="000177D5" w:rsidP="007A60F3">
      <w:pPr>
        <w:widowControl w:val="0"/>
        <w:tabs>
          <w:tab w:val="left" w:pos="1980"/>
        </w:tabs>
        <w:rPr>
          <w:color w:val="000000"/>
        </w:rPr>
      </w:pPr>
      <w:r w:rsidRPr="00993B55">
        <w:rPr>
          <w:color w:val="000000"/>
        </w:rPr>
        <w:t>Rule 4305</w:t>
      </w:r>
      <w:r w:rsidRPr="00993B55">
        <w:rPr>
          <w:color w:val="000000"/>
        </w:rPr>
        <w:tab/>
        <w:t>Boilers, Steam Generators, and Process Heaters – Phase 2 (8/21/03)</w:t>
      </w:r>
    </w:p>
    <w:p w14:paraId="0BE82254" w14:textId="2CE96249" w:rsidR="000177D5" w:rsidRPr="00993B55" w:rsidRDefault="000177D5" w:rsidP="007A60F3">
      <w:pPr>
        <w:widowControl w:val="0"/>
        <w:tabs>
          <w:tab w:val="left" w:pos="1980"/>
        </w:tabs>
        <w:rPr>
          <w:color w:val="000000"/>
        </w:rPr>
      </w:pPr>
      <w:r w:rsidRPr="00993B55">
        <w:rPr>
          <w:color w:val="000000"/>
        </w:rPr>
        <w:t>Rule 4306</w:t>
      </w:r>
      <w:r w:rsidRPr="00993B55">
        <w:rPr>
          <w:color w:val="000000"/>
        </w:rPr>
        <w:tab/>
        <w:t>Boilers, Steam Generators, and Process Heaters – Phase 3 (</w:t>
      </w:r>
      <w:r w:rsidR="00692C5D">
        <w:rPr>
          <w:color w:val="000000"/>
        </w:rPr>
        <w:t>12/17/20</w:t>
      </w:r>
      <w:r w:rsidRPr="00993B55">
        <w:rPr>
          <w:color w:val="000000"/>
        </w:rPr>
        <w:t>)</w:t>
      </w:r>
    </w:p>
    <w:p w14:paraId="63799EBF" w14:textId="3B85E47D" w:rsidR="000177D5" w:rsidRPr="00993B55" w:rsidRDefault="000177D5" w:rsidP="007A60F3">
      <w:pPr>
        <w:widowControl w:val="0"/>
        <w:tabs>
          <w:tab w:val="left" w:pos="1980"/>
        </w:tabs>
        <w:ind w:left="1980" w:hanging="1980"/>
        <w:rPr>
          <w:color w:val="000000"/>
        </w:rPr>
      </w:pPr>
      <w:r w:rsidRPr="00993B55">
        <w:rPr>
          <w:color w:val="000000"/>
        </w:rPr>
        <w:t>Rule 4320</w:t>
      </w:r>
      <w:r w:rsidRPr="00993B55">
        <w:rPr>
          <w:color w:val="000000"/>
        </w:rPr>
        <w:tab/>
        <w:t>Advanced Emission Reduction Options for Boilers, Steam Generators, and Process Heaters Greater than 5.0 MMBtu/hr (</w:t>
      </w:r>
      <w:r w:rsidR="00692C5D">
        <w:rPr>
          <w:color w:val="000000"/>
        </w:rPr>
        <w:t>12/17</w:t>
      </w:r>
      <w:r w:rsidR="00F51924">
        <w:rPr>
          <w:color w:val="000000"/>
        </w:rPr>
        <w:t>/</w:t>
      </w:r>
      <w:r w:rsidR="00692C5D">
        <w:rPr>
          <w:color w:val="000000"/>
        </w:rPr>
        <w:t>20</w:t>
      </w:r>
      <w:r w:rsidRPr="00993B55">
        <w:rPr>
          <w:color w:val="000000"/>
        </w:rPr>
        <w:t>)</w:t>
      </w:r>
    </w:p>
    <w:p w14:paraId="4BCBE1FF" w14:textId="3D079A64" w:rsidR="000177D5" w:rsidRPr="00993B55" w:rsidRDefault="000177D5" w:rsidP="007A60F3">
      <w:pPr>
        <w:widowControl w:val="0"/>
        <w:tabs>
          <w:tab w:val="left" w:pos="1980"/>
        </w:tabs>
        <w:rPr>
          <w:color w:val="000000"/>
        </w:rPr>
      </w:pPr>
      <w:r w:rsidRPr="00993B55">
        <w:rPr>
          <w:color w:val="000000"/>
        </w:rPr>
        <w:t>Rule 4801</w:t>
      </w:r>
      <w:r w:rsidRPr="00993B55">
        <w:rPr>
          <w:color w:val="000000"/>
        </w:rPr>
        <w:tab/>
        <w:t>Sulfur Compounds (12/17/92)</w:t>
      </w:r>
    </w:p>
    <w:p w14:paraId="67A9E0F4" w14:textId="1DD1E276" w:rsidR="000177D5" w:rsidRPr="00993B55" w:rsidRDefault="000177D5" w:rsidP="007A60F3">
      <w:pPr>
        <w:widowControl w:val="0"/>
        <w:tabs>
          <w:tab w:val="left" w:pos="1980"/>
        </w:tabs>
        <w:rPr>
          <w:color w:val="000000"/>
        </w:rPr>
      </w:pPr>
      <w:r w:rsidRPr="00993B55">
        <w:rPr>
          <w:color w:val="000000"/>
        </w:rPr>
        <w:t>CH&amp;SC 41700</w:t>
      </w:r>
      <w:r w:rsidRPr="00993B55">
        <w:rPr>
          <w:color w:val="000000"/>
        </w:rPr>
        <w:tab/>
      </w:r>
      <w:r w:rsidR="00550FB3">
        <w:rPr>
          <w:color w:val="000000"/>
        </w:rPr>
        <w:t>General Limitations</w:t>
      </w:r>
      <w:r w:rsidR="00E47EC0">
        <w:t xml:space="preserve"> </w:t>
      </w:r>
    </w:p>
    <w:p w14:paraId="7B27F15D" w14:textId="790BEA8B" w:rsidR="000177D5" w:rsidRPr="00993B55" w:rsidRDefault="000177D5" w:rsidP="007A60F3">
      <w:pPr>
        <w:widowControl w:val="0"/>
        <w:tabs>
          <w:tab w:val="left" w:pos="1980"/>
        </w:tabs>
        <w:rPr>
          <w:color w:val="000000"/>
        </w:rPr>
      </w:pPr>
      <w:r w:rsidRPr="00993B55">
        <w:rPr>
          <w:color w:val="000000"/>
        </w:rPr>
        <w:t>CH&amp;SC 42301.6</w:t>
      </w:r>
      <w:r w:rsidRPr="00993B55">
        <w:rPr>
          <w:color w:val="000000"/>
        </w:rPr>
        <w:tab/>
        <w:t>School Notice</w:t>
      </w:r>
    </w:p>
    <w:p w14:paraId="721503C6" w14:textId="77777777" w:rsidR="000177D5" w:rsidRPr="00993B55" w:rsidRDefault="000177D5" w:rsidP="007A60F3">
      <w:pPr>
        <w:widowControl w:val="0"/>
        <w:rPr>
          <w:rFonts w:cs="Arial"/>
          <w:spacing w:val="-3"/>
        </w:rPr>
      </w:pPr>
      <w:r w:rsidRPr="00993B55">
        <w:rPr>
          <w:rFonts w:cs="Arial"/>
          <w:spacing w:val="-3"/>
        </w:rPr>
        <w:t>Public Resources Code 21000-21177: California Environmental Quality Act (CEQA)</w:t>
      </w:r>
    </w:p>
    <w:p w14:paraId="2B3EC11C" w14:textId="77777777" w:rsidR="000177D5" w:rsidRPr="00993B55" w:rsidRDefault="000177D5" w:rsidP="007A60F3">
      <w:pPr>
        <w:widowControl w:val="0"/>
        <w:rPr>
          <w:rFonts w:cs="Arial"/>
          <w:spacing w:val="-3"/>
        </w:rPr>
      </w:pPr>
      <w:r w:rsidRPr="00993B55">
        <w:rPr>
          <w:rFonts w:cs="Arial"/>
          <w:spacing w:val="-3"/>
        </w:rPr>
        <w:t>California Code of Regulations, Title 14, Division 6, Chapter 3, Sections 15000-15387: CEQA Guidelines</w:t>
      </w:r>
    </w:p>
    <w:p w14:paraId="4AD325CA" w14:textId="77777777" w:rsidR="000177D5" w:rsidRPr="00542D59" w:rsidRDefault="000177D5" w:rsidP="001E7BD0">
      <w:pPr>
        <w:pStyle w:val="Heading1"/>
      </w:pPr>
      <w:r w:rsidRPr="00542D59">
        <w:t>III.</w:t>
      </w:r>
      <w:r w:rsidRPr="00542D59">
        <w:tab/>
        <w:t>Project Location</w:t>
      </w:r>
    </w:p>
    <w:p w14:paraId="1E168502" w14:textId="77777777" w:rsidR="000177D5" w:rsidRPr="00993B55" w:rsidRDefault="000177D5" w:rsidP="007A60F3">
      <w:pPr>
        <w:widowControl w:val="0"/>
        <w:rPr>
          <w:color w:val="FF0000"/>
        </w:rPr>
      </w:pPr>
      <w:r w:rsidRPr="00993B55">
        <w:rPr>
          <w:color w:val="FF0000"/>
        </w:rPr>
        <w:t xml:space="preserve">Indicate the actual location of this project including the street address.  Use Universal Transverse Meridian (UTM) coordinates, a descriptive location, or </w:t>
      </w:r>
      <w:r w:rsidRPr="00993B55">
        <w:rPr>
          <w:color w:val="FF0000"/>
          <w:spacing w:val="-3"/>
        </w:rPr>
        <w:t>Mount Diablo Base Meridian location (</w:t>
      </w:r>
      <w:r w:rsidRPr="00993B55">
        <w:rPr>
          <w:color w:val="FF0000"/>
        </w:rPr>
        <w:t>section, township, and range) if street address is not practical.  Verify whether or not the equipment is or will be located within 1,000 feet of the nearest outer boundary of a K-12 school.  State this in the EE.</w:t>
      </w:r>
    </w:p>
    <w:p w14:paraId="60F97265" w14:textId="77777777" w:rsidR="000177D5" w:rsidRPr="00993B55" w:rsidRDefault="000177D5" w:rsidP="007A60F3">
      <w:pPr>
        <w:widowControl w:val="0"/>
        <w:rPr>
          <w:color w:val="000000"/>
        </w:rPr>
      </w:pPr>
    </w:p>
    <w:p w14:paraId="5CA67045" w14:textId="77777777" w:rsidR="000177D5" w:rsidRPr="00993B55" w:rsidRDefault="000177D5" w:rsidP="007A60F3">
      <w:pPr>
        <w:widowControl w:val="0"/>
        <w:tabs>
          <w:tab w:val="left" w:pos="1530"/>
        </w:tabs>
        <w:rPr>
          <w:i/>
          <w:iCs/>
          <w:color w:val="0000FF"/>
          <w:u w:val="single"/>
        </w:rPr>
      </w:pPr>
      <w:r w:rsidRPr="00993B55">
        <w:rPr>
          <w:i/>
          <w:iCs/>
          <w:color w:val="0000FF"/>
          <w:u w:val="single"/>
        </w:rPr>
        <w:t>Example (a)</w:t>
      </w:r>
      <w:r w:rsidRPr="00993B55">
        <w:rPr>
          <w:i/>
          <w:iCs/>
          <w:color w:val="0000FF"/>
        </w:rPr>
        <w:t>:</w:t>
      </w:r>
      <w:r w:rsidRPr="00993B55">
        <w:rPr>
          <w:i/>
          <w:iCs/>
          <w:color w:val="0000FF"/>
        </w:rPr>
        <w:tab/>
        <w:t>(With a street address.)</w:t>
      </w:r>
    </w:p>
    <w:p w14:paraId="782DF043" w14:textId="77777777" w:rsidR="000177D5" w:rsidRPr="00993B55" w:rsidRDefault="000177D5" w:rsidP="007A60F3">
      <w:pPr>
        <w:widowControl w:val="0"/>
      </w:pPr>
      <w:r w:rsidRPr="00993B55">
        <w:t xml:space="preserve">The facility is located at </w:t>
      </w:r>
      <w:r w:rsidRPr="001B1092">
        <w:rPr>
          <w:color w:val="0000FF"/>
        </w:rPr>
        <w:t>1990 E Gettysburg in Fresno, CA</w:t>
      </w:r>
      <w:r w:rsidRPr="00993B55">
        <w:t xml:space="preserve">.  The equipment </w:t>
      </w:r>
      <w:r w:rsidRPr="00764378">
        <w:rPr>
          <w:color w:val="0000FF"/>
        </w:rPr>
        <w:t>is not</w:t>
      </w:r>
      <w:r w:rsidRPr="00993B55">
        <w:t xml:space="preserve"> located within 1,000 feet of the outer boundary of a K-12 school.  Therefore, the public notification requirement of California Health and Safety Code 42301.6 </w:t>
      </w:r>
      <w:r w:rsidRPr="00993B55">
        <w:rPr>
          <w:color w:val="0000FF"/>
        </w:rPr>
        <w:t>is not</w:t>
      </w:r>
      <w:r w:rsidRPr="00993B55">
        <w:t xml:space="preserve"> applicable to this project.</w:t>
      </w:r>
    </w:p>
    <w:p w14:paraId="15673B72" w14:textId="77777777" w:rsidR="000177D5" w:rsidRPr="00993B55" w:rsidRDefault="000177D5" w:rsidP="007A60F3">
      <w:pPr>
        <w:widowControl w:val="0"/>
      </w:pPr>
    </w:p>
    <w:p w14:paraId="346036B1" w14:textId="77777777" w:rsidR="000177D5" w:rsidRPr="00993B55" w:rsidRDefault="000177D5" w:rsidP="007A60F3">
      <w:pPr>
        <w:widowControl w:val="0"/>
        <w:tabs>
          <w:tab w:val="left" w:pos="1530"/>
        </w:tabs>
        <w:rPr>
          <w:i/>
          <w:iCs/>
          <w:color w:val="0000FF"/>
          <w:u w:val="single"/>
        </w:rPr>
      </w:pPr>
      <w:r w:rsidRPr="00993B55">
        <w:rPr>
          <w:i/>
          <w:iCs/>
          <w:color w:val="0000FF"/>
          <w:u w:val="single"/>
        </w:rPr>
        <w:t>Example (b)</w:t>
      </w:r>
      <w:r w:rsidRPr="00993B55">
        <w:rPr>
          <w:i/>
          <w:iCs/>
          <w:color w:val="0000FF"/>
        </w:rPr>
        <w:t>:</w:t>
      </w:r>
      <w:r w:rsidRPr="00993B55">
        <w:rPr>
          <w:i/>
          <w:iCs/>
          <w:color w:val="0000FF"/>
        </w:rPr>
        <w:tab/>
        <w:t>(With a Mount Diablo Base Meridian Location.)</w:t>
      </w:r>
    </w:p>
    <w:p w14:paraId="6A1EF991" w14:textId="77777777" w:rsidR="000177D5" w:rsidRPr="00993B55" w:rsidRDefault="000177D5" w:rsidP="007A60F3">
      <w:pPr>
        <w:widowControl w:val="0"/>
      </w:pPr>
      <w:r w:rsidRPr="00993B55">
        <w:t xml:space="preserve">The equipment will be located at </w:t>
      </w:r>
      <w:r w:rsidRPr="001B1092">
        <w:rPr>
          <w:color w:val="0000FF"/>
        </w:rPr>
        <w:t>the 31X oil and water treatment plant in the Cymric Oil Field, within the SW/4 of Section 31, Township 29S, Range 21E</w:t>
      </w:r>
      <w:r w:rsidRPr="00623599">
        <w:t>.</w:t>
      </w:r>
      <w:r w:rsidRPr="00993B55">
        <w:t xml:space="preserve">  The equipment </w:t>
      </w:r>
      <w:r w:rsidRPr="00764378">
        <w:rPr>
          <w:color w:val="0000FF"/>
        </w:rPr>
        <w:t>is not</w:t>
      </w:r>
      <w:r w:rsidRPr="00993B55">
        <w:t xml:space="preserve"> located within 1,000 feet of the outer boundary of a K-12 school.  Therefore, the public notification requirement of California Health and Safety Code 42301.6 </w:t>
      </w:r>
      <w:r w:rsidRPr="00993B55">
        <w:rPr>
          <w:color w:val="0000FF"/>
        </w:rPr>
        <w:t>is not</w:t>
      </w:r>
      <w:r w:rsidRPr="00993B55">
        <w:t xml:space="preserve"> applicable to this project.</w:t>
      </w:r>
    </w:p>
    <w:p w14:paraId="415924A4" w14:textId="77777777" w:rsidR="000177D5" w:rsidRPr="00993B55" w:rsidRDefault="000177D5" w:rsidP="007A60F3">
      <w:pPr>
        <w:widowControl w:val="0"/>
      </w:pPr>
    </w:p>
    <w:p w14:paraId="13DF6FD0" w14:textId="77777777" w:rsidR="000177D5" w:rsidRPr="00993B55" w:rsidRDefault="000177D5" w:rsidP="007A60F3">
      <w:pPr>
        <w:widowControl w:val="0"/>
        <w:tabs>
          <w:tab w:val="left" w:pos="1530"/>
        </w:tabs>
        <w:rPr>
          <w:i/>
          <w:iCs/>
          <w:color w:val="0000FF"/>
          <w:u w:val="single"/>
        </w:rPr>
      </w:pPr>
      <w:r w:rsidRPr="00993B55">
        <w:rPr>
          <w:i/>
          <w:iCs/>
          <w:color w:val="0000FF"/>
          <w:u w:val="single"/>
        </w:rPr>
        <w:t>Example (c)</w:t>
      </w:r>
      <w:r w:rsidRPr="00993B55">
        <w:rPr>
          <w:i/>
          <w:iCs/>
          <w:color w:val="0000FF"/>
        </w:rPr>
        <w:t>:</w:t>
      </w:r>
      <w:r w:rsidRPr="00993B55">
        <w:rPr>
          <w:i/>
          <w:iCs/>
          <w:color w:val="0000FF"/>
        </w:rPr>
        <w:tab/>
        <w:t>(With a descriptive location.)</w:t>
      </w:r>
    </w:p>
    <w:p w14:paraId="7DD135EE" w14:textId="77777777" w:rsidR="000177D5" w:rsidRPr="00993B55" w:rsidRDefault="000177D5" w:rsidP="007A60F3">
      <w:pPr>
        <w:widowControl w:val="0"/>
      </w:pPr>
      <w:r w:rsidRPr="00993B55">
        <w:t xml:space="preserve">The site is located </w:t>
      </w:r>
      <w:r w:rsidRPr="001B1092">
        <w:rPr>
          <w:color w:val="0000FF"/>
        </w:rPr>
        <w:t>on the eastern side of 25</w:t>
      </w:r>
      <w:r w:rsidRPr="001B1092">
        <w:rPr>
          <w:color w:val="0000FF"/>
          <w:vertAlign w:val="superscript"/>
        </w:rPr>
        <w:t>th</w:t>
      </w:r>
      <w:r w:rsidRPr="001B1092">
        <w:rPr>
          <w:color w:val="0000FF"/>
        </w:rPr>
        <w:t xml:space="preserve"> Avenue, approximately one mile south of State Route (SR) 198, in Kings County</w:t>
      </w:r>
      <w:r w:rsidRPr="00993B55">
        <w:t xml:space="preserve">. The equipment </w:t>
      </w:r>
      <w:r w:rsidRPr="00764378">
        <w:rPr>
          <w:color w:val="0000FF"/>
        </w:rPr>
        <w:t>is not</w:t>
      </w:r>
      <w:r w:rsidRPr="00993B55">
        <w:t xml:space="preserve"> located within 1,000 feet of the outer boundary of a K-12 school.  Therefore, the public notification requirement of California Health and Safety Code 42301.6 </w:t>
      </w:r>
      <w:r w:rsidRPr="00993B55">
        <w:rPr>
          <w:color w:val="0000FF"/>
        </w:rPr>
        <w:t>is not</w:t>
      </w:r>
      <w:r w:rsidRPr="00993B55">
        <w:t xml:space="preserve"> applicable to this project.</w:t>
      </w:r>
    </w:p>
    <w:p w14:paraId="1C1F1015" w14:textId="77777777" w:rsidR="000177D5" w:rsidRPr="00542D59" w:rsidRDefault="000177D5" w:rsidP="001E7BD0">
      <w:pPr>
        <w:pStyle w:val="Heading1"/>
      </w:pPr>
      <w:r w:rsidRPr="00542D59">
        <w:t>IV.</w:t>
      </w:r>
      <w:r w:rsidRPr="00542D59">
        <w:tab/>
        <w:t>Process Description</w:t>
      </w:r>
    </w:p>
    <w:p w14:paraId="40F6978B" w14:textId="77777777" w:rsidR="000177D5" w:rsidRPr="00993B55" w:rsidRDefault="000177D5" w:rsidP="007A60F3">
      <w:pPr>
        <w:widowControl w:val="0"/>
        <w:rPr>
          <w:color w:val="FF0000"/>
        </w:rPr>
      </w:pPr>
      <w:r w:rsidRPr="00993B55">
        <w:rPr>
          <w:color w:val="FF0000"/>
        </w:rPr>
        <w:t>Identify the major business of the facility.  Describe the proposed equipment; explain what it does and how it fits into the facility operation.  Include relevant operational data.</w:t>
      </w:r>
    </w:p>
    <w:p w14:paraId="4F2095EC" w14:textId="18C9D22D" w:rsidR="000177D5" w:rsidRDefault="000177D5" w:rsidP="007A60F3">
      <w:pPr>
        <w:widowControl w:val="0"/>
      </w:pPr>
    </w:p>
    <w:p w14:paraId="7F245D06" w14:textId="77777777" w:rsidR="000177D5" w:rsidRPr="00542D59" w:rsidRDefault="000177D5" w:rsidP="001E7BD0">
      <w:pPr>
        <w:pStyle w:val="Heading1"/>
      </w:pPr>
      <w:r w:rsidRPr="00542D59">
        <w:lastRenderedPageBreak/>
        <w:t>V.</w:t>
      </w:r>
      <w:r w:rsidRPr="00542D59">
        <w:tab/>
        <w:t>Equipment Listing</w:t>
      </w:r>
    </w:p>
    <w:p w14:paraId="10735DE7" w14:textId="77777777" w:rsidR="000177D5" w:rsidRPr="00993B55" w:rsidRDefault="000177D5" w:rsidP="007A60F3">
      <w:pPr>
        <w:widowControl w:val="0"/>
        <w:rPr>
          <w:color w:val="FF0000"/>
        </w:rPr>
      </w:pPr>
      <w:r w:rsidRPr="00993B55">
        <w:rPr>
          <w:color w:val="FF0000"/>
        </w:rPr>
        <w:t>Describe the equipment to be permitted in detail.  Include maximum rating, fuel type, manufacturer, model number, control equipment and any relevant related equipment.  Include the serial number only if necessary.</w:t>
      </w:r>
    </w:p>
    <w:p w14:paraId="34E629E8" w14:textId="77777777" w:rsidR="000177D5" w:rsidRPr="00993B55" w:rsidRDefault="000177D5" w:rsidP="007A60F3">
      <w:pPr>
        <w:widowControl w:val="0"/>
        <w:rPr>
          <w:color w:val="000000"/>
        </w:rPr>
      </w:pPr>
    </w:p>
    <w:p w14:paraId="7CE26B97" w14:textId="77777777" w:rsidR="000177D5" w:rsidRPr="00993B55" w:rsidRDefault="000177D5" w:rsidP="007A60F3">
      <w:pPr>
        <w:widowControl w:val="0"/>
        <w:ind w:left="1530" w:hanging="1530"/>
        <w:rPr>
          <w:i/>
          <w:iCs/>
          <w:color w:val="0000FF"/>
        </w:rPr>
      </w:pPr>
      <w:r w:rsidRPr="00993B55">
        <w:rPr>
          <w:i/>
          <w:iCs/>
          <w:color w:val="0000FF"/>
          <w:u w:val="single"/>
        </w:rPr>
        <w:t>Example (a)</w:t>
      </w:r>
      <w:r w:rsidRPr="00993B55">
        <w:rPr>
          <w:i/>
          <w:iCs/>
          <w:color w:val="0000FF"/>
        </w:rPr>
        <w:t>:</w:t>
      </w:r>
      <w:r w:rsidRPr="00993B55">
        <w:rPr>
          <w:i/>
          <w:iCs/>
          <w:color w:val="0000FF"/>
        </w:rPr>
        <w:tab/>
        <w:t>(For new permit units (boilers, engines, etc.), include the equipment that is being installed.)</w:t>
      </w:r>
    </w:p>
    <w:p w14:paraId="1546768B" w14:textId="77777777" w:rsidR="000177D5" w:rsidRPr="00CD76FC" w:rsidRDefault="000177D5" w:rsidP="007A60F3">
      <w:pPr>
        <w:widowControl w:val="0"/>
        <w:ind w:left="1530" w:hanging="1530"/>
        <w:rPr>
          <w:color w:val="0000FF"/>
        </w:rPr>
      </w:pPr>
    </w:p>
    <w:p w14:paraId="4B3E818C" w14:textId="7F20C86C" w:rsidR="000177D5" w:rsidRPr="00993B55" w:rsidRDefault="00764378" w:rsidP="007A60F3">
      <w:pPr>
        <w:widowControl w:val="0"/>
        <w:ind w:left="1458" w:hanging="1458"/>
        <w:rPr>
          <w:color w:val="000000"/>
        </w:rPr>
      </w:pPr>
      <w:r w:rsidRPr="009E1460">
        <w:rPr>
          <w:color w:val="0000FF"/>
        </w:rPr>
        <w:t>X</w:t>
      </w:r>
      <w:r w:rsidR="000177D5" w:rsidRPr="009E1460">
        <w:rPr>
          <w:color w:val="0000FF"/>
        </w:rPr>
        <w:t>-XXX-X-X</w:t>
      </w:r>
      <w:r w:rsidR="000177D5" w:rsidRPr="00993B55">
        <w:rPr>
          <w:color w:val="000000"/>
        </w:rPr>
        <w:t xml:space="preserve">:  </w:t>
      </w:r>
      <w:r w:rsidR="008C5E5D">
        <w:rPr>
          <w:color w:val="000000"/>
        </w:rPr>
        <w:tab/>
      </w:r>
      <w:r w:rsidR="000177D5" w:rsidRPr="00993B55">
        <w:rPr>
          <w:color w:val="000000"/>
        </w:rPr>
        <w:t>32.7 MMBTU/HR CLEAVER-BROOKS MODEL CBLE 700-800-150ST NATURAL GAS-FIRED BOILER WITH LOW-NO</w:t>
      </w:r>
      <w:r w:rsidR="008F7AB2">
        <w:rPr>
          <w:color w:val="000000"/>
        </w:rPr>
        <w:t>X</w:t>
      </w:r>
      <w:r w:rsidR="000177D5" w:rsidRPr="00993B55">
        <w:rPr>
          <w:color w:val="000000"/>
        </w:rPr>
        <w:t xml:space="preserve"> BURNER AND FLUE GAS RECIRCULATION (FGR) SYSTEM</w:t>
      </w:r>
    </w:p>
    <w:p w14:paraId="37FCA38A" w14:textId="77777777" w:rsidR="000177D5" w:rsidRPr="00993B55" w:rsidRDefault="000177D5" w:rsidP="007A60F3">
      <w:pPr>
        <w:widowControl w:val="0"/>
        <w:rPr>
          <w:color w:val="000000"/>
        </w:rPr>
      </w:pPr>
    </w:p>
    <w:p w14:paraId="721AAA24" w14:textId="77777777" w:rsidR="000177D5" w:rsidRPr="00993B55" w:rsidRDefault="000177D5" w:rsidP="007A60F3">
      <w:pPr>
        <w:widowControl w:val="0"/>
        <w:ind w:left="1530" w:hanging="1530"/>
        <w:rPr>
          <w:i/>
          <w:iCs/>
          <w:color w:val="0000FF"/>
        </w:rPr>
      </w:pPr>
      <w:r w:rsidRPr="00993B55">
        <w:rPr>
          <w:i/>
          <w:iCs/>
          <w:color w:val="0000FF"/>
          <w:u w:val="single"/>
        </w:rPr>
        <w:t>Example (b)</w:t>
      </w:r>
      <w:r w:rsidRPr="00993B55">
        <w:rPr>
          <w:i/>
          <w:iCs/>
          <w:color w:val="0000FF"/>
        </w:rPr>
        <w:t>:</w:t>
      </w:r>
      <w:r w:rsidRPr="00993B55">
        <w:rPr>
          <w:i/>
          <w:iCs/>
          <w:color w:val="0000FF"/>
        </w:rPr>
        <w:tab/>
        <w:t>(For modified permit units (boilers, engines, etc.), include the pre-project equipment description, the proposed modification and/or ATC equipment description, and the final equipment description, as it will appear on the post-project PTO.)</w:t>
      </w:r>
    </w:p>
    <w:p w14:paraId="03FE0C16" w14:textId="77777777" w:rsidR="000177D5" w:rsidRPr="00EB1BF4" w:rsidRDefault="000177D5" w:rsidP="007A60F3">
      <w:pPr>
        <w:widowControl w:val="0"/>
        <w:ind w:left="1530" w:hanging="1530"/>
        <w:rPr>
          <w:color w:val="0000FF"/>
        </w:rPr>
      </w:pPr>
    </w:p>
    <w:p w14:paraId="442255C6" w14:textId="77777777" w:rsidR="000177D5" w:rsidRPr="00993B55" w:rsidRDefault="000177D5" w:rsidP="007A60F3">
      <w:pPr>
        <w:widowControl w:val="0"/>
        <w:rPr>
          <w:bCs/>
          <w:spacing w:val="-3"/>
          <w:u w:val="single"/>
        </w:rPr>
      </w:pPr>
      <w:r w:rsidRPr="00993B55">
        <w:rPr>
          <w:bCs/>
          <w:spacing w:val="-3"/>
          <w:u w:val="single"/>
        </w:rPr>
        <w:t>Pre-Project Equipment Description</w:t>
      </w:r>
      <w:r w:rsidRPr="00993B55">
        <w:rPr>
          <w:bCs/>
          <w:spacing w:val="-3"/>
        </w:rPr>
        <w:t>:</w:t>
      </w:r>
    </w:p>
    <w:p w14:paraId="74416617" w14:textId="77777777" w:rsidR="000177D5" w:rsidRPr="00993B55" w:rsidRDefault="000177D5" w:rsidP="007A60F3">
      <w:pPr>
        <w:widowControl w:val="0"/>
        <w:rPr>
          <w:bCs/>
          <w:spacing w:val="-3"/>
        </w:rPr>
      </w:pPr>
    </w:p>
    <w:p w14:paraId="0BF68668" w14:textId="44A88D98" w:rsidR="000177D5" w:rsidRPr="00993B55" w:rsidRDefault="00B0181C" w:rsidP="007A60F3">
      <w:pPr>
        <w:widowControl w:val="0"/>
        <w:ind w:left="1440" w:hanging="1440"/>
        <w:rPr>
          <w:bCs/>
          <w:spacing w:val="-3"/>
        </w:rPr>
      </w:pPr>
      <w:r w:rsidRPr="004072EE">
        <w:rPr>
          <w:bCs/>
          <w:color w:val="0000FF"/>
          <w:spacing w:val="-3"/>
        </w:rPr>
        <w:t>X</w:t>
      </w:r>
      <w:r w:rsidR="000177D5" w:rsidRPr="004072EE">
        <w:rPr>
          <w:bCs/>
          <w:color w:val="0000FF"/>
          <w:spacing w:val="-3"/>
        </w:rPr>
        <w:t>-XXX-X-X</w:t>
      </w:r>
      <w:r w:rsidR="000177D5" w:rsidRPr="00993B55">
        <w:rPr>
          <w:bCs/>
          <w:spacing w:val="-3"/>
        </w:rPr>
        <w:t>:</w:t>
      </w:r>
      <w:r w:rsidR="000177D5" w:rsidRPr="00993B55">
        <w:rPr>
          <w:bCs/>
          <w:spacing w:val="-3"/>
        </w:rPr>
        <w:tab/>
      </w:r>
      <w:r w:rsidR="000177D5" w:rsidRPr="00993B55">
        <w:rPr>
          <w:bCs/>
          <w:color w:val="0000FF"/>
          <w:spacing w:val="-3"/>
        </w:rPr>
        <w:t>PASTE EQUIPMENT DESCRIPTION FROM CURRENT PTO HERE</w:t>
      </w:r>
    </w:p>
    <w:p w14:paraId="0B8EF59D" w14:textId="77777777" w:rsidR="000177D5" w:rsidRPr="00993B55" w:rsidRDefault="000177D5" w:rsidP="007A60F3">
      <w:pPr>
        <w:widowControl w:val="0"/>
        <w:rPr>
          <w:bCs/>
          <w:spacing w:val="-3"/>
        </w:rPr>
      </w:pPr>
    </w:p>
    <w:p w14:paraId="0671337F" w14:textId="77777777" w:rsidR="000177D5" w:rsidRPr="00993B55" w:rsidRDefault="000177D5" w:rsidP="007A60F3">
      <w:pPr>
        <w:widowControl w:val="0"/>
        <w:rPr>
          <w:color w:val="000000"/>
          <w:u w:val="single"/>
        </w:rPr>
      </w:pPr>
      <w:r w:rsidRPr="00993B55">
        <w:rPr>
          <w:color w:val="000000"/>
          <w:u w:val="single"/>
        </w:rPr>
        <w:t>Proposed Modification</w:t>
      </w:r>
      <w:r w:rsidRPr="00993B55">
        <w:rPr>
          <w:color w:val="000000"/>
        </w:rPr>
        <w:t>:</w:t>
      </w:r>
    </w:p>
    <w:p w14:paraId="3FD1501A" w14:textId="77777777" w:rsidR="000177D5" w:rsidRPr="00993B55" w:rsidRDefault="000177D5" w:rsidP="007A60F3">
      <w:pPr>
        <w:widowControl w:val="0"/>
      </w:pPr>
    </w:p>
    <w:p w14:paraId="5BFABB6D" w14:textId="6B1486DC" w:rsidR="000177D5" w:rsidRPr="00993B55" w:rsidRDefault="000177D5" w:rsidP="007A60F3">
      <w:pPr>
        <w:widowControl w:val="0"/>
      </w:pPr>
      <w:r w:rsidRPr="00993B55">
        <w:t xml:space="preserve">Remove MAC baghouse, split the Saunco baghouses into separate units, retrofit one Saunco into a reverse pulse baghouse, increase throughput to </w:t>
      </w:r>
      <w:r w:rsidR="002E0313" w:rsidRPr="002E0313">
        <w:rPr>
          <w:color w:val="0000FF"/>
        </w:rPr>
        <w:t>XXX</w:t>
      </w:r>
      <w:r w:rsidRPr="00993B55">
        <w:t xml:space="preserve"> tons per day, and revise PM</w:t>
      </w:r>
      <w:r w:rsidR="00AF2232">
        <w:t>10</w:t>
      </w:r>
      <w:r w:rsidRPr="00993B55">
        <w:t xml:space="preserve"> emission factor to </w:t>
      </w:r>
      <w:r w:rsidR="00D860D8" w:rsidRPr="002E0313">
        <w:rPr>
          <w:color w:val="0000FF"/>
        </w:rPr>
        <w:t>X.XXX</w:t>
      </w:r>
      <w:r w:rsidRPr="002E0313">
        <w:rPr>
          <w:color w:val="0000FF"/>
        </w:rPr>
        <w:t xml:space="preserve"> </w:t>
      </w:r>
      <w:r w:rsidRPr="00993B55">
        <w:t>lb PM</w:t>
      </w:r>
      <w:r w:rsidR="00AF2232">
        <w:t>10</w:t>
      </w:r>
      <w:r w:rsidRPr="00993B55">
        <w:t>/ton.</w:t>
      </w:r>
    </w:p>
    <w:p w14:paraId="3CF53777" w14:textId="77777777" w:rsidR="000177D5" w:rsidRPr="00993B55" w:rsidRDefault="000177D5" w:rsidP="007A60F3">
      <w:pPr>
        <w:widowControl w:val="0"/>
      </w:pPr>
    </w:p>
    <w:p w14:paraId="265D952B" w14:textId="77777777" w:rsidR="000177D5" w:rsidRPr="00993B55" w:rsidRDefault="000177D5" w:rsidP="007A60F3">
      <w:pPr>
        <w:widowControl w:val="0"/>
        <w:rPr>
          <w:i/>
          <w:iCs/>
          <w:color w:val="FF0000"/>
        </w:rPr>
      </w:pPr>
      <w:r w:rsidRPr="00993B55">
        <w:rPr>
          <w:i/>
          <w:iCs/>
          <w:color w:val="FF0000"/>
        </w:rPr>
        <w:t>(</w:t>
      </w:r>
      <w:r w:rsidRPr="00993B55">
        <w:rPr>
          <w:i/>
          <w:iCs/>
          <w:color w:val="FF0000"/>
          <w:u w:val="single"/>
        </w:rPr>
        <w:t>Note</w:t>
      </w:r>
      <w:r w:rsidRPr="00993B55">
        <w:rPr>
          <w:i/>
          <w:iCs/>
          <w:color w:val="FF0000"/>
        </w:rPr>
        <w:t>: The equipment description on the proposed draft ATC(s) should include the current permit description along with the proposed modification as follows:)</w:t>
      </w:r>
    </w:p>
    <w:p w14:paraId="6F304A4A" w14:textId="77777777" w:rsidR="000177D5" w:rsidRPr="00993B55" w:rsidRDefault="000177D5" w:rsidP="007A60F3">
      <w:pPr>
        <w:widowControl w:val="0"/>
      </w:pPr>
    </w:p>
    <w:p w14:paraId="2A9EF783" w14:textId="612B4BEE" w:rsidR="000177D5" w:rsidRPr="00993B55" w:rsidRDefault="00B0181C" w:rsidP="007A60F3">
      <w:pPr>
        <w:widowControl w:val="0"/>
        <w:ind w:left="1440" w:hanging="1440"/>
        <w:rPr>
          <w:color w:val="000000"/>
        </w:rPr>
      </w:pPr>
      <w:r w:rsidRPr="004072EE">
        <w:rPr>
          <w:bCs/>
          <w:color w:val="0000FF"/>
          <w:spacing w:val="-3"/>
        </w:rPr>
        <w:t>X</w:t>
      </w:r>
      <w:r w:rsidR="000177D5" w:rsidRPr="004072EE">
        <w:rPr>
          <w:bCs/>
          <w:color w:val="0000FF"/>
          <w:spacing w:val="-3"/>
        </w:rPr>
        <w:t>-XXX-X-X</w:t>
      </w:r>
      <w:r w:rsidR="000177D5" w:rsidRPr="00993B55">
        <w:rPr>
          <w:bCs/>
          <w:spacing w:val="-3"/>
        </w:rPr>
        <w:t>:</w:t>
      </w:r>
      <w:r w:rsidR="000177D5" w:rsidRPr="00993B55">
        <w:rPr>
          <w:bCs/>
          <w:spacing w:val="-3"/>
        </w:rPr>
        <w:tab/>
      </w:r>
      <w:r w:rsidR="000177D5" w:rsidRPr="00993B55">
        <w:rPr>
          <w:iCs/>
          <w:color w:val="000000"/>
        </w:rPr>
        <w:t xml:space="preserve">MODIFICATION OF ALMOND HULLING FACILITY SERVED BY TWO SAUNCO MODEL #3-32 BAGHOUSES AND ONE MAC MODEL 4MTF-16 REVERSE PULSE FILTERS SERVING THE FLUIDIZER: REMOVE MAC BAGHOUSE, SPLIT THE SAUNCO BAGHOUSES INTO SEPARATE UNITS, RETROFIT ONE SAUNCO INTO A REVERSE PULSE BAGHOUSE, INCREASE THROUGHPUT TO </w:t>
      </w:r>
      <w:r w:rsidR="002E0313">
        <w:rPr>
          <w:iCs/>
          <w:color w:val="0000FF"/>
        </w:rPr>
        <w:t>XXX</w:t>
      </w:r>
      <w:r w:rsidR="000177D5" w:rsidRPr="00993B55">
        <w:rPr>
          <w:iCs/>
          <w:color w:val="000000"/>
        </w:rPr>
        <w:t xml:space="preserve"> TONS PER DAY, AND REVISE PM10 EMISSION FACTOR TO </w:t>
      </w:r>
      <w:r w:rsidR="002E0313">
        <w:rPr>
          <w:iCs/>
          <w:color w:val="0000FF"/>
        </w:rPr>
        <w:t>X.XXX</w:t>
      </w:r>
      <w:r w:rsidR="000177D5" w:rsidRPr="002E0313">
        <w:rPr>
          <w:iCs/>
          <w:color w:val="0000FF"/>
        </w:rPr>
        <w:t xml:space="preserve"> </w:t>
      </w:r>
      <w:r w:rsidR="000177D5" w:rsidRPr="00993B55">
        <w:rPr>
          <w:iCs/>
          <w:color w:val="000000"/>
        </w:rPr>
        <w:t>LB PM10/TON</w:t>
      </w:r>
    </w:p>
    <w:p w14:paraId="2F8A3588" w14:textId="77777777" w:rsidR="000177D5" w:rsidRPr="00993B55" w:rsidRDefault="000177D5" w:rsidP="007A60F3">
      <w:pPr>
        <w:widowControl w:val="0"/>
        <w:rPr>
          <w:bCs/>
          <w:spacing w:val="-3"/>
        </w:rPr>
      </w:pPr>
    </w:p>
    <w:p w14:paraId="64346D2F" w14:textId="77777777" w:rsidR="000177D5" w:rsidRPr="00993B55" w:rsidRDefault="000177D5" w:rsidP="007A60F3">
      <w:pPr>
        <w:widowControl w:val="0"/>
        <w:rPr>
          <w:bCs/>
          <w:spacing w:val="-3"/>
          <w:u w:val="single"/>
        </w:rPr>
      </w:pPr>
      <w:r w:rsidRPr="00993B55">
        <w:rPr>
          <w:bCs/>
          <w:spacing w:val="-3"/>
          <w:u w:val="single"/>
        </w:rPr>
        <w:t>Post-Project Equipment Description</w:t>
      </w:r>
      <w:r w:rsidRPr="00993B55">
        <w:rPr>
          <w:bCs/>
          <w:spacing w:val="-3"/>
        </w:rPr>
        <w:t>:</w:t>
      </w:r>
    </w:p>
    <w:p w14:paraId="4A4D888E" w14:textId="77777777" w:rsidR="000177D5" w:rsidRPr="00993B55" w:rsidRDefault="000177D5" w:rsidP="007A60F3">
      <w:pPr>
        <w:widowControl w:val="0"/>
        <w:ind w:left="1260" w:hanging="1260"/>
        <w:rPr>
          <w:bCs/>
          <w:spacing w:val="-3"/>
        </w:rPr>
      </w:pPr>
    </w:p>
    <w:p w14:paraId="1B7C7951" w14:textId="7805439F" w:rsidR="000177D5" w:rsidRPr="00993B55" w:rsidRDefault="00B0181C" w:rsidP="007A60F3">
      <w:pPr>
        <w:widowControl w:val="0"/>
        <w:ind w:left="1440" w:hanging="1440"/>
        <w:rPr>
          <w:spacing w:val="-3"/>
        </w:rPr>
      </w:pPr>
      <w:r w:rsidRPr="004072EE">
        <w:rPr>
          <w:bCs/>
          <w:color w:val="0000FF"/>
          <w:spacing w:val="-3"/>
        </w:rPr>
        <w:t>X</w:t>
      </w:r>
      <w:r w:rsidR="000177D5" w:rsidRPr="004072EE">
        <w:rPr>
          <w:bCs/>
          <w:color w:val="0000FF"/>
          <w:spacing w:val="-3"/>
        </w:rPr>
        <w:t>-XXX-X-X</w:t>
      </w:r>
      <w:r w:rsidR="000177D5" w:rsidRPr="00993B55">
        <w:rPr>
          <w:bCs/>
          <w:spacing w:val="-3"/>
        </w:rPr>
        <w:t>:</w:t>
      </w:r>
      <w:r w:rsidR="000177D5" w:rsidRPr="00993B55">
        <w:rPr>
          <w:bCs/>
          <w:spacing w:val="-3"/>
        </w:rPr>
        <w:tab/>
        <w:t>ALMOND HULLING AND SHELLING OPERATION CONSISTING OF NINE (9) STAGES OF SHEAR</w:t>
      </w:r>
      <w:r w:rsidR="000177D5" w:rsidRPr="00993B55">
        <w:rPr>
          <w:spacing w:val="-3"/>
        </w:rPr>
        <w:t xml:space="preserve"> ROLLING AND HARDSHELL CRACKING EQUIPMENT AND ASSOCIATED AUGERS, BUCKET ELEVATORS, AND CONVEYORS SERVED BY A SAUNCO MODEL 3-32 SHAKER BAGHOUSE AND AIRLEG ASPIRATORS, TWO (2) GRAVITY TABLES AND A FLUIDIZER SERVED BY A WSM MODEL 144TLR462 PULSE-JET BAGHOUSE</w:t>
      </w:r>
    </w:p>
    <w:p w14:paraId="1146E814" w14:textId="77777777" w:rsidR="000177D5" w:rsidRPr="00993B55" w:rsidRDefault="000177D5" w:rsidP="007A60F3">
      <w:pPr>
        <w:widowControl w:val="0"/>
        <w:rPr>
          <w:spacing w:val="-3"/>
        </w:rPr>
      </w:pPr>
    </w:p>
    <w:p w14:paraId="6841FDF6" w14:textId="77777777" w:rsidR="000177D5" w:rsidRPr="00993B55" w:rsidRDefault="000177D5" w:rsidP="007A60F3">
      <w:pPr>
        <w:widowControl w:val="0"/>
        <w:rPr>
          <w:color w:val="FF0000"/>
        </w:rPr>
      </w:pPr>
      <w:r w:rsidRPr="00993B55">
        <w:rPr>
          <w:color w:val="FF0000"/>
        </w:rPr>
        <w:lastRenderedPageBreak/>
        <w:t>In addition, list any equipment not identified above that deserves special attention in the EE; for example, list any conveyors or other emissions points that release emissions for which discussion is warranted.</w:t>
      </w:r>
    </w:p>
    <w:p w14:paraId="0BC70A09" w14:textId="77777777" w:rsidR="000177D5" w:rsidRPr="00542D59" w:rsidRDefault="000177D5" w:rsidP="001E7BD0">
      <w:pPr>
        <w:pStyle w:val="Heading1"/>
      </w:pPr>
      <w:r w:rsidRPr="00542D59">
        <w:t>VI.</w:t>
      </w:r>
      <w:r w:rsidRPr="00542D59">
        <w:tab/>
        <w:t>Emission Control Technology Evaluation</w:t>
      </w:r>
    </w:p>
    <w:p w14:paraId="2AE5DBE2" w14:textId="77777777" w:rsidR="000177D5" w:rsidRPr="00993B55" w:rsidRDefault="000177D5" w:rsidP="007A60F3">
      <w:pPr>
        <w:widowControl w:val="0"/>
        <w:rPr>
          <w:color w:val="FF0000"/>
        </w:rPr>
      </w:pPr>
      <w:r w:rsidRPr="00993B55">
        <w:rPr>
          <w:color w:val="FF0000"/>
        </w:rPr>
        <w:t>Describe the nature of the emissions and identify the proposed control equipment.  Explain how the control equipment works and/or what it does.  Include the design review of the control equipment if necessary, including calculations such as air to cloth ratios, cyclone design and flow rates, capture and control efficiencies, maximum ratings, etc.</w:t>
      </w:r>
    </w:p>
    <w:p w14:paraId="4F312B84" w14:textId="77777777" w:rsidR="000177D5" w:rsidRPr="00993B55" w:rsidRDefault="000177D5" w:rsidP="007A60F3">
      <w:pPr>
        <w:widowControl w:val="0"/>
        <w:rPr>
          <w:color w:val="000000"/>
        </w:rPr>
      </w:pPr>
    </w:p>
    <w:p w14:paraId="2C5F4C8F" w14:textId="77777777" w:rsidR="000177D5" w:rsidRPr="00993B55" w:rsidRDefault="000177D5" w:rsidP="007A60F3">
      <w:pPr>
        <w:widowControl w:val="0"/>
        <w:tabs>
          <w:tab w:val="left" w:pos="1530"/>
        </w:tabs>
        <w:rPr>
          <w:i/>
          <w:iCs/>
          <w:color w:val="0000FF"/>
        </w:rPr>
      </w:pPr>
      <w:r w:rsidRPr="00993B55">
        <w:rPr>
          <w:i/>
          <w:iCs/>
          <w:color w:val="0000FF"/>
          <w:u w:val="single"/>
        </w:rPr>
        <w:t>Example (a)</w:t>
      </w:r>
      <w:r w:rsidRPr="00993B55">
        <w:rPr>
          <w:i/>
          <w:iCs/>
          <w:color w:val="0000FF"/>
        </w:rPr>
        <w:t>:</w:t>
      </w:r>
      <w:r w:rsidRPr="00993B55">
        <w:rPr>
          <w:i/>
          <w:iCs/>
          <w:color w:val="0000FF"/>
        </w:rPr>
        <w:tab/>
        <w:t>(For a boiler.)</w:t>
      </w:r>
    </w:p>
    <w:p w14:paraId="5F08C91D" w14:textId="7BA5B4A4" w:rsidR="000177D5" w:rsidRPr="00A978CF" w:rsidRDefault="000177D5" w:rsidP="007A60F3">
      <w:pPr>
        <w:widowControl w:val="0"/>
      </w:pPr>
      <w:r w:rsidRPr="00A978CF">
        <w:t>Emissions from natural gas-fired boilers include NO</w:t>
      </w:r>
      <w:r w:rsidR="008F7AB2" w:rsidRPr="00A978CF">
        <w:t>x</w:t>
      </w:r>
      <w:r w:rsidRPr="00A978CF">
        <w:t>, CO, VOC, PM</w:t>
      </w:r>
      <w:r w:rsidR="008F7AB2" w:rsidRPr="00A978CF">
        <w:t>10</w:t>
      </w:r>
      <w:r w:rsidRPr="00A978CF">
        <w:t>, and SO</w:t>
      </w:r>
      <w:r w:rsidR="008F7AB2" w:rsidRPr="00A978CF">
        <w:t>x</w:t>
      </w:r>
      <w:r w:rsidRPr="00A978CF">
        <w:t>.</w:t>
      </w:r>
    </w:p>
    <w:p w14:paraId="6F183C18" w14:textId="77777777" w:rsidR="000177D5" w:rsidRPr="00A978CF" w:rsidRDefault="000177D5" w:rsidP="007A60F3">
      <w:pPr>
        <w:widowControl w:val="0"/>
      </w:pPr>
    </w:p>
    <w:p w14:paraId="0FC64767" w14:textId="65EB60E1" w:rsidR="000177D5" w:rsidRPr="00A978CF" w:rsidRDefault="000177D5" w:rsidP="007A60F3">
      <w:pPr>
        <w:widowControl w:val="0"/>
      </w:pPr>
      <w:r w:rsidRPr="00A978CF">
        <w:t>NO</w:t>
      </w:r>
      <w:r w:rsidR="00B650AE" w:rsidRPr="00A978CF">
        <w:t>x</w:t>
      </w:r>
      <w:r w:rsidRPr="00A978CF">
        <w:t xml:space="preserve"> is the major pollutant of concern when burning natural gas.  NO</w:t>
      </w:r>
      <w:r w:rsidR="00680EE7" w:rsidRPr="00A978CF">
        <w:t>x</w:t>
      </w:r>
      <w:r w:rsidRPr="00A978CF">
        <w:t xml:space="preserve"> formation is either due to thermal fixation of atmospheric nitrogen in the combustion air (thermal NO</w:t>
      </w:r>
      <w:r w:rsidR="00680EE7" w:rsidRPr="00A978CF">
        <w:t>x</w:t>
      </w:r>
      <w:r w:rsidRPr="00A978CF">
        <w:t>) or due to conversion of chemically bound nitrogen in the fuel (fuel NO</w:t>
      </w:r>
      <w:r w:rsidR="00680EE7" w:rsidRPr="00A978CF">
        <w:t>x</w:t>
      </w:r>
      <w:r w:rsidRPr="00A978CF">
        <w:t>).  Due to the low fuel nitrogen content of natural gas, nearly all NO</w:t>
      </w:r>
      <w:r w:rsidR="00680EE7" w:rsidRPr="00A978CF">
        <w:t>x</w:t>
      </w:r>
      <w:r w:rsidRPr="00A978CF">
        <w:t xml:space="preserve"> emissions are thermal NO</w:t>
      </w:r>
      <w:r w:rsidR="00680EE7" w:rsidRPr="00A978CF">
        <w:t>x</w:t>
      </w:r>
      <w:r w:rsidRPr="00A978CF">
        <w:t>.  Formation of thermal NO</w:t>
      </w:r>
      <w:r w:rsidR="00680EE7" w:rsidRPr="00A978CF">
        <w:t>x</w:t>
      </w:r>
      <w:r w:rsidRPr="00A978CF">
        <w:t xml:space="preserve"> is affected by four furnace zone factors: (1) nitrogen concentration, (2) oxygen concentration, (3) peak temperature, and (4) time of exposure at peak temperature.</w:t>
      </w:r>
    </w:p>
    <w:p w14:paraId="44ADF670" w14:textId="77777777" w:rsidR="000177D5" w:rsidRPr="001347EE" w:rsidRDefault="000177D5" w:rsidP="007A60F3">
      <w:pPr>
        <w:widowControl w:val="0"/>
        <w:rPr>
          <w:rFonts w:cs="Arial"/>
        </w:rPr>
      </w:pPr>
    </w:p>
    <w:p w14:paraId="60D3ED1E" w14:textId="13B3544A" w:rsidR="000177D5" w:rsidRPr="00A978CF" w:rsidRDefault="000177D5" w:rsidP="007A60F3">
      <w:pPr>
        <w:widowControl w:val="0"/>
        <w:rPr>
          <w:color w:val="000000"/>
        </w:rPr>
      </w:pPr>
      <w:r w:rsidRPr="00507E94">
        <w:rPr>
          <w:rFonts w:cs="Arial"/>
        </w:rPr>
        <w:t>Flue gas recirculation (FGR)</w:t>
      </w:r>
      <w:r w:rsidRPr="00CA36C1">
        <w:rPr>
          <w:rFonts w:cs="Arial"/>
        </w:rPr>
        <w:t xml:space="preserve"> reduces NO</w:t>
      </w:r>
      <w:r w:rsidR="00680EE7" w:rsidRPr="00CA36C1">
        <w:rPr>
          <w:rFonts w:cs="Arial"/>
        </w:rPr>
        <w:t>x</w:t>
      </w:r>
      <w:r w:rsidRPr="00E20861">
        <w:rPr>
          <w:rFonts w:cs="Arial"/>
        </w:rPr>
        <w:t xml:space="preserve"> emissions by recirculating a percentage of the exhaust gas back into the windbox.  This reduces the oxygen concentration in the air-fuel mixture and regulates the combustion process, lowering the combustion temperature.  The lowered availabil</w:t>
      </w:r>
      <w:r w:rsidRPr="00BF7A6E">
        <w:rPr>
          <w:rFonts w:cs="Arial"/>
        </w:rPr>
        <w:t>ity of oxygen in conjunction with lowered combustion temperature reduces the formation of NO</w:t>
      </w:r>
      <w:r w:rsidR="00680EE7" w:rsidRPr="00A978CF">
        <w:rPr>
          <w:rFonts w:cs="Arial"/>
        </w:rPr>
        <w:t>x</w:t>
      </w:r>
      <w:r w:rsidRPr="00A978CF">
        <w:rPr>
          <w:rFonts w:cs="Arial"/>
        </w:rPr>
        <w:t>.</w:t>
      </w:r>
    </w:p>
    <w:p w14:paraId="3D3C8E36" w14:textId="77777777" w:rsidR="000177D5" w:rsidRPr="00A978CF" w:rsidRDefault="000177D5" w:rsidP="007A60F3">
      <w:pPr>
        <w:widowControl w:val="0"/>
        <w:rPr>
          <w:color w:val="000000"/>
        </w:rPr>
      </w:pPr>
    </w:p>
    <w:p w14:paraId="57288030" w14:textId="77777777" w:rsidR="000177D5" w:rsidRPr="00A978CF" w:rsidRDefault="000177D5" w:rsidP="007A60F3">
      <w:pPr>
        <w:widowControl w:val="0"/>
        <w:tabs>
          <w:tab w:val="left" w:pos="1530"/>
        </w:tabs>
        <w:rPr>
          <w:i/>
          <w:iCs/>
          <w:color w:val="0000FF"/>
        </w:rPr>
      </w:pPr>
      <w:r w:rsidRPr="00A978CF">
        <w:rPr>
          <w:i/>
          <w:iCs/>
          <w:color w:val="0000FF"/>
          <w:u w:val="single"/>
        </w:rPr>
        <w:t>Example (b)</w:t>
      </w:r>
      <w:r w:rsidRPr="00A978CF">
        <w:rPr>
          <w:i/>
          <w:iCs/>
          <w:color w:val="0000FF"/>
        </w:rPr>
        <w:t>:</w:t>
      </w:r>
      <w:r w:rsidRPr="00A978CF">
        <w:rPr>
          <w:i/>
          <w:iCs/>
          <w:color w:val="0000FF"/>
        </w:rPr>
        <w:tab/>
        <w:t>(For a baghouse.)</w:t>
      </w:r>
    </w:p>
    <w:p w14:paraId="47CA91B8" w14:textId="13CA4929" w:rsidR="000177D5" w:rsidRPr="00A978CF" w:rsidRDefault="000177D5" w:rsidP="007A60F3">
      <w:pPr>
        <w:widowControl w:val="0"/>
      </w:pPr>
      <w:r w:rsidRPr="00A978CF">
        <w:t>Particulate matter less than 10 microns in aerodynamic diameter (PM</w:t>
      </w:r>
      <w:r w:rsidR="00F82FA1" w:rsidRPr="00A978CF">
        <w:t>10</w:t>
      </w:r>
      <w:r w:rsidRPr="00A978CF">
        <w:t xml:space="preserve">) is the only pollutant of concern emitted from the almond </w:t>
      </w:r>
      <w:r w:rsidRPr="00A978CF">
        <w:rPr>
          <w:bCs/>
        </w:rPr>
        <w:t xml:space="preserve">sorting and packaging </w:t>
      </w:r>
      <w:r w:rsidRPr="00A978CF">
        <w:t>operation.  A baghouse dust collector controls emission points for the entire facility.  The baghouse is expected to have a control efficiency of 99% if properly designed.</w:t>
      </w:r>
    </w:p>
    <w:p w14:paraId="41452958" w14:textId="77777777" w:rsidR="000177D5" w:rsidRPr="00993B55" w:rsidRDefault="000177D5" w:rsidP="007A60F3">
      <w:pPr>
        <w:widowControl w:val="0"/>
        <w:rPr>
          <w:rFonts w:cs="Arial"/>
          <w:spacing w:val="-3"/>
        </w:rPr>
      </w:pPr>
    </w:p>
    <w:p w14:paraId="154FE538" w14:textId="77777777" w:rsidR="000177D5" w:rsidRPr="00993B55" w:rsidRDefault="000177D5" w:rsidP="007A60F3">
      <w:pPr>
        <w:widowControl w:val="0"/>
        <w:rPr>
          <w:rFonts w:cs="Arial"/>
          <w:spacing w:val="-3"/>
        </w:rPr>
      </w:pPr>
      <w:r w:rsidRPr="00993B55">
        <w:rPr>
          <w:rFonts w:cs="Arial"/>
          <w:spacing w:val="-3"/>
          <w:u w:val="single"/>
        </w:rPr>
        <w:t>Design check calculations</w:t>
      </w:r>
      <w:r w:rsidRPr="00993B55">
        <w:rPr>
          <w:rFonts w:cs="Arial"/>
          <w:spacing w:val="-3"/>
        </w:rPr>
        <w:t>:</w:t>
      </w:r>
    </w:p>
    <w:p w14:paraId="35195D6D" w14:textId="77777777" w:rsidR="000177D5" w:rsidRPr="00993B55" w:rsidRDefault="000177D5" w:rsidP="007A60F3">
      <w:pPr>
        <w:widowControl w:val="0"/>
        <w:rPr>
          <w:rFonts w:cs="Arial"/>
          <w:spacing w:val="-3"/>
        </w:rPr>
      </w:pPr>
    </w:p>
    <w:p w14:paraId="2921EE66" w14:textId="77777777" w:rsidR="000177D5" w:rsidRPr="00993B55" w:rsidRDefault="000177D5" w:rsidP="007A60F3">
      <w:pPr>
        <w:widowControl w:val="0"/>
        <w:ind w:left="720"/>
        <w:rPr>
          <w:rFonts w:cs="Arial"/>
          <w:spacing w:val="-3"/>
        </w:rPr>
      </w:pPr>
      <w:r w:rsidRPr="00993B55">
        <w:rPr>
          <w:rFonts w:cs="Arial"/>
          <w:spacing w:val="-3"/>
          <w:u w:val="single"/>
        </w:rPr>
        <w:t xml:space="preserve">Air Flow Calculations for the </w:t>
      </w:r>
      <w:r w:rsidRPr="00993B55">
        <w:rPr>
          <w:spacing w:val="-3"/>
          <w:u w:val="single"/>
        </w:rPr>
        <w:t>baghouse dust collector</w:t>
      </w:r>
      <w:r w:rsidRPr="00993B55">
        <w:rPr>
          <w:rFonts w:cs="Arial"/>
          <w:spacing w:val="-3"/>
        </w:rPr>
        <w:t>:</w:t>
      </w:r>
    </w:p>
    <w:p w14:paraId="15C383B1" w14:textId="77777777" w:rsidR="000177D5" w:rsidRPr="00993B55" w:rsidRDefault="000177D5" w:rsidP="007A60F3">
      <w:pPr>
        <w:widowControl w:val="0"/>
        <w:ind w:left="720"/>
        <w:rPr>
          <w:rFonts w:cs="Arial"/>
          <w:spacing w:val="-3"/>
        </w:rPr>
      </w:pPr>
    </w:p>
    <w:p w14:paraId="089FDF77" w14:textId="222DF129" w:rsidR="000177D5" w:rsidRPr="00993B55" w:rsidRDefault="000177D5" w:rsidP="007A60F3">
      <w:pPr>
        <w:widowControl w:val="0"/>
        <w:tabs>
          <w:tab w:val="left" w:pos="-720"/>
        </w:tabs>
        <w:ind w:left="720"/>
        <w:rPr>
          <w:rFonts w:cs="Arial"/>
          <w:spacing w:val="-3"/>
        </w:rPr>
      </w:pPr>
      <w:r w:rsidRPr="00993B55">
        <w:rPr>
          <w:spacing w:val="-3"/>
        </w:rPr>
        <w:t xml:space="preserve">The total cloth area for the baghouse is </w:t>
      </w:r>
      <w:r w:rsidR="00D860D8">
        <w:rPr>
          <w:color w:val="0000FF"/>
          <w:spacing w:val="-3"/>
        </w:rPr>
        <w:t>X,XXX</w:t>
      </w:r>
      <w:r w:rsidRPr="00D860D8">
        <w:rPr>
          <w:color w:val="0000FF"/>
          <w:spacing w:val="-3"/>
        </w:rPr>
        <w:t xml:space="preserve"> </w:t>
      </w:r>
      <w:r w:rsidRPr="00993B55">
        <w:rPr>
          <w:spacing w:val="-3"/>
        </w:rPr>
        <w:t>ft</w:t>
      </w:r>
      <w:r w:rsidRPr="00993B55">
        <w:rPr>
          <w:spacing w:val="-3"/>
          <w:vertAlign w:val="superscript"/>
        </w:rPr>
        <w:t>2</w:t>
      </w:r>
      <w:r w:rsidRPr="00993B55">
        <w:rPr>
          <w:spacing w:val="-3"/>
        </w:rPr>
        <w:t xml:space="preserve">.  This baghouse also utilizes a </w:t>
      </w:r>
      <w:r w:rsidRPr="00993B55">
        <w:t>mechanical shaker</w:t>
      </w:r>
      <w:r w:rsidRPr="00993B55">
        <w:rPr>
          <w:spacing w:val="-3"/>
        </w:rPr>
        <w:t xml:space="preserve"> to clean the bags at regular intervals</w:t>
      </w:r>
      <w:r w:rsidRPr="00993B55">
        <w:rPr>
          <w:rFonts w:cs="Arial"/>
          <w:spacing w:val="-3"/>
        </w:rPr>
        <w:t>.</w:t>
      </w:r>
    </w:p>
    <w:p w14:paraId="784C9A9D" w14:textId="77777777" w:rsidR="000177D5" w:rsidRPr="00993B55" w:rsidRDefault="000177D5" w:rsidP="007A60F3">
      <w:pPr>
        <w:widowControl w:val="0"/>
        <w:ind w:left="720"/>
        <w:rPr>
          <w:rFonts w:cs="Arial"/>
          <w:spacing w:val="-3"/>
        </w:rPr>
      </w:pPr>
    </w:p>
    <w:p w14:paraId="2DD476B1" w14:textId="7E0AA464" w:rsidR="000177D5" w:rsidRPr="00993B55" w:rsidRDefault="000177D5" w:rsidP="007A60F3">
      <w:pPr>
        <w:widowControl w:val="0"/>
        <w:tabs>
          <w:tab w:val="left" w:pos="2610"/>
        </w:tabs>
        <w:ind w:left="720"/>
        <w:rPr>
          <w:rFonts w:cs="Arial"/>
          <w:spacing w:val="-3"/>
        </w:rPr>
      </w:pPr>
      <w:r w:rsidRPr="00993B55">
        <w:rPr>
          <w:rFonts w:cs="Arial"/>
          <w:spacing w:val="-3"/>
        </w:rPr>
        <w:t>Airflow:</w:t>
      </w:r>
      <w:r w:rsidRPr="00993B55">
        <w:rPr>
          <w:rFonts w:cs="Arial"/>
          <w:spacing w:val="-3"/>
        </w:rPr>
        <w:tab/>
      </w:r>
      <w:r w:rsidR="00D860D8">
        <w:rPr>
          <w:rFonts w:cs="Arial"/>
          <w:color w:val="0000FF"/>
          <w:spacing w:val="-3"/>
        </w:rPr>
        <w:t>XX,XXX</w:t>
      </w:r>
      <w:r w:rsidRPr="00993B55">
        <w:rPr>
          <w:rFonts w:cs="Arial"/>
          <w:spacing w:val="-3"/>
        </w:rPr>
        <w:t xml:space="preserve"> </w:t>
      </w:r>
      <w:r w:rsidRPr="00993B55">
        <w:t>ft</w:t>
      </w:r>
      <w:r w:rsidRPr="00993B55">
        <w:rPr>
          <w:vertAlign w:val="superscript"/>
        </w:rPr>
        <w:t>3</w:t>
      </w:r>
      <w:r w:rsidRPr="00993B55">
        <w:t>/min (per Applicant)</w:t>
      </w:r>
    </w:p>
    <w:p w14:paraId="4ADA2F4E" w14:textId="77777777" w:rsidR="000177D5" w:rsidRPr="00993B55" w:rsidRDefault="000177D5" w:rsidP="007A60F3">
      <w:pPr>
        <w:widowControl w:val="0"/>
        <w:tabs>
          <w:tab w:val="left" w:pos="2610"/>
        </w:tabs>
        <w:ind w:left="720"/>
        <w:rPr>
          <w:rFonts w:cs="Arial"/>
        </w:rPr>
      </w:pPr>
      <w:r w:rsidRPr="00993B55">
        <w:rPr>
          <w:rFonts w:cs="Arial"/>
        </w:rPr>
        <w:t>Air/Cloth Ratio:</w:t>
      </w:r>
      <w:r w:rsidRPr="00993B55">
        <w:rPr>
          <w:rFonts w:cs="Arial"/>
        </w:rPr>
        <w:tab/>
        <w:t xml:space="preserve">= Air Flow Rate </w:t>
      </w:r>
      <w:r w:rsidRPr="00993B55">
        <w:rPr>
          <w:rFonts w:cs="Arial"/>
        </w:rPr>
        <w:sym w:font="Symbol" w:char="F0B8"/>
      </w:r>
      <w:r w:rsidRPr="00993B55">
        <w:rPr>
          <w:rFonts w:cs="Arial"/>
        </w:rPr>
        <w:t xml:space="preserve"> Cloth Area </w:t>
      </w:r>
    </w:p>
    <w:p w14:paraId="2F55965C" w14:textId="143328BF" w:rsidR="000177D5" w:rsidRPr="00993B55" w:rsidRDefault="000177D5" w:rsidP="007A60F3">
      <w:pPr>
        <w:widowControl w:val="0"/>
        <w:tabs>
          <w:tab w:val="left" w:pos="2610"/>
        </w:tabs>
        <w:ind w:left="720"/>
        <w:rPr>
          <w:rFonts w:cs="Arial"/>
        </w:rPr>
      </w:pPr>
      <w:r w:rsidRPr="00993B55">
        <w:rPr>
          <w:rFonts w:cs="Arial"/>
        </w:rPr>
        <w:tab/>
        <w:t xml:space="preserve">= </w:t>
      </w:r>
      <w:r w:rsidR="00D860D8">
        <w:rPr>
          <w:rFonts w:cs="Arial"/>
          <w:color w:val="0000FF"/>
        </w:rPr>
        <w:t>XX,XXX</w:t>
      </w:r>
      <w:r w:rsidRPr="00D860D8">
        <w:rPr>
          <w:rFonts w:cs="Arial"/>
          <w:color w:val="0000FF"/>
        </w:rPr>
        <w:t xml:space="preserve"> </w:t>
      </w:r>
      <w:r w:rsidRPr="00993B55">
        <w:rPr>
          <w:rFonts w:cs="Arial"/>
        </w:rPr>
        <w:t xml:space="preserve">cfm </w:t>
      </w:r>
      <w:r w:rsidRPr="00993B55">
        <w:rPr>
          <w:rFonts w:cs="Arial"/>
        </w:rPr>
        <w:sym w:font="Symbol" w:char="F0B8"/>
      </w:r>
      <w:r w:rsidRPr="00993B55">
        <w:rPr>
          <w:rFonts w:cs="Arial"/>
        </w:rPr>
        <w:t xml:space="preserve"> </w:t>
      </w:r>
      <w:r w:rsidR="00D860D8">
        <w:rPr>
          <w:rFonts w:cs="Arial"/>
          <w:color w:val="0000FF"/>
        </w:rPr>
        <w:t>X,XXX</w:t>
      </w:r>
      <w:r w:rsidRPr="00D860D8">
        <w:rPr>
          <w:rFonts w:cs="Arial"/>
          <w:color w:val="0000FF"/>
        </w:rPr>
        <w:t xml:space="preserve"> </w:t>
      </w:r>
      <w:r w:rsidRPr="00993B55">
        <w:rPr>
          <w:rFonts w:cs="Arial"/>
        </w:rPr>
        <w:t>ft</w:t>
      </w:r>
      <w:r w:rsidRPr="00993B55">
        <w:rPr>
          <w:rFonts w:cs="Arial"/>
          <w:vertAlign w:val="superscript"/>
        </w:rPr>
        <w:t>2</w:t>
      </w:r>
      <w:r w:rsidRPr="00993B55">
        <w:rPr>
          <w:rFonts w:cs="Arial"/>
        </w:rPr>
        <w:t xml:space="preserve"> = </w:t>
      </w:r>
      <w:r w:rsidR="00D860D8">
        <w:rPr>
          <w:rFonts w:cs="Arial"/>
          <w:color w:val="0000FF"/>
        </w:rPr>
        <w:t>X.XX</w:t>
      </w:r>
      <w:r w:rsidRPr="00D860D8">
        <w:rPr>
          <w:rFonts w:cs="Arial"/>
          <w:color w:val="0000FF"/>
        </w:rPr>
        <w:t xml:space="preserve"> </w:t>
      </w:r>
      <w:r w:rsidRPr="00993B55">
        <w:rPr>
          <w:rFonts w:cs="Arial"/>
        </w:rPr>
        <w:t>ft/min</w:t>
      </w:r>
    </w:p>
    <w:p w14:paraId="017604CB" w14:textId="77777777" w:rsidR="000177D5" w:rsidRPr="00993B55" w:rsidRDefault="000177D5" w:rsidP="007A60F3">
      <w:pPr>
        <w:widowControl w:val="0"/>
        <w:ind w:left="720"/>
        <w:rPr>
          <w:rFonts w:cs="Arial"/>
        </w:rPr>
      </w:pPr>
    </w:p>
    <w:p w14:paraId="27A28A28" w14:textId="4A9AD476" w:rsidR="000177D5" w:rsidRPr="00993B55" w:rsidRDefault="000177D5" w:rsidP="007A60F3">
      <w:pPr>
        <w:widowControl w:val="0"/>
        <w:rPr>
          <w:color w:val="000000"/>
        </w:rPr>
      </w:pPr>
      <w:r w:rsidRPr="00993B55">
        <w:rPr>
          <w:rFonts w:cs="Arial"/>
        </w:rPr>
        <w:t>According to the Air Pollution Control Manual (1992), p. 128, Table 5, typical air/cloth ratio for shaker filters range from 2.0 – 3.5.  The calculated air/cloth ratio falls within the range of typical values; therefore</w:t>
      </w:r>
      <w:r w:rsidR="002916B5">
        <w:rPr>
          <w:rFonts w:cs="Arial"/>
        </w:rPr>
        <w:t>,</w:t>
      </w:r>
      <w:r w:rsidRPr="00993B55">
        <w:rPr>
          <w:rFonts w:cs="Arial"/>
        </w:rPr>
        <w:t xml:space="preserve"> proper control efficiencies are expected.</w:t>
      </w:r>
    </w:p>
    <w:p w14:paraId="219AF308" w14:textId="77777777" w:rsidR="000177D5" w:rsidRPr="00993B55" w:rsidRDefault="000177D5" w:rsidP="007A60F3">
      <w:pPr>
        <w:widowControl w:val="0"/>
        <w:rPr>
          <w:color w:val="000000"/>
        </w:rPr>
      </w:pPr>
    </w:p>
    <w:p w14:paraId="506A385C" w14:textId="77777777" w:rsidR="000177D5" w:rsidRPr="00993B55" w:rsidRDefault="000177D5" w:rsidP="007A60F3">
      <w:pPr>
        <w:widowControl w:val="0"/>
        <w:rPr>
          <w:i/>
          <w:iCs/>
          <w:color w:val="FF0000"/>
        </w:rPr>
      </w:pPr>
      <w:r w:rsidRPr="00993B55">
        <w:rPr>
          <w:i/>
          <w:iCs/>
          <w:color w:val="FF0000"/>
        </w:rPr>
        <w:t>(</w:t>
      </w:r>
      <w:r w:rsidRPr="00993B55">
        <w:rPr>
          <w:i/>
          <w:iCs/>
          <w:color w:val="FF0000"/>
          <w:u w:val="single"/>
        </w:rPr>
        <w:t>Note</w:t>
      </w:r>
      <w:r w:rsidRPr="00993B55">
        <w:rPr>
          <w:i/>
          <w:iCs/>
          <w:color w:val="FF0000"/>
        </w:rPr>
        <w:t>: For well-known control technologies, the emission control technology evaluation of how they work may be concise.  And for certain control technologies like baghouses and cyclones, a design check may be necessary.)</w:t>
      </w:r>
    </w:p>
    <w:p w14:paraId="7EA80427" w14:textId="77777777" w:rsidR="000177D5" w:rsidRPr="00542D59" w:rsidRDefault="000177D5" w:rsidP="00061135">
      <w:pPr>
        <w:pStyle w:val="Heading1"/>
      </w:pPr>
      <w:r w:rsidRPr="00542D59">
        <w:t>VII.</w:t>
      </w:r>
      <w:r w:rsidRPr="00542D59">
        <w:tab/>
        <w:t>General Calculations</w:t>
      </w:r>
    </w:p>
    <w:p w14:paraId="33C362C7" w14:textId="77777777" w:rsidR="000177D5" w:rsidRPr="00542D59" w:rsidRDefault="000177D5" w:rsidP="00061135">
      <w:pPr>
        <w:pStyle w:val="Heading2"/>
      </w:pPr>
      <w:r w:rsidRPr="00542D59">
        <w:t>A.</w:t>
      </w:r>
      <w:r w:rsidRPr="00542D59">
        <w:tab/>
      </w:r>
      <w:r w:rsidRPr="00061135">
        <w:t>Assumptions</w:t>
      </w:r>
    </w:p>
    <w:p w14:paraId="4EDF8EEA" w14:textId="77777777" w:rsidR="000177D5" w:rsidRPr="00993B55" w:rsidRDefault="000177D5" w:rsidP="007A60F3">
      <w:pPr>
        <w:widowControl w:val="0"/>
        <w:ind w:left="360"/>
        <w:rPr>
          <w:color w:val="FF0000"/>
        </w:rPr>
      </w:pPr>
      <w:r w:rsidRPr="00993B55">
        <w:rPr>
          <w:color w:val="FF0000"/>
        </w:rPr>
        <w:t>List all assumptions necessary to complete the calculations, citing the source of each assumption.  General assumptions include (but are not limited to) F factors, heating values, densities, efficiencies, and operating schedules.</w:t>
      </w:r>
    </w:p>
    <w:p w14:paraId="717A80EB" w14:textId="77777777" w:rsidR="000177D5" w:rsidRPr="00993B55" w:rsidRDefault="000177D5" w:rsidP="007A60F3">
      <w:pPr>
        <w:widowControl w:val="0"/>
        <w:ind w:left="360"/>
        <w:rPr>
          <w:color w:val="FF0000"/>
        </w:rPr>
      </w:pPr>
    </w:p>
    <w:p w14:paraId="03B0B661" w14:textId="77777777" w:rsidR="000177D5" w:rsidRPr="00993B55" w:rsidRDefault="000177D5" w:rsidP="007A60F3">
      <w:pPr>
        <w:widowControl w:val="0"/>
        <w:ind w:left="360"/>
        <w:rPr>
          <w:color w:val="FF0000"/>
        </w:rPr>
      </w:pPr>
      <w:r w:rsidRPr="00993B55">
        <w:rPr>
          <w:color w:val="FF0000"/>
        </w:rPr>
        <w:t>If the source has PM10 emissions include the following:</w:t>
      </w:r>
    </w:p>
    <w:p w14:paraId="2D515638" w14:textId="6037BFA0" w:rsidR="000177D5" w:rsidRDefault="000177D5" w:rsidP="007A60F3">
      <w:pPr>
        <w:widowControl w:val="0"/>
        <w:ind w:left="360"/>
      </w:pPr>
      <w:r w:rsidRPr="00993B55">
        <w:t xml:space="preserve">To streamline emission calculations, PM2.5 emissions are assumed to be equal to PM10 emissions.  Only if needed to determine if a project is a Federal </w:t>
      </w:r>
      <w:r w:rsidR="0024220A">
        <w:t>M</w:t>
      </w:r>
      <w:r w:rsidR="0024220A" w:rsidRPr="00993B55">
        <w:t xml:space="preserve">ajor </w:t>
      </w:r>
      <w:r w:rsidR="0024220A">
        <w:t>M</w:t>
      </w:r>
      <w:r w:rsidR="0024220A" w:rsidRPr="00993B55">
        <w:t xml:space="preserve">odification </w:t>
      </w:r>
      <w:r w:rsidRPr="00993B55">
        <w:t>for PM2.5 will specific PM2.5 emission calculations be performed.</w:t>
      </w:r>
    </w:p>
    <w:p w14:paraId="63B6101E" w14:textId="77777777" w:rsidR="000177D5" w:rsidRPr="00542D59" w:rsidRDefault="000177D5" w:rsidP="00061135">
      <w:pPr>
        <w:pStyle w:val="Heading2"/>
      </w:pPr>
      <w:r w:rsidRPr="00542D59">
        <w:t>B.</w:t>
      </w:r>
      <w:r w:rsidRPr="00542D59">
        <w:tab/>
        <w:t>Emission Factors</w:t>
      </w:r>
    </w:p>
    <w:p w14:paraId="27EC84F6" w14:textId="77777777" w:rsidR="000177D5" w:rsidRPr="00993B55" w:rsidRDefault="000177D5" w:rsidP="007A60F3">
      <w:pPr>
        <w:widowControl w:val="0"/>
        <w:ind w:left="360"/>
        <w:rPr>
          <w:color w:val="FF0000"/>
        </w:rPr>
      </w:pPr>
      <w:r w:rsidRPr="00993B55">
        <w:rPr>
          <w:color w:val="FF0000"/>
        </w:rPr>
        <w:t>Cite the source of the emission factors and include as an appendix (as necessary).</w:t>
      </w:r>
    </w:p>
    <w:p w14:paraId="37B5A609" w14:textId="77777777" w:rsidR="000177D5" w:rsidRPr="00993B55" w:rsidRDefault="000177D5" w:rsidP="007A60F3">
      <w:pPr>
        <w:widowControl w:val="0"/>
        <w:ind w:left="360"/>
        <w:rPr>
          <w:color w:val="FF0000"/>
        </w:rPr>
      </w:pPr>
      <w:r w:rsidRPr="00993B55">
        <w:rPr>
          <w:color w:val="FF0000"/>
        </w:rPr>
        <w:t>(i.e. AP-42 (10/96), Table 1.4-1, mfr specifications, or Rule requirement)</w:t>
      </w:r>
    </w:p>
    <w:p w14:paraId="4EAF8AD9" w14:textId="77777777" w:rsidR="000177D5" w:rsidRPr="00993B55" w:rsidRDefault="000177D5" w:rsidP="007A60F3">
      <w:pPr>
        <w:widowControl w:val="0"/>
        <w:ind w:left="360"/>
        <w:rPr>
          <w:bCs/>
          <w:color w:val="000000"/>
        </w:rPr>
      </w:pPr>
    </w:p>
    <w:p w14:paraId="3F6E9008" w14:textId="77777777" w:rsidR="000177D5" w:rsidRPr="00993B55" w:rsidRDefault="000177D5" w:rsidP="007A60F3">
      <w:pPr>
        <w:widowControl w:val="0"/>
        <w:tabs>
          <w:tab w:val="left" w:pos="1890"/>
        </w:tabs>
        <w:ind w:left="360"/>
        <w:rPr>
          <w:bCs/>
          <w:i/>
          <w:iCs/>
          <w:color w:val="0000FF"/>
          <w:u w:val="single"/>
        </w:rPr>
      </w:pPr>
      <w:r w:rsidRPr="00993B55">
        <w:rPr>
          <w:bCs/>
          <w:i/>
          <w:iCs/>
          <w:color w:val="0000FF"/>
          <w:u w:val="single"/>
        </w:rPr>
        <w:t>For example</w:t>
      </w:r>
      <w:r w:rsidRPr="00993B55">
        <w:rPr>
          <w:bCs/>
          <w:i/>
          <w:iCs/>
          <w:color w:val="0000FF"/>
        </w:rPr>
        <w:t>:</w:t>
      </w:r>
      <w:r w:rsidRPr="00993B55">
        <w:rPr>
          <w:bCs/>
          <w:i/>
          <w:iCs/>
          <w:color w:val="0000FF"/>
        </w:rPr>
        <w:tab/>
      </w:r>
      <w:r w:rsidRPr="00993B55">
        <w:rPr>
          <w:i/>
          <w:iCs/>
          <w:color w:val="0000FF"/>
        </w:rPr>
        <w:t>(For a diesel-fired IC engine.)</w:t>
      </w:r>
    </w:p>
    <w:p w14:paraId="0F985DA6" w14:textId="339E6867" w:rsidR="000177D5" w:rsidRPr="00993B55" w:rsidRDefault="000177D5" w:rsidP="007A60F3">
      <w:pPr>
        <w:widowControl w:val="0"/>
        <w:ind w:left="360"/>
      </w:pPr>
      <w:r w:rsidRPr="00993B55">
        <w:t>For the new diesel-fired IC engine, the emissions factors for NO</w:t>
      </w:r>
      <w:r w:rsidR="00F82FA1">
        <w:t>x</w:t>
      </w:r>
      <w:r w:rsidRPr="00993B55">
        <w:t>, CO, VOC, and PM</w:t>
      </w:r>
      <w:r w:rsidR="00F82FA1">
        <w:t>10</w:t>
      </w:r>
      <w:r w:rsidRPr="00993B55">
        <w:t xml:space="preserve"> are provided by the applicant and are guaranteed by the engine manufacturer.  The SO</w:t>
      </w:r>
      <w:r w:rsidR="00F82FA1">
        <w:t>x</w:t>
      </w:r>
      <w:r w:rsidRPr="00993B55">
        <w:t xml:space="preserve"> emission factor is calculated using the sulfur content in the diesel fuel (0.0015% sulfur).</w:t>
      </w:r>
    </w:p>
    <w:p w14:paraId="634D5B81" w14:textId="77777777" w:rsidR="000177D5" w:rsidRPr="00993B55" w:rsidRDefault="000177D5" w:rsidP="007A60F3">
      <w:pPr>
        <w:widowControl w:val="0"/>
        <w:ind w:left="360"/>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602"/>
        <w:gridCol w:w="3960"/>
      </w:tblGrid>
      <w:tr w:rsidR="000177D5" w:rsidRPr="00993B55" w14:paraId="399D05C4" w14:textId="77777777" w:rsidTr="00505E9F">
        <w:trPr>
          <w:trHeight w:val="402"/>
        </w:trPr>
        <w:tc>
          <w:tcPr>
            <w:tcW w:w="7650" w:type="dxa"/>
            <w:gridSpan w:val="3"/>
            <w:shd w:val="clear" w:color="auto" w:fill="D9D9D9" w:themeFill="background1" w:themeFillShade="D9"/>
            <w:vAlign w:val="center"/>
          </w:tcPr>
          <w:p w14:paraId="29BC5887" w14:textId="77777777" w:rsidR="000177D5" w:rsidRPr="00993B55" w:rsidRDefault="000177D5" w:rsidP="00116B7D">
            <w:pPr>
              <w:keepNext/>
              <w:widowControl w:val="0"/>
              <w:ind w:right="-126"/>
              <w:jc w:val="center"/>
              <w:rPr>
                <w:b/>
                <w:bCs/>
                <w:sz w:val="22"/>
                <w:szCs w:val="22"/>
              </w:rPr>
            </w:pPr>
            <w:r w:rsidRPr="00993B55">
              <w:rPr>
                <w:b/>
                <w:bCs/>
                <w:sz w:val="22"/>
                <w:szCs w:val="22"/>
              </w:rPr>
              <w:t>Diesel-fired IC Engine Emission Factors</w:t>
            </w:r>
          </w:p>
        </w:tc>
      </w:tr>
      <w:tr w:rsidR="000177D5" w:rsidRPr="00993B55" w14:paraId="214AD527" w14:textId="77777777" w:rsidTr="00505E9F">
        <w:trPr>
          <w:cantSplit/>
          <w:trHeight w:val="350"/>
        </w:trPr>
        <w:tc>
          <w:tcPr>
            <w:tcW w:w="2088" w:type="dxa"/>
            <w:shd w:val="clear" w:color="auto" w:fill="D9D9D9" w:themeFill="background1" w:themeFillShade="D9"/>
            <w:vAlign w:val="center"/>
          </w:tcPr>
          <w:p w14:paraId="57F2F80F" w14:textId="77777777" w:rsidR="000177D5" w:rsidRPr="00993B55" w:rsidRDefault="000177D5" w:rsidP="00116B7D">
            <w:pPr>
              <w:keepNext/>
              <w:widowControl w:val="0"/>
              <w:jc w:val="center"/>
              <w:rPr>
                <w:b/>
                <w:sz w:val="22"/>
                <w:szCs w:val="22"/>
              </w:rPr>
            </w:pPr>
            <w:r w:rsidRPr="00993B55">
              <w:rPr>
                <w:b/>
                <w:color w:val="000000"/>
                <w:sz w:val="22"/>
              </w:rPr>
              <w:t>Pollutant</w:t>
            </w:r>
          </w:p>
        </w:tc>
        <w:tc>
          <w:tcPr>
            <w:tcW w:w="1602" w:type="dxa"/>
            <w:shd w:val="clear" w:color="auto" w:fill="D9D9D9" w:themeFill="background1" w:themeFillShade="D9"/>
            <w:vAlign w:val="center"/>
          </w:tcPr>
          <w:p w14:paraId="1F2338B5" w14:textId="7C31DD7E" w:rsidR="000177D5" w:rsidRPr="00993B55" w:rsidRDefault="000177D5" w:rsidP="00116B7D">
            <w:pPr>
              <w:keepNext/>
              <w:widowControl w:val="0"/>
              <w:jc w:val="center"/>
              <w:rPr>
                <w:b/>
                <w:sz w:val="22"/>
                <w:szCs w:val="22"/>
              </w:rPr>
            </w:pPr>
            <w:r w:rsidRPr="00993B55">
              <w:rPr>
                <w:b/>
                <w:spacing w:val="-3"/>
                <w:sz w:val="22"/>
                <w:szCs w:val="22"/>
              </w:rPr>
              <w:t>g/</w:t>
            </w:r>
            <w:r w:rsidR="0016193E">
              <w:rPr>
                <w:b/>
                <w:spacing w:val="-3"/>
                <w:sz w:val="22"/>
                <w:szCs w:val="22"/>
              </w:rPr>
              <w:t>b</w:t>
            </w:r>
            <w:r w:rsidRPr="00993B55">
              <w:rPr>
                <w:b/>
                <w:spacing w:val="-3"/>
                <w:sz w:val="22"/>
                <w:szCs w:val="22"/>
              </w:rPr>
              <w:t>hp</w:t>
            </w:r>
            <w:r w:rsidRPr="00993B55">
              <w:rPr>
                <w:b/>
                <w:spacing w:val="-3"/>
                <w:sz w:val="22"/>
                <w:szCs w:val="22"/>
              </w:rPr>
              <w:sym w:font="SymbolProp BT" w:char="F0D7"/>
            </w:r>
            <w:r w:rsidRPr="00993B55">
              <w:rPr>
                <w:b/>
                <w:spacing w:val="-3"/>
                <w:sz w:val="22"/>
                <w:szCs w:val="22"/>
              </w:rPr>
              <w:t>hr</w:t>
            </w:r>
          </w:p>
        </w:tc>
        <w:tc>
          <w:tcPr>
            <w:tcW w:w="3960" w:type="dxa"/>
            <w:shd w:val="clear" w:color="auto" w:fill="D9D9D9" w:themeFill="background1" w:themeFillShade="D9"/>
            <w:vAlign w:val="center"/>
          </w:tcPr>
          <w:p w14:paraId="254348C1" w14:textId="77777777" w:rsidR="000177D5" w:rsidRPr="00993B55" w:rsidRDefault="000177D5" w:rsidP="00116B7D">
            <w:pPr>
              <w:keepNext/>
              <w:widowControl w:val="0"/>
              <w:jc w:val="center"/>
              <w:rPr>
                <w:b/>
                <w:sz w:val="22"/>
                <w:szCs w:val="22"/>
              </w:rPr>
            </w:pPr>
            <w:r w:rsidRPr="00993B55">
              <w:rPr>
                <w:b/>
                <w:sz w:val="22"/>
                <w:szCs w:val="22"/>
              </w:rPr>
              <w:t>Source</w:t>
            </w:r>
          </w:p>
        </w:tc>
      </w:tr>
      <w:tr w:rsidR="000177D5" w:rsidRPr="00993B55" w14:paraId="7AC747C3" w14:textId="77777777" w:rsidTr="00505E9F">
        <w:trPr>
          <w:cantSplit/>
          <w:trHeight w:val="70"/>
        </w:trPr>
        <w:tc>
          <w:tcPr>
            <w:tcW w:w="2088" w:type="dxa"/>
            <w:shd w:val="clear" w:color="auto" w:fill="auto"/>
            <w:vAlign w:val="center"/>
          </w:tcPr>
          <w:p w14:paraId="4EE0061E" w14:textId="427E98EF" w:rsidR="000177D5" w:rsidRPr="00993B55" w:rsidRDefault="000177D5" w:rsidP="00116B7D">
            <w:pPr>
              <w:keepNext/>
              <w:widowControl w:val="0"/>
              <w:jc w:val="center"/>
              <w:rPr>
                <w:sz w:val="22"/>
                <w:szCs w:val="22"/>
              </w:rPr>
            </w:pPr>
            <w:r w:rsidRPr="00993B55">
              <w:rPr>
                <w:sz w:val="22"/>
                <w:szCs w:val="22"/>
              </w:rPr>
              <w:t>NO</w:t>
            </w:r>
            <w:r w:rsidR="00F82FA1">
              <w:rPr>
                <w:sz w:val="22"/>
                <w:szCs w:val="22"/>
              </w:rPr>
              <w:t>x</w:t>
            </w:r>
          </w:p>
        </w:tc>
        <w:tc>
          <w:tcPr>
            <w:tcW w:w="1602" w:type="dxa"/>
            <w:shd w:val="clear" w:color="auto" w:fill="auto"/>
            <w:vAlign w:val="center"/>
          </w:tcPr>
          <w:p w14:paraId="03579BA5" w14:textId="2F7AF327" w:rsidR="000177D5" w:rsidRPr="00993B55" w:rsidRDefault="00936EDC" w:rsidP="00116B7D">
            <w:pPr>
              <w:keepNext/>
              <w:widowControl w:val="0"/>
              <w:jc w:val="center"/>
              <w:rPr>
                <w:sz w:val="22"/>
                <w:szCs w:val="22"/>
              </w:rPr>
            </w:pPr>
            <w:r w:rsidRPr="00936EDC">
              <w:rPr>
                <w:color w:val="0000FF"/>
                <w:sz w:val="22"/>
                <w:szCs w:val="22"/>
              </w:rPr>
              <w:t>X.XX</w:t>
            </w:r>
          </w:p>
        </w:tc>
        <w:tc>
          <w:tcPr>
            <w:tcW w:w="3960" w:type="dxa"/>
            <w:shd w:val="clear" w:color="auto" w:fill="auto"/>
            <w:vAlign w:val="center"/>
          </w:tcPr>
          <w:p w14:paraId="52FACE40" w14:textId="77777777" w:rsidR="000177D5" w:rsidRPr="00993B55" w:rsidRDefault="000177D5" w:rsidP="00116B7D">
            <w:pPr>
              <w:keepNext/>
              <w:widowControl w:val="0"/>
              <w:jc w:val="center"/>
              <w:rPr>
                <w:sz w:val="22"/>
                <w:szCs w:val="22"/>
              </w:rPr>
            </w:pPr>
            <w:r w:rsidRPr="00993B55">
              <w:rPr>
                <w:sz w:val="22"/>
                <w:szCs w:val="22"/>
              </w:rPr>
              <w:t>Engine Manufacturer</w:t>
            </w:r>
          </w:p>
        </w:tc>
      </w:tr>
      <w:tr w:rsidR="000177D5" w:rsidRPr="00993B55" w14:paraId="4AED95B0" w14:textId="77777777" w:rsidTr="00505E9F">
        <w:trPr>
          <w:cantSplit/>
        </w:trPr>
        <w:tc>
          <w:tcPr>
            <w:tcW w:w="2088" w:type="dxa"/>
            <w:shd w:val="clear" w:color="auto" w:fill="auto"/>
            <w:vAlign w:val="center"/>
          </w:tcPr>
          <w:p w14:paraId="4A18EDDD" w14:textId="67A753D7" w:rsidR="000177D5" w:rsidRPr="00993B55" w:rsidRDefault="000177D5" w:rsidP="00116B7D">
            <w:pPr>
              <w:keepNext/>
              <w:widowControl w:val="0"/>
              <w:jc w:val="center"/>
              <w:rPr>
                <w:sz w:val="22"/>
                <w:szCs w:val="22"/>
              </w:rPr>
            </w:pPr>
            <w:r w:rsidRPr="00993B55">
              <w:rPr>
                <w:sz w:val="22"/>
                <w:szCs w:val="22"/>
              </w:rPr>
              <w:t>*SO</w:t>
            </w:r>
            <w:r w:rsidR="00F82FA1">
              <w:rPr>
                <w:sz w:val="22"/>
                <w:szCs w:val="22"/>
              </w:rPr>
              <w:t>x</w:t>
            </w:r>
          </w:p>
        </w:tc>
        <w:tc>
          <w:tcPr>
            <w:tcW w:w="1602" w:type="dxa"/>
            <w:shd w:val="clear" w:color="auto" w:fill="auto"/>
            <w:vAlign w:val="center"/>
          </w:tcPr>
          <w:p w14:paraId="396A1206" w14:textId="77777777" w:rsidR="000177D5" w:rsidRPr="00993B55" w:rsidRDefault="000177D5" w:rsidP="00116B7D">
            <w:pPr>
              <w:keepNext/>
              <w:widowControl w:val="0"/>
              <w:jc w:val="center"/>
              <w:rPr>
                <w:sz w:val="22"/>
                <w:szCs w:val="22"/>
              </w:rPr>
            </w:pPr>
            <w:r w:rsidRPr="00993B55">
              <w:rPr>
                <w:sz w:val="22"/>
                <w:szCs w:val="22"/>
              </w:rPr>
              <w:t>0.0051</w:t>
            </w:r>
          </w:p>
        </w:tc>
        <w:tc>
          <w:tcPr>
            <w:tcW w:w="3960" w:type="dxa"/>
            <w:shd w:val="clear" w:color="auto" w:fill="auto"/>
            <w:vAlign w:val="center"/>
          </w:tcPr>
          <w:p w14:paraId="354248BF" w14:textId="77777777" w:rsidR="000177D5" w:rsidRPr="00993B55" w:rsidRDefault="000177D5" w:rsidP="00116B7D">
            <w:pPr>
              <w:keepNext/>
              <w:widowControl w:val="0"/>
              <w:jc w:val="center"/>
              <w:rPr>
                <w:sz w:val="22"/>
                <w:szCs w:val="22"/>
              </w:rPr>
            </w:pPr>
            <w:r w:rsidRPr="00993B55">
              <w:rPr>
                <w:sz w:val="22"/>
                <w:szCs w:val="22"/>
              </w:rPr>
              <w:t>Mass Balance Equation Below</w:t>
            </w:r>
          </w:p>
        </w:tc>
      </w:tr>
      <w:tr w:rsidR="000177D5" w:rsidRPr="00993B55" w14:paraId="1FB1B63A" w14:textId="77777777" w:rsidTr="00505E9F">
        <w:trPr>
          <w:cantSplit/>
        </w:trPr>
        <w:tc>
          <w:tcPr>
            <w:tcW w:w="2088" w:type="dxa"/>
            <w:shd w:val="clear" w:color="auto" w:fill="auto"/>
            <w:vAlign w:val="center"/>
          </w:tcPr>
          <w:p w14:paraId="179453A9" w14:textId="4CD764A6" w:rsidR="000177D5" w:rsidRPr="00993B55" w:rsidRDefault="000177D5" w:rsidP="00116B7D">
            <w:pPr>
              <w:keepNext/>
              <w:widowControl w:val="0"/>
              <w:jc w:val="center"/>
              <w:rPr>
                <w:sz w:val="22"/>
                <w:szCs w:val="22"/>
              </w:rPr>
            </w:pPr>
            <w:r w:rsidRPr="00993B55">
              <w:rPr>
                <w:sz w:val="22"/>
                <w:szCs w:val="22"/>
              </w:rPr>
              <w:t>PM</w:t>
            </w:r>
            <w:r w:rsidR="00F82FA1">
              <w:rPr>
                <w:sz w:val="22"/>
                <w:szCs w:val="22"/>
              </w:rPr>
              <w:t>10</w:t>
            </w:r>
          </w:p>
        </w:tc>
        <w:tc>
          <w:tcPr>
            <w:tcW w:w="1602" w:type="dxa"/>
            <w:shd w:val="clear" w:color="auto" w:fill="auto"/>
            <w:vAlign w:val="center"/>
          </w:tcPr>
          <w:p w14:paraId="305A4241" w14:textId="0694C5EE" w:rsidR="000177D5" w:rsidRPr="00993B55" w:rsidRDefault="00936EDC" w:rsidP="00116B7D">
            <w:pPr>
              <w:keepNext/>
              <w:widowControl w:val="0"/>
              <w:jc w:val="center"/>
              <w:rPr>
                <w:sz w:val="22"/>
                <w:szCs w:val="22"/>
              </w:rPr>
            </w:pPr>
            <w:r w:rsidRPr="003F3117">
              <w:rPr>
                <w:color w:val="0000FF"/>
                <w:sz w:val="22"/>
                <w:szCs w:val="22"/>
              </w:rPr>
              <w:t>X.XX</w:t>
            </w:r>
          </w:p>
        </w:tc>
        <w:tc>
          <w:tcPr>
            <w:tcW w:w="3960" w:type="dxa"/>
            <w:shd w:val="clear" w:color="auto" w:fill="auto"/>
            <w:vAlign w:val="center"/>
          </w:tcPr>
          <w:p w14:paraId="11AC7283" w14:textId="77777777" w:rsidR="000177D5" w:rsidRPr="00993B55" w:rsidRDefault="000177D5" w:rsidP="00116B7D">
            <w:pPr>
              <w:keepNext/>
              <w:widowControl w:val="0"/>
              <w:jc w:val="center"/>
              <w:rPr>
                <w:sz w:val="22"/>
                <w:szCs w:val="22"/>
              </w:rPr>
            </w:pPr>
            <w:r w:rsidRPr="00993B55">
              <w:rPr>
                <w:sz w:val="22"/>
                <w:szCs w:val="22"/>
              </w:rPr>
              <w:t>Engine Manufacturer</w:t>
            </w:r>
          </w:p>
        </w:tc>
      </w:tr>
      <w:tr w:rsidR="000177D5" w:rsidRPr="00993B55" w14:paraId="78D0BCE7" w14:textId="77777777" w:rsidTr="00505E9F">
        <w:trPr>
          <w:cantSplit/>
        </w:trPr>
        <w:tc>
          <w:tcPr>
            <w:tcW w:w="2088" w:type="dxa"/>
            <w:shd w:val="clear" w:color="auto" w:fill="auto"/>
            <w:vAlign w:val="center"/>
          </w:tcPr>
          <w:p w14:paraId="7FA8901B" w14:textId="77777777" w:rsidR="000177D5" w:rsidRPr="00993B55" w:rsidRDefault="000177D5" w:rsidP="00116B7D">
            <w:pPr>
              <w:keepNext/>
              <w:widowControl w:val="0"/>
              <w:jc w:val="center"/>
              <w:rPr>
                <w:sz w:val="22"/>
                <w:szCs w:val="22"/>
              </w:rPr>
            </w:pPr>
            <w:r w:rsidRPr="00993B55">
              <w:rPr>
                <w:sz w:val="22"/>
                <w:szCs w:val="22"/>
              </w:rPr>
              <w:t>CO</w:t>
            </w:r>
          </w:p>
        </w:tc>
        <w:tc>
          <w:tcPr>
            <w:tcW w:w="1602" w:type="dxa"/>
            <w:shd w:val="clear" w:color="auto" w:fill="auto"/>
            <w:vAlign w:val="center"/>
          </w:tcPr>
          <w:p w14:paraId="00AD4F21" w14:textId="19111605" w:rsidR="000177D5" w:rsidRPr="00993B55" w:rsidRDefault="00936EDC" w:rsidP="00116B7D">
            <w:pPr>
              <w:keepNext/>
              <w:widowControl w:val="0"/>
              <w:jc w:val="center"/>
              <w:rPr>
                <w:sz w:val="22"/>
                <w:szCs w:val="22"/>
              </w:rPr>
            </w:pPr>
            <w:r w:rsidRPr="00936EDC">
              <w:rPr>
                <w:color w:val="0000FF"/>
                <w:sz w:val="22"/>
                <w:szCs w:val="22"/>
              </w:rPr>
              <w:t>X.XX</w:t>
            </w:r>
          </w:p>
        </w:tc>
        <w:tc>
          <w:tcPr>
            <w:tcW w:w="3960" w:type="dxa"/>
            <w:shd w:val="clear" w:color="auto" w:fill="auto"/>
            <w:vAlign w:val="center"/>
          </w:tcPr>
          <w:p w14:paraId="13C14715" w14:textId="77777777" w:rsidR="000177D5" w:rsidRPr="00993B55" w:rsidRDefault="000177D5" w:rsidP="00116B7D">
            <w:pPr>
              <w:keepNext/>
              <w:widowControl w:val="0"/>
              <w:jc w:val="center"/>
              <w:rPr>
                <w:sz w:val="22"/>
                <w:szCs w:val="22"/>
              </w:rPr>
            </w:pPr>
            <w:r w:rsidRPr="00993B55">
              <w:rPr>
                <w:sz w:val="22"/>
                <w:szCs w:val="22"/>
              </w:rPr>
              <w:t>Engine Manufacturer</w:t>
            </w:r>
          </w:p>
        </w:tc>
      </w:tr>
      <w:tr w:rsidR="000177D5" w:rsidRPr="00993B55" w14:paraId="3F3632B6" w14:textId="77777777" w:rsidTr="00505E9F">
        <w:trPr>
          <w:cantSplit/>
        </w:trPr>
        <w:tc>
          <w:tcPr>
            <w:tcW w:w="2088" w:type="dxa"/>
            <w:shd w:val="clear" w:color="auto" w:fill="auto"/>
            <w:vAlign w:val="center"/>
          </w:tcPr>
          <w:p w14:paraId="7AEBF22C" w14:textId="77777777" w:rsidR="000177D5" w:rsidRPr="00993B55" w:rsidRDefault="000177D5" w:rsidP="00116B7D">
            <w:pPr>
              <w:keepNext/>
              <w:widowControl w:val="0"/>
              <w:jc w:val="center"/>
              <w:rPr>
                <w:sz w:val="22"/>
                <w:szCs w:val="22"/>
              </w:rPr>
            </w:pPr>
            <w:r w:rsidRPr="00993B55">
              <w:rPr>
                <w:sz w:val="22"/>
                <w:szCs w:val="22"/>
              </w:rPr>
              <w:t>VOC</w:t>
            </w:r>
          </w:p>
        </w:tc>
        <w:tc>
          <w:tcPr>
            <w:tcW w:w="1602" w:type="dxa"/>
            <w:shd w:val="clear" w:color="auto" w:fill="auto"/>
            <w:vAlign w:val="center"/>
          </w:tcPr>
          <w:p w14:paraId="48B67B25" w14:textId="2655BDA8" w:rsidR="000177D5" w:rsidRPr="00993B55" w:rsidRDefault="00936EDC" w:rsidP="00116B7D">
            <w:pPr>
              <w:keepNext/>
              <w:widowControl w:val="0"/>
              <w:jc w:val="center"/>
              <w:rPr>
                <w:sz w:val="22"/>
                <w:szCs w:val="22"/>
              </w:rPr>
            </w:pPr>
            <w:r w:rsidRPr="00936EDC">
              <w:rPr>
                <w:color w:val="0000FF"/>
                <w:sz w:val="22"/>
                <w:szCs w:val="22"/>
              </w:rPr>
              <w:t>X.XX</w:t>
            </w:r>
          </w:p>
        </w:tc>
        <w:tc>
          <w:tcPr>
            <w:tcW w:w="3960" w:type="dxa"/>
            <w:shd w:val="clear" w:color="auto" w:fill="auto"/>
            <w:vAlign w:val="center"/>
          </w:tcPr>
          <w:p w14:paraId="1B9F0958" w14:textId="77777777" w:rsidR="000177D5" w:rsidRPr="00993B55" w:rsidRDefault="000177D5" w:rsidP="00116B7D">
            <w:pPr>
              <w:keepNext/>
              <w:widowControl w:val="0"/>
              <w:jc w:val="center"/>
              <w:rPr>
                <w:sz w:val="22"/>
                <w:szCs w:val="22"/>
              </w:rPr>
            </w:pPr>
            <w:r w:rsidRPr="00993B55">
              <w:rPr>
                <w:sz w:val="22"/>
                <w:szCs w:val="22"/>
              </w:rPr>
              <w:t>Engine Manufacturer</w:t>
            </w:r>
          </w:p>
        </w:tc>
      </w:tr>
    </w:tbl>
    <w:p w14:paraId="1D443D5F" w14:textId="77777777" w:rsidR="000177D5" w:rsidRPr="00993B55" w:rsidRDefault="000177D5" w:rsidP="007A60F3">
      <w:pPr>
        <w:widowControl w:val="0"/>
        <w:ind w:left="360"/>
        <w:rPr>
          <w:i/>
          <w:spacing w:val="-3"/>
          <w:sz w:val="20"/>
        </w:rPr>
      </w:pPr>
    </w:p>
    <w:p w14:paraId="53A2019B" w14:textId="2D504178" w:rsidR="000177D5" w:rsidRPr="00993B55" w:rsidRDefault="00410F16" w:rsidP="007A60F3">
      <w:pPr>
        <w:widowControl w:val="0"/>
        <w:ind w:left="360"/>
        <w:rPr>
          <w:iCs/>
        </w:rPr>
      </w:pPr>
      <w:r>
        <w:rPr>
          <w:snapToGrid w:val="0"/>
          <w:sz w:val="20"/>
        </w:rPr>
        <w:t>*</w:t>
      </w:r>
      <w:r w:rsidR="00F82FA1" w:rsidRPr="00993B55">
        <w:rPr>
          <w:snapToGrid w:val="0"/>
          <w:position w:val="-30"/>
          <w:sz w:val="20"/>
        </w:rPr>
        <w:object w:dxaOrig="7620" w:dyaOrig="680" w14:anchorId="5575A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75pt;height:39pt" o:ole="" fillcolor="window">
            <v:imagedata r:id="rId13" o:title=""/>
          </v:shape>
          <o:OLEObject Type="Embed" ProgID="Equation.3" ShapeID="_x0000_i1025" DrawAspect="Content" ObjectID="_1843372870" r:id="rId14"/>
        </w:object>
      </w:r>
    </w:p>
    <w:p w14:paraId="09247353" w14:textId="77777777" w:rsidR="000177D5" w:rsidRPr="00993B55" w:rsidRDefault="000177D5" w:rsidP="007A60F3">
      <w:pPr>
        <w:widowControl w:val="0"/>
        <w:ind w:left="360"/>
      </w:pPr>
    </w:p>
    <w:p w14:paraId="5668ECBA" w14:textId="77777777" w:rsidR="000177D5" w:rsidRPr="00993B55" w:rsidRDefault="000177D5" w:rsidP="007A60F3">
      <w:pPr>
        <w:widowControl w:val="0"/>
        <w:ind w:left="360"/>
        <w:rPr>
          <w:bCs/>
          <w:i/>
          <w:iCs/>
          <w:color w:val="FF0000"/>
        </w:rPr>
      </w:pPr>
      <w:bookmarkStart w:id="0" w:name="_Hlk220923729"/>
      <w:r w:rsidRPr="00993B55">
        <w:rPr>
          <w:bCs/>
          <w:i/>
          <w:iCs/>
          <w:color w:val="FF0000"/>
        </w:rPr>
        <w:t>(</w:t>
      </w:r>
      <w:r w:rsidRPr="00993B55">
        <w:rPr>
          <w:bCs/>
          <w:i/>
          <w:iCs/>
          <w:color w:val="FF0000"/>
          <w:u w:val="single"/>
        </w:rPr>
        <w:t>Note</w:t>
      </w:r>
      <w:r w:rsidRPr="00993B55">
        <w:rPr>
          <w:bCs/>
          <w:i/>
          <w:iCs/>
          <w:color w:val="FF0000"/>
        </w:rPr>
        <w:t>: Depending on the type of project, it may be necessary to include pre-project and post project emission factors.)</w:t>
      </w:r>
    </w:p>
    <w:p w14:paraId="66403738" w14:textId="77777777" w:rsidR="000177D5" w:rsidRPr="00542D59" w:rsidRDefault="000177D5" w:rsidP="00061135">
      <w:pPr>
        <w:pStyle w:val="Heading2"/>
      </w:pPr>
      <w:r w:rsidRPr="00542D59">
        <w:t>C.</w:t>
      </w:r>
      <w:r w:rsidRPr="00542D59">
        <w:tab/>
        <w:t>Calculations</w:t>
      </w:r>
    </w:p>
    <w:p w14:paraId="589A3178" w14:textId="178FB992" w:rsidR="000177D5" w:rsidRPr="00993B55" w:rsidRDefault="000177D5" w:rsidP="007A60F3">
      <w:pPr>
        <w:widowControl w:val="0"/>
        <w:ind w:left="360"/>
        <w:rPr>
          <w:color w:val="FF0000"/>
        </w:rPr>
      </w:pPr>
      <w:r w:rsidRPr="00993B55">
        <w:rPr>
          <w:color w:val="FF0000"/>
        </w:rPr>
        <w:t xml:space="preserve">Perform and clearly label all emission calculations for each pollutant for every emissions unit and every permit unit.  Also consider any other District Policy which may apply to the </w:t>
      </w:r>
      <w:r w:rsidRPr="00993B55">
        <w:rPr>
          <w:color w:val="FF0000"/>
        </w:rPr>
        <w:lastRenderedPageBreak/>
        <w:t>calculations performed</w:t>
      </w:r>
      <w:r w:rsidR="003B4C77">
        <w:rPr>
          <w:color w:val="FF0000"/>
        </w:rPr>
        <w:t>.</w:t>
      </w:r>
    </w:p>
    <w:p w14:paraId="029EC64C" w14:textId="77777777" w:rsidR="000177D5" w:rsidRPr="00542D59" w:rsidRDefault="000177D5" w:rsidP="007C1ED2">
      <w:pPr>
        <w:pStyle w:val="Heading3"/>
        <w:widowControl w:val="0"/>
        <w:numPr>
          <w:ilvl w:val="0"/>
          <w:numId w:val="3"/>
        </w:numPr>
        <w:tabs>
          <w:tab w:val="clear" w:pos="1224"/>
        </w:tabs>
        <w:spacing w:before="240" w:after="240"/>
        <w:ind w:left="1080"/>
        <w:jc w:val="left"/>
        <w:rPr>
          <w:b/>
          <w:bCs/>
          <w:color w:val="000000"/>
          <w:sz w:val="24"/>
          <w:szCs w:val="24"/>
        </w:rPr>
      </w:pPr>
      <w:r w:rsidRPr="00542D59">
        <w:rPr>
          <w:b/>
          <w:bCs/>
          <w:color w:val="000000"/>
          <w:sz w:val="24"/>
          <w:szCs w:val="24"/>
        </w:rPr>
        <w:t>Pre-Project Potential to Emit (PE1)</w:t>
      </w:r>
    </w:p>
    <w:p w14:paraId="07204E06" w14:textId="77777777" w:rsidR="000177D5" w:rsidRPr="00993B55" w:rsidRDefault="000177D5" w:rsidP="007A60F3">
      <w:pPr>
        <w:widowControl w:val="0"/>
        <w:ind w:left="720"/>
        <w:rPr>
          <w:color w:val="FF0000"/>
        </w:rPr>
      </w:pPr>
      <w:bookmarkStart w:id="1" w:name="_Hlk220923683"/>
      <w:r w:rsidRPr="00993B55">
        <w:rPr>
          <w:color w:val="FF0000"/>
        </w:rPr>
        <w:t>Calculate the daily and annual emissions for each emissions unit and/or each permit unit in the project.  Use tables wherever practical.  If this is a new emissions unit, state that there is no PE1.</w:t>
      </w:r>
    </w:p>
    <w:p w14:paraId="7D5DF19A" w14:textId="77777777" w:rsidR="000177D5" w:rsidRPr="00993B55" w:rsidRDefault="000177D5" w:rsidP="007A60F3">
      <w:pPr>
        <w:widowControl w:val="0"/>
        <w:tabs>
          <w:tab w:val="left" w:pos="2430"/>
        </w:tabs>
        <w:ind w:left="720"/>
      </w:pPr>
    </w:p>
    <w:p w14:paraId="180A8E58" w14:textId="77777777" w:rsidR="000177D5" w:rsidRPr="00993B55" w:rsidRDefault="000177D5" w:rsidP="007A60F3">
      <w:pPr>
        <w:widowControl w:val="0"/>
        <w:ind w:left="720"/>
        <w:rPr>
          <w:bCs/>
          <w:i/>
          <w:iCs/>
          <w:color w:val="FF0000"/>
        </w:rPr>
      </w:pPr>
      <w:r w:rsidRPr="00993B55">
        <w:rPr>
          <w:bCs/>
          <w:i/>
          <w:iCs/>
          <w:color w:val="FF0000"/>
        </w:rPr>
        <w:t>(</w:t>
      </w:r>
      <w:r w:rsidRPr="00993B55">
        <w:rPr>
          <w:bCs/>
          <w:i/>
          <w:iCs/>
          <w:color w:val="FF0000"/>
          <w:u w:val="single"/>
        </w:rPr>
        <w:t>Note</w:t>
      </w:r>
      <w:r w:rsidRPr="00993B55">
        <w:rPr>
          <w:bCs/>
          <w:i/>
          <w:iCs/>
          <w:color w:val="FF0000"/>
        </w:rPr>
        <w:t>: BACT is triggered on an emissions unit-by-emissions unit basis; therefore, it is important to calculate emissions for each individual emissions unit.)</w:t>
      </w:r>
    </w:p>
    <w:p w14:paraId="680380EF" w14:textId="77777777" w:rsidR="000177D5" w:rsidRPr="00993B55" w:rsidRDefault="000177D5" w:rsidP="007A60F3">
      <w:pPr>
        <w:widowControl w:val="0"/>
        <w:tabs>
          <w:tab w:val="left" w:pos="2430"/>
        </w:tabs>
        <w:ind w:left="720"/>
      </w:pPr>
    </w:p>
    <w:p w14:paraId="69764F27" w14:textId="77777777" w:rsidR="000177D5" w:rsidRPr="00993B55" w:rsidRDefault="000177D5" w:rsidP="007A60F3">
      <w:pPr>
        <w:widowControl w:val="0"/>
        <w:tabs>
          <w:tab w:val="left" w:pos="2250"/>
        </w:tabs>
        <w:ind w:left="720"/>
        <w:rPr>
          <w:i/>
          <w:iCs/>
          <w:color w:val="0000FF"/>
        </w:rPr>
      </w:pPr>
      <w:r w:rsidRPr="00993B55">
        <w:rPr>
          <w:i/>
          <w:iCs/>
          <w:color w:val="0000FF"/>
          <w:u w:val="single"/>
        </w:rPr>
        <w:t>Example (a)</w:t>
      </w:r>
      <w:r w:rsidRPr="00993B55">
        <w:rPr>
          <w:i/>
          <w:iCs/>
          <w:color w:val="0000FF"/>
        </w:rPr>
        <w:t>:</w:t>
      </w:r>
      <w:r w:rsidRPr="00993B55">
        <w:rPr>
          <w:i/>
          <w:iCs/>
          <w:color w:val="0000FF"/>
        </w:rPr>
        <w:tab/>
        <w:t>(For a new permit unit, which is a single emissions unit.)</w:t>
      </w:r>
    </w:p>
    <w:p w14:paraId="7AC76E72" w14:textId="77777777" w:rsidR="000177D5" w:rsidRPr="00993B55" w:rsidRDefault="000177D5" w:rsidP="007A60F3">
      <w:pPr>
        <w:widowControl w:val="0"/>
        <w:ind w:left="720"/>
        <w:rPr>
          <w:color w:val="000000"/>
        </w:rPr>
      </w:pPr>
      <w:r w:rsidRPr="00993B55">
        <w:rPr>
          <w:color w:val="000000"/>
        </w:rPr>
        <w:t>Since this is a new emissions unit, PE1 = 0 for all pollutants.</w:t>
      </w:r>
    </w:p>
    <w:p w14:paraId="4FE4FF1A" w14:textId="77777777" w:rsidR="000177D5" w:rsidRPr="00993B55" w:rsidRDefault="000177D5" w:rsidP="007A60F3">
      <w:pPr>
        <w:widowControl w:val="0"/>
        <w:ind w:left="720"/>
        <w:rPr>
          <w:color w:val="000000"/>
        </w:rPr>
      </w:pPr>
    </w:p>
    <w:p w14:paraId="1F1B73AC" w14:textId="77777777" w:rsidR="000177D5" w:rsidRPr="00993B55" w:rsidRDefault="000177D5" w:rsidP="007A60F3">
      <w:pPr>
        <w:widowControl w:val="0"/>
        <w:tabs>
          <w:tab w:val="left" w:pos="2250"/>
        </w:tabs>
        <w:ind w:left="720"/>
        <w:rPr>
          <w:i/>
          <w:iCs/>
          <w:color w:val="0000FF"/>
        </w:rPr>
      </w:pPr>
      <w:r w:rsidRPr="00993B55">
        <w:rPr>
          <w:i/>
          <w:iCs/>
          <w:color w:val="0000FF"/>
          <w:u w:val="single"/>
        </w:rPr>
        <w:t>Example (b)</w:t>
      </w:r>
      <w:r w:rsidRPr="00993B55">
        <w:rPr>
          <w:i/>
          <w:iCs/>
          <w:color w:val="0000FF"/>
        </w:rPr>
        <w:t>:</w:t>
      </w:r>
      <w:r w:rsidRPr="00993B55">
        <w:rPr>
          <w:i/>
          <w:iCs/>
          <w:color w:val="0000FF"/>
        </w:rPr>
        <w:tab/>
        <w:t>(For a modified permit unit, which is a single emissions unit.)</w:t>
      </w:r>
    </w:p>
    <w:p w14:paraId="7B313E2F" w14:textId="77777777" w:rsidR="000177D5" w:rsidRPr="00993B55" w:rsidRDefault="000177D5" w:rsidP="007A60F3">
      <w:pPr>
        <w:widowControl w:val="0"/>
        <w:ind w:left="720"/>
      </w:pPr>
      <w:r w:rsidRPr="00993B55">
        <w:t>The potential to emit for the operation is calculated as follows, and summarized in the table below:</w:t>
      </w:r>
    </w:p>
    <w:p w14:paraId="2B2B93D3" w14:textId="77777777" w:rsidR="000177D5" w:rsidRPr="00993B55" w:rsidRDefault="000177D5" w:rsidP="007A60F3">
      <w:pPr>
        <w:widowControl w:val="0"/>
        <w:ind w:left="720"/>
      </w:pPr>
    </w:p>
    <w:p w14:paraId="41D2DE25" w14:textId="57A9936B" w:rsidR="000177D5" w:rsidRPr="00993B55" w:rsidRDefault="000177D5" w:rsidP="007A60F3">
      <w:pPr>
        <w:widowControl w:val="0"/>
        <w:tabs>
          <w:tab w:val="left" w:pos="1440"/>
        </w:tabs>
        <w:ind w:left="720"/>
      </w:pPr>
      <w:r w:rsidRPr="00993B55">
        <w:t>PE1</w:t>
      </w:r>
      <w:r w:rsidRPr="00993B55">
        <w:tab/>
        <w:t>= (</w:t>
      </w:r>
      <w:r w:rsidR="008F2178" w:rsidRPr="0009357B">
        <w:rPr>
          <w:color w:val="0000FF"/>
        </w:rPr>
        <w:t>XX</w:t>
      </w:r>
      <w:r w:rsidR="008F2178">
        <w:t xml:space="preserve"> </w:t>
      </w:r>
      <w:r w:rsidRPr="00993B55">
        <w:t xml:space="preserve">tons of material/hr) </w:t>
      </w:r>
      <w:r w:rsidRPr="00993B55">
        <w:sym w:font="Symbol" w:char="F02A"/>
      </w:r>
      <w:r w:rsidRPr="00993B55">
        <w:t xml:space="preserve"> (</w:t>
      </w:r>
      <w:r w:rsidR="008F2178" w:rsidRPr="0009357B">
        <w:rPr>
          <w:color w:val="0000FF"/>
        </w:rPr>
        <w:t>X.XX</w:t>
      </w:r>
      <w:r w:rsidRPr="0009357B">
        <w:rPr>
          <w:color w:val="0000FF"/>
        </w:rPr>
        <w:t xml:space="preserve"> </w:t>
      </w:r>
      <w:r w:rsidRPr="00993B55">
        <w:t>lb PM</w:t>
      </w:r>
      <w:r w:rsidR="00AF2232">
        <w:t>10</w:t>
      </w:r>
      <w:r w:rsidRPr="00993B55">
        <w:t xml:space="preserve">/ton of material) </w:t>
      </w:r>
      <w:r w:rsidRPr="00993B55">
        <w:sym w:font="Symbol" w:char="F02A"/>
      </w:r>
      <w:r w:rsidRPr="00993B55">
        <w:t xml:space="preserve"> (24 hr/day)</w:t>
      </w:r>
    </w:p>
    <w:p w14:paraId="51A0F8C6" w14:textId="3C541207" w:rsidR="000177D5" w:rsidRPr="00993B55" w:rsidRDefault="000177D5" w:rsidP="007A60F3">
      <w:pPr>
        <w:widowControl w:val="0"/>
        <w:tabs>
          <w:tab w:val="left" w:pos="1440"/>
        </w:tabs>
        <w:ind w:left="720"/>
      </w:pPr>
      <w:r w:rsidRPr="00993B55">
        <w:tab/>
        <w:t xml:space="preserve">= </w:t>
      </w:r>
      <w:r w:rsidR="008F2178" w:rsidRPr="0009357B">
        <w:rPr>
          <w:color w:val="0000FF"/>
        </w:rPr>
        <w:t>X.X</w:t>
      </w:r>
      <w:r w:rsidRPr="00993B55">
        <w:t xml:space="preserve"> lb PM</w:t>
      </w:r>
      <w:r w:rsidR="00AF2232">
        <w:t>10</w:t>
      </w:r>
      <w:r w:rsidRPr="00993B55">
        <w:t>/day</w:t>
      </w:r>
    </w:p>
    <w:p w14:paraId="27749AC6" w14:textId="77777777" w:rsidR="000177D5" w:rsidRPr="00993B55" w:rsidRDefault="000177D5" w:rsidP="007A60F3">
      <w:pPr>
        <w:widowControl w:val="0"/>
        <w:ind w:left="720"/>
      </w:pPr>
    </w:p>
    <w:p w14:paraId="3F626569" w14:textId="6FB2AA3D" w:rsidR="000177D5" w:rsidRPr="00993B55" w:rsidRDefault="000177D5" w:rsidP="007A60F3">
      <w:pPr>
        <w:widowControl w:val="0"/>
        <w:tabs>
          <w:tab w:val="left" w:pos="1440"/>
        </w:tabs>
        <w:ind w:left="720"/>
      </w:pPr>
      <w:r w:rsidRPr="00993B55">
        <w:t>PE1</w:t>
      </w:r>
      <w:r w:rsidRPr="00993B55">
        <w:tab/>
        <w:t>= (</w:t>
      </w:r>
      <w:r w:rsidR="008F2178" w:rsidRPr="0009357B">
        <w:rPr>
          <w:color w:val="0000FF"/>
        </w:rPr>
        <w:t>XX</w:t>
      </w:r>
      <w:r w:rsidRPr="00993B55">
        <w:t xml:space="preserve"> tons</w:t>
      </w:r>
      <w:r w:rsidR="0009357B">
        <w:t xml:space="preserve"> of material </w:t>
      </w:r>
      <w:r w:rsidRPr="00993B55">
        <w:t xml:space="preserve">/hr) </w:t>
      </w:r>
      <w:r w:rsidRPr="00993B55">
        <w:sym w:font="Symbol" w:char="F02A"/>
      </w:r>
      <w:r w:rsidRPr="00993B55">
        <w:t xml:space="preserve"> (</w:t>
      </w:r>
      <w:r w:rsidR="008F2178" w:rsidRPr="0009357B">
        <w:rPr>
          <w:color w:val="0000FF"/>
        </w:rPr>
        <w:t>X.XX</w:t>
      </w:r>
      <w:r w:rsidRPr="0009357B">
        <w:rPr>
          <w:color w:val="0000FF"/>
        </w:rPr>
        <w:t xml:space="preserve"> </w:t>
      </w:r>
      <w:r w:rsidRPr="00993B55">
        <w:t>lb PM</w:t>
      </w:r>
      <w:r w:rsidR="00AF2232">
        <w:t>10</w:t>
      </w:r>
      <w:r w:rsidRPr="00993B55">
        <w:t xml:space="preserve">/ton) </w:t>
      </w:r>
      <w:r w:rsidRPr="00993B55">
        <w:sym w:font="Symbol" w:char="F02A"/>
      </w:r>
      <w:r w:rsidRPr="00993B55">
        <w:t xml:space="preserve"> (24 hr/day) </w:t>
      </w:r>
      <w:r w:rsidRPr="00993B55">
        <w:sym w:font="Symbol" w:char="F02A"/>
      </w:r>
      <w:r w:rsidRPr="00993B55">
        <w:t xml:space="preserve"> (365 day/year)</w:t>
      </w:r>
    </w:p>
    <w:p w14:paraId="3CD951EC" w14:textId="486DFB0D" w:rsidR="000177D5" w:rsidRPr="00993B55" w:rsidRDefault="000177D5" w:rsidP="007A60F3">
      <w:pPr>
        <w:widowControl w:val="0"/>
        <w:tabs>
          <w:tab w:val="left" w:pos="1440"/>
        </w:tabs>
        <w:ind w:left="720"/>
      </w:pPr>
      <w:r w:rsidRPr="00993B55">
        <w:tab/>
        <w:t xml:space="preserve">= </w:t>
      </w:r>
      <w:r w:rsidR="0009357B" w:rsidRPr="0009357B">
        <w:rPr>
          <w:color w:val="0000FF"/>
        </w:rPr>
        <w:t>X</w:t>
      </w:r>
      <w:r w:rsidRPr="0009357B">
        <w:rPr>
          <w:color w:val="0000FF"/>
        </w:rPr>
        <w:t>,</w:t>
      </w:r>
      <w:r w:rsidR="0009357B" w:rsidRPr="0009357B">
        <w:rPr>
          <w:color w:val="0000FF"/>
        </w:rPr>
        <w:t>XXX</w:t>
      </w:r>
      <w:r w:rsidRPr="00993B55">
        <w:t xml:space="preserve"> lb PM</w:t>
      </w:r>
      <w:r w:rsidR="00AF2232">
        <w:t>10</w:t>
      </w:r>
      <w:r w:rsidRPr="00993B55">
        <w:t>/year</w:t>
      </w:r>
    </w:p>
    <w:p w14:paraId="33B6B89C" w14:textId="77777777" w:rsidR="00783C4E" w:rsidRPr="00993B55" w:rsidRDefault="00783C4E" w:rsidP="007A60F3">
      <w:pPr>
        <w:widowControl w:val="0"/>
        <w:ind w:left="720"/>
      </w:pPr>
    </w:p>
    <w:tbl>
      <w:tblPr>
        <w:tblW w:w="6922"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72"/>
        <w:gridCol w:w="2430"/>
        <w:gridCol w:w="2520"/>
      </w:tblGrid>
      <w:tr w:rsidR="000177D5" w:rsidRPr="00993B55" w14:paraId="791A3C33" w14:textId="77777777" w:rsidTr="0028653F">
        <w:trPr>
          <w:cantSplit/>
          <w:trHeight w:val="449"/>
        </w:trPr>
        <w:tc>
          <w:tcPr>
            <w:tcW w:w="6922" w:type="dxa"/>
            <w:gridSpan w:val="3"/>
            <w:shd w:val="clear" w:color="auto" w:fill="D9D9D9" w:themeFill="background1" w:themeFillShade="D9"/>
            <w:vAlign w:val="center"/>
          </w:tcPr>
          <w:p w14:paraId="4C01B8C5" w14:textId="77777777" w:rsidR="000177D5" w:rsidRPr="00993B55" w:rsidRDefault="000177D5" w:rsidP="00783C4E">
            <w:pPr>
              <w:keepNext/>
              <w:widowControl w:val="0"/>
              <w:numPr>
                <w:ilvl w:val="12"/>
                <w:numId w:val="0"/>
              </w:numPr>
              <w:jc w:val="center"/>
              <w:rPr>
                <w:b/>
                <w:bCs/>
                <w:sz w:val="22"/>
                <w:szCs w:val="22"/>
              </w:rPr>
            </w:pPr>
            <w:r w:rsidRPr="00993B55">
              <w:rPr>
                <w:b/>
                <w:bCs/>
                <w:sz w:val="22"/>
                <w:szCs w:val="22"/>
              </w:rPr>
              <w:t>PE1</w:t>
            </w:r>
          </w:p>
        </w:tc>
      </w:tr>
      <w:tr w:rsidR="000177D5" w:rsidRPr="00993B55" w14:paraId="4B2CFA4D" w14:textId="77777777" w:rsidTr="00165AE1">
        <w:trPr>
          <w:cantSplit/>
          <w:trHeight w:val="710"/>
        </w:trPr>
        <w:tc>
          <w:tcPr>
            <w:tcW w:w="1972" w:type="dxa"/>
            <w:shd w:val="clear" w:color="auto" w:fill="D9D9D9" w:themeFill="background1" w:themeFillShade="D9"/>
            <w:vAlign w:val="center"/>
          </w:tcPr>
          <w:p w14:paraId="7E845A2C" w14:textId="77777777" w:rsidR="000177D5" w:rsidRPr="00993B55" w:rsidRDefault="000177D5" w:rsidP="00783C4E">
            <w:pPr>
              <w:keepNext/>
              <w:widowControl w:val="0"/>
              <w:numPr>
                <w:ilvl w:val="12"/>
                <w:numId w:val="0"/>
              </w:numPr>
              <w:jc w:val="center"/>
              <w:rPr>
                <w:sz w:val="22"/>
                <w:szCs w:val="22"/>
              </w:rPr>
            </w:pPr>
            <w:r w:rsidRPr="00993B55">
              <w:rPr>
                <w:b/>
                <w:color w:val="000000"/>
                <w:sz w:val="22"/>
              </w:rPr>
              <w:t>Pollutant</w:t>
            </w:r>
          </w:p>
        </w:tc>
        <w:tc>
          <w:tcPr>
            <w:tcW w:w="2430" w:type="dxa"/>
            <w:shd w:val="clear" w:color="auto" w:fill="D9D9D9" w:themeFill="background1" w:themeFillShade="D9"/>
            <w:vAlign w:val="center"/>
          </w:tcPr>
          <w:p w14:paraId="36844EAF" w14:textId="77777777" w:rsidR="000177D5" w:rsidRPr="00993B55" w:rsidRDefault="000177D5" w:rsidP="00783C4E">
            <w:pPr>
              <w:keepNext/>
              <w:widowControl w:val="0"/>
              <w:spacing w:before="40" w:after="40"/>
              <w:jc w:val="center"/>
              <w:rPr>
                <w:b/>
                <w:snapToGrid w:val="0"/>
                <w:color w:val="000000"/>
                <w:sz w:val="22"/>
                <w:szCs w:val="22"/>
              </w:rPr>
            </w:pPr>
            <w:r w:rsidRPr="00993B55">
              <w:rPr>
                <w:b/>
                <w:snapToGrid w:val="0"/>
                <w:color w:val="000000"/>
                <w:sz w:val="22"/>
                <w:szCs w:val="22"/>
              </w:rPr>
              <w:t>Daily Emissions</w:t>
            </w:r>
          </w:p>
          <w:p w14:paraId="0CCB5D6E" w14:textId="77777777" w:rsidR="000177D5" w:rsidRPr="00993B55" w:rsidRDefault="000177D5" w:rsidP="00783C4E">
            <w:pPr>
              <w:keepNext/>
              <w:widowControl w:val="0"/>
              <w:spacing w:before="40" w:after="40"/>
              <w:jc w:val="center"/>
              <w:rPr>
                <w:b/>
                <w:snapToGrid w:val="0"/>
                <w:color w:val="000000"/>
                <w:sz w:val="22"/>
                <w:szCs w:val="22"/>
              </w:rPr>
            </w:pPr>
            <w:r w:rsidRPr="00993B55">
              <w:rPr>
                <w:b/>
                <w:snapToGrid w:val="0"/>
                <w:color w:val="000000"/>
                <w:sz w:val="22"/>
                <w:szCs w:val="22"/>
              </w:rPr>
              <w:t>(lb/day)</w:t>
            </w:r>
          </w:p>
        </w:tc>
        <w:tc>
          <w:tcPr>
            <w:tcW w:w="2520" w:type="dxa"/>
            <w:shd w:val="clear" w:color="auto" w:fill="D9D9D9" w:themeFill="background1" w:themeFillShade="D9"/>
            <w:vAlign w:val="center"/>
          </w:tcPr>
          <w:p w14:paraId="70CBEDDE" w14:textId="77777777" w:rsidR="000177D5" w:rsidRPr="00993B55" w:rsidRDefault="000177D5" w:rsidP="00783C4E">
            <w:pPr>
              <w:keepNext/>
              <w:widowControl w:val="0"/>
              <w:spacing w:before="40" w:after="40"/>
              <w:ind w:left="360" w:hanging="360"/>
              <w:jc w:val="center"/>
              <w:rPr>
                <w:b/>
                <w:snapToGrid w:val="0"/>
                <w:color w:val="000000"/>
                <w:sz w:val="22"/>
                <w:szCs w:val="22"/>
              </w:rPr>
            </w:pPr>
            <w:r w:rsidRPr="00993B55">
              <w:rPr>
                <w:b/>
                <w:snapToGrid w:val="0"/>
                <w:color w:val="000000"/>
                <w:sz w:val="22"/>
                <w:szCs w:val="22"/>
              </w:rPr>
              <w:t xml:space="preserve">Annual Emissions </w:t>
            </w:r>
          </w:p>
          <w:p w14:paraId="5A716498" w14:textId="77777777" w:rsidR="000177D5" w:rsidRPr="00993B55" w:rsidRDefault="000177D5" w:rsidP="00783C4E">
            <w:pPr>
              <w:keepNext/>
              <w:widowControl w:val="0"/>
              <w:spacing w:before="40" w:after="40"/>
              <w:ind w:left="360" w:hanging="360"/>
              <w:jc w:val="center"/>
              <w:rPr>
                <w:b/>
                <w:snapToGrid w:val="0"/>
                <w:color w:val="000000"/>
                <w:sz w:val="22"/>
                <w:szCs w:val="22"/>
              </w:rPr>
            </w:pPr>
            <w:r w:rsidRPr="00993B55">
              <w:rPr>
                <w:b/>
                <w:snapToGrid w:val="0"/>
                <w:color w:val="000000"/>
                <w:sz w:val="22"/>
                <w:szCs w:val="22"/>
              </w:rPr>
              <w:t>(lb/year)</w:t>
            </w:r>
          </w:p>
        </w:tc>
      </w:tr>
      <w:tr w:rsidR="00165AE1" w:rsidRPr="00993B55" w14:paraId="77FC4CC5" w14:textId="77777777" w:rsidTr="005038CA">
        <w:trPr>
          <w:cantSplit/>
          <w:trHeight w:val="356"/>
        </w:trPr>
        <w:tc>
          <w:tcPr>
            <w:tcW w:w="1972" w:type="dxa"/>
            <w:shd w:val="clear" w:color="auto" w:fill="auto"/>
            <w:vAlign w:val="center"/>
          </w:tcPr>
          <w:p w14:paraId="178B4912" w14:textId="57FAAEBD" w:rsidR="00165AE1" w:rsidRPr="00993B55" w:rsidRDefault="00165AE1" w:rsidP="00783C4E">
            <w:pPr>
              <w:keepNext/>
              <w:widowControl w:val="0"/>
              <w:numPr>
                <w:ilvl w:val="12"/>
                <w:numId w:val="0"/>
              </w:numPr>
              <w:jc w:val="center"/>
              <w:rPr>
                <w:sz w:val="22"/>
                <w:szCs w:val="22"/>
              </w:rPr>
            </w:pPr>
            <w:r w:rsidRPr="00993B55">
              <w:rPr>
                <w:sz w:val="22"/>
                <w:szCs w:val="22"/>
              </w:rPr>
              <w:t>NO</w:t>
            </w:r>
            <w:r>
              <w:rPr>
                <w:sz w:val="22"/>
                <w:szCs w:val="22"/>
              </w:rPr>
              <w:t>x</w:t>
            </w:r>
          </w:p>
        </w:tc>
        <w:tc>
          <w:tcPr>
            <w:tcW w:w="2430" w:type="dxa"/>
            <w:shd w:val="clear" w:color="auto" w:fill="auto"/>
            <w:vAlign w:val="center"/>
          </w:tcPr>
          <w:p w14:paraId="557EFCFF" w14:textId="34E793BD" w:rsidR="00165AE1" w:rsidRPr="002052A9" w:rsidRDefault="00165AE1" w:rsidP="00783C4E">
            <w:pPr>
              <w:keepNext/>
              <w:widowControl w:val="0"/>
              <w:numPr>
                <w:ilvl w:val="12"/>
                <w:numId w:val="0"/>
              </w:numPr>
              <w:jc w:val="center"/>
              <w:rPr>
                <w:sz w:val="22"/>
                <w:szCs w:val="22"/>
              </w:rPr>
            </w:pPr>
            <w:r w:rsidRPr="002052A9">
              <w:rPr>
                <w:color w:val="0000FF"/>
                <w:sz w:val="22"/>
                <w:szCs w:val="22"/>
              </w:rPr>
              <w:t>X.X</w:t>
            </w:r>
          </w:p>
        </w:tc>
        <w:tc>
          <w:tcPr>
            <w:tcW w:w="2520" w:type="dxa"/>
            <w:shd w:val="clear" w:color="auto" w:fill="auto"/>
            <w:vAlign w:val="center"/>
          </w:tcPr>
          <w:p w14:paraId="03BCAB17" w14:textId="2F3EBEC4" w:rsidR="00165AE1" w:rsidRPr="002052A9" w:rsidRDefault="001B46BD" w:rsidP="00783C4E">
            <w:pPr>
              <w:keepNext/>
              <w:widowControl w:val="0"/>
              <w:numPr>
                <w:ilvl w:val="12"/>
                <w:numId w:val="0"/>
              </w:numPr>
              <w:jc w:val="center"/>
              <w:rPr>
                <w:color w:val="0000FF"/>
                <w:sz w:val="22"/>
                <w:szCs w:val="22"/>
              </w:rPr>
            </w:pPr>
            <w:r w:rsidRPr="002052A9">
              <w:rPr>
                <w:color w:val="0000FF"/>
                <w:sz w:val="22"/>
                <w:szCs w:val="22"/>
              </w:rPr>
              <w:t>X</w:t>
            </w:r>
          </w:p>
        </w:tc>
      </w:tr>
      <w:tr w:rsidR="00165AE1" w:rsidRPr="00993B55" w14:paraId="50B360DB" w14:textId="77777777" w:rsidTr="005038CA">
        <w:trPr>
          <w:cantSplit/>
          <w:trHeight w:val="356"/>
        </w:trPr>
        <w:tc>
          <w:tcPr>
            <w:tcW w:w="1972" w:type="dxa"/>
            <w:shd w:val="clear" w:color="auto" w:fill="auto"/>
            <w:vAlign w:val="center"/>
          </w:tcPr>
          <w:p w14:paraId="251A2358" w14:textId="078F909F" w:rsidR="00165AE1" w:rsidRPr="00993B55" w:rsidRDefault="00165AE1" w:rsidP="00783C4E">
            <w:pPr>
              <w:keepNext/>
              <w:widowControl w:val="0"/>
              <w:numPr>
                <w:ilvl w:val="12"/>
                <w:numId w:val="0"/>
              </w:numPr>
              <w:jc w:val="center"/>
              <w:rPr>
                <w:sz w:val="22"/>
                <w:szCs w:val="22"/>
              </w:rPr>
            </w:pPr>
            <w:r w:rsidRPr="00993B55">
              <w:rPr>
                <w:sz w:val="22"/>
                <w:szCs w:val="22"/>
              </w:rPr>
              <w:t>SO</w:t>
            </w:r>
            <w:r>
              <w:rPr>
                <w:sz w:val="22"/>
                <w:szCs w:val="22"/>
              </w:rPr>
              <w:t>x</w:t>
            </w:r>
          </w:p>
        </w:tc>
        <w:tc>
          <w:tcPr>
            <w:tcW w:w="2430" w:type="dxa"/>
            <w:shd w:val="clear" w:color="auto" w:fill="auto"/>
            <w:vAlign w:val="center"/>
          </w:tcPr>
          <w:p w14:paraId="76CAB185" w14:textId="3FC63769" w:rsidR="00165AE1" w:rsidRPr="002052A9" w:rsidRDefault="00165AE1" w:rsidP="00783C4E">
            <w:pPr>
              <w:keepNext/>
              <w:widowControl w:val="0"/>
              <w:numPr>
                <w:ilvl w:val="12"/>
                <w:numId w:val="0"/>
              </w:numPr>
              <w:jc w:val="center"/>
              <w:rPr>
                <w:sz w:val="22"/>
                <w:szCs w:val="22"/>
              </w:rPr>
            </w:pPr>
            <w:r w:rsidRPr="002052A9">
              <w:rPr>
                <w:color w:val="0000FF"/>
                <w:sz w:val="22"/>
                <w:szCs w:val="22"/>
              </w:rPr>
              <w:t>X.X</w:t>
            </w:r>
          </w:p>
        </w:tc>
        <w:tc>
          <w:tcPr>
            <w:tcW w:w="2520" w:type="dxa"/>
            <w:shd w:val="clear" w:color="auto" w:fill="auto"/>
            <w:vAlign w:val="center"/>
          </w:tcPr>
          <w:p w14:paraId="59093141" w14:textId="65DB0EEA" w:rsidR="00165AE1" w:rsidRPr="002052A9" w:rsidRDefault="001B46BD" w:rsidP="00783C4E">
            <w:pPr>
              <w:keepNext/>
              <w:widowControl w:val="0"/>
              <w:numPr>
                <w:ilvl w:val="12"/>
                <w:numId w:val="0"/>
              </w:numPr>
              <w:jc w:val="center"/>
              <w:rPr>
                <w:color w:val="0000FF"/>
                <w:sz w:val="22"/>
                <w:szCs w:val="22"/>
              </w:rPr>
            </w:pPr>
            <w:r w:rsidRPr="002052A9">
              <w:rPr>
                <w:color w:val="0000FF"/>
                <w:sz w:val="22"/>
                <w:szCs w:val="22"/>
              </w:rPr>
              <w:t>X</w:t>
            </w:r>
          </w:p>
        </w:tc>
      </w:tr>
      <w:tr w:rsidR="00165AE1" w:rsidRPr="00993B55" w14:paraId="1A8B9BB1" w14:textId="77777777" w:rsidTr="005038CA">
        <w:trPr>
          <w:cantSplit/>
          <w:trHeight w:val="356"/>
        </w:trPr>
        <w:tc>
          <w:tcPr>
            <w:tcW w:w="1972" w:type="dxa"/>
            <w:shd w:val="clear" w:color="auto" w:fill="auto"/>
            <w:vAlign w:val="center"/>
          </w:tcPr>
          <w:p w14:paraId="0C978E06" w14:textId="0C5E3F6A" w:rsidR="00165AE1" w:rsidRPr="00993B55" w:rsidRDefault="00165AE1" w:rsidP="00783C4E">
            <w:pPr>
              <w:keepNext/>
              <w:widowControl w:val="0"/>
              <w:numPr>
                <w:ilvl w:val="12"/>
                <w:numId w:val="0"/>
              </w:numPr>
              <w:jc w:val="center"/>
              <w:rPr>
                <w:sz w:val="22"/>
                <w:szCs w:val="22"/>
              </w:rPr>
            </w:pPr>
            <w:r w:rsidRPr="00993B55">
              <w:rPr>
                <w:sz w:val="22"/>
                <w:szCs w:val="22"/>
              </w:rPr>
              <w:t>PM</w:t>
            </w:r>
            <w:r>
              <w:rPr>
                <w:sz w:val="22"/>
                <w:szCs w:val="22"/>
              </w:rPr>
              <w:t>10</w:t>
            </w:r>
          </w:p>
        </w:tc>
        <w:tc>
          <w:tcPr>
            <w:tcW w:w="2430" w:type="dxa"/>
            <w:shd w:val="clear" w:color="auto" w:fill="auto"/>
            <w:vAlign w:val="center"/>
          </w:tcPr>
          <w:p w14:paraId="2D303534" w14:textId="25424178" w:rsidR="00165AE1" w:rsidRPr="002052A9" w:rsidRDefault="00165AE1" w:rsidP="00783C4E">
            <w:pPr>
              <w:keepNext/>
              <w:widowControl w:val="0"/>
              <w:numPr>
                <w:ilvl w:val="12"/>
                <w:numId w:val="0"/>
              </w:numPr>
              <w:jc w:val="center"/>
              <w:rPr>
                <w:sz w:val="22"/>
                <w:szCs w:val="22"/>
              </w:rPr>
            </w:pPr>
            <w:r w:rsidRPr="002052A9">
              <w:rPr>
                <w:color w:val="0000FF"/>
                <w:sz w:val="22"/>
                <w:szCs w:val="22"/>
              </w:rPr>
              <w:t>X.X</w:t>
            </w:r>
          </w:p>
        </w:tc>
        <w:tc>
          <w:tcPr>
            <w:tcW w:w="2520" w:type="dxa"/>
            <w:shd w:val="clear" w:color="auto" w:fill="auto"/>
            <w:vAlign w:val="center"/>
          </w:tcPr>
          <w:p w14:paraId="2D75C822" w14:textId="3D832CC3" w:rsidR="00165AE1" w:rsidRPr="002052A9" w:rsidRDefault="001B46BD" w:rsidP="00783C4E">
            <w:pPr>
              <w:keepNext/>
              <w:widowControl w:val="0"/>
              <w:numPr>
                <w:ilvl w:val="12"/>
                <w:numId w:val="0"/>
              </w:numPr>
              <w:jc w:val="center"/>
              <w:rPr>
                <w:color w:val="0000FF"/>
                <w:sz w:val="22"/>
                <w:szCs w:val="22"/>
              </w:rPr>
            </w:pPr>
            <w:r w:rsidRPr="002052A9">
              <w:rPr>
                <w:color w:val="0000FF"/>
                <w:sz w:val="22"/>
                <w:szCs w:val="22"/>
              </w:rPr>
              <w:t>X,XXX</w:t>
            </w:r>
          </w:p>
        </w:tc>
      </w:tr>
      <w:tr w:rsidR="00165AE1" w:rsidRPr="00993B55" w14:paraId="728A9AF3" w14:textId="77777777" w:rsidTr="005038CA">
        <w:trPr>
          <w:cantSplit/>
          <w:trHeight w:val="356"/>
        </w:trPr>
        <w:tc>
          <w:tcPr>
            <w:tcW w:w="1972" w:type="dxa"/>
            <w:shd w:val="clear" w:color="auto" w:fill="auto"/>
            <w:vAlign w:val="center"/>
          </w:tcPr>
          <w:p w14:paraId="78E098E2" w14:textId="77777777" w:rsidR="00165AE1" w:rsidRPr="00993B55" w:rsidRDefault="00165AE1" w:rsidP="00783C4E">
            <w:pPr>
              <w:keepNext/>
              <w:widowControl w:val="0"/>
              <w:numPr>
                <w:ilvl w:val="12"/>
                <w:numId w:val="0"/>
              </w:numPr>
              <w:jc w:val="center"/>
              <w:rPr>
                <w:sz w:val="22"/>
                <w:szCs w:val="22"/>
              </w:rPr>
            </w:pPr>
            <w:r w:rsidRPr="00993B55">
              <w:rPr>
                <w:sz w:val="22"/>
                <w:szCs w:val="22"/>
              </w:rPr>
              <w:t>CO</w:t>
            </w:r>
          </w:p>
        </w:tc>
        <w:tc>
          <w:tcPr>
            <w:tcW w:w="2430" w:type="dxa"/>
            <w:shd w:val="clear" w:color="auto" w:fill="auto"/>
            <w:vAlign w:val="center"/>
          </w:tcPr>
          <w:p w14:paraId="5B561029" w14:textId="32360667" w:rsidR="00165AE1" w:rsidRPr="002052A9" w:rsidRDefault="00165AE1" w:rsidP="00783C4E">
            <w:pPr>
              <w:keepNext/>
              <w:widowControl w:val="0"/>
              <w:numPr>
                <w:ilvl w:val="12"/>
                <w:numId w:val="0"/>
              </w:numPr>
              <w:jc w:val="center"/>
              <w:rPr>
                <w:sz w:val="22"/>
                <w:szCs w:val="22"/>
              </w:rPr>
            </w:pPr>
            <w:r w:rsidRPr="002052A9">
              <w:rPr>
                <w:color w:val="0000FF"/>
                <w:sz w:val="22"/>
                <w:szCs w:val="22"/>
              </w:rPr>
              <w:t>X.X</w:t>
            </w:r>
          </w:p>
        </w:tc>
        <w:tc>
          <w:tcPr>
            <w:tcW w:w="2520" w:type="dxa"/>
            <w:shd w:val="clear" w:color="auto" w:fill="auto"/>
            <w:vAlign w:val="center"/>
          </w:tcPr>
          <w:p w14:paraId="0FB6CAB1" w14:textId="3EDE7CE6" w:rsidR="00165AE1" w:rsidRPr="002052A9" w:rsidRDefault="001B46BD" w:rsidP="00783C4E">
            <w:pPr>
              <w:keepNext/>
              <w:widowControl w:val="0"/>
              <w:numPr>
                <w:ilvl w:val="12"/>
                <w:numId w:val="0"/>
              </w:numPr>
              <w:jc w:val="center"/>
              <w:rPr>
                <w:color w:val="0000FF"/>
                <w:sz w:val="22"/>
                <w:szCs w:val="22"/>
              </w:rPr>
            </w:pPr>
            <w:r w:rsidRPr="002052A9">
              <w:rPr>
                <w:color w:val="0000FF"/>
                <w:sz w:val="22"/>
                <w:szCs w:val="22"/>
              </w:rPr>
              <w:t>X</w:t>
            </w:r>
          </w:p>
        </w:tc>
      </w:tr>
      <w:tr w:rsidR="00165AE1" w:rsidRPr="00993B55" w14:paraId="11E7B626" w14:textId="77777777" w:rsidTr="005038CA">
        <w:trPr>
          <w:cantSplit/>
          <w:trHeight w:val="356"/>
        </w:trPr>
        <w:tc>
          <w:tcPr>
            <w:tcW w:w="1972" w:type="dxa"/>
            <w:shd w:val="clear" w:color="auto" w:fill="auto"/>
            <w:vAlign w:val="center"/>
          </w:tcPr>
          <w:p w14:paraId="4A675463" w14:textId="77777777" w:rsidR="00165AE1" w:rsidRPr="00993B55" w:rsidRDefault="00165AE1" w:rsidP="00783C4E">
            <w:pPr>
              <w:keepNext/>
              <w:widowControl w:val="0"/>
              <w:numPr>
                <w:ilvl w:val="12"/>
                <w:numId w:val="0"/>
              </w:numPr>
              <w:jc w:val="center"/>
              <w:rPr>
                <w:sz w:val="22"/>
                <w:szCs w:val="22"/>
              </w:rPr>
            </w:pPr>
            <w:r w:rsidRPr="00993B55">
              <w:rPr>
                <w:sz w:val="22"/>
                <w:szCs w:val="22"/>
              </w:rPr>
              <w:t>VOC</w:t>
            </w:r>
          </w:p>
        </w:tc>
        <w:tc>
          <w:tcPr>
            <w:tcW w:w="2430" w:type="dxa"/>
            <w:shd w:val="clear" w:color="auto" w:fill="auto"/>
            <w:vAlign w:val="center"/>
          </w:tcPr>
          <w:p w14:paraId="791D3A65" w14:textId="6FE3B275" w:rsidR="00165AE1" w:rsidRPr="002052A9" w:rsidRDefault="00165AE1" w:rsidP="00783C4E">
            <w:pPr>
              <w:keepNext/>
              <w:widowControl w:val="0"/>
              <w:numPr>
                <w:ilvl w:val="12"/>
                <w:numId w:val="0"/>
              </w:numPr>
              <w:jc w:val="center"/>
              <w:rPr>
                <w:sz w:val="22"/>
                <w:szCs w:val="22"/>
              </w:rPr>
            </w:pPr>
            <w:r w:rsidRPr="002052A9">
              <w:rPr>
                <w:color w:val="0000FF"/>
                <w:sz w:val="22"/>
                <w:szCs w:val="22"/>
              </w:rPr>
              <w:t>X.X</w:t>
            </w:r>
          </w:p>
        </w:tc>
        <w:tc>
          <w:tcPr>
            <w:tcW w:w="2520" w:type="dxa"/>
            <w:shd w:val="clear" w:color="auto" w:fill="auto"/>
            <w:vAlign w:val="center"/>
          </w:tcPr>
          <w:p w14:paraId="71562C20" w14:textId="21EFCFFD" w:rsidR="00165AE1" w:rsidRPr="002052A9" w:rsidRDefault="001B46BD" w:rsidP="00783C4E">
            <w:pPr>
              <w:keepNext/>
              <w:widowControl w:val="0"/>
              <w:numPr>
                <w:ilvl w:val="12"/>
                <w:numId w:val="0"/>
              </w:numPr>
              <w:jc w:val="center"/>
              <w:rPr>
                <w:color w:val="0000FF"/>
                <w:sz w:val="22"/>
                <w:szCs w:val="22"/>
              </w:rPr>
            </w:pPr>
            <w:r w:rsidRPr="002052A9">
              <w:rPr>
                <w:color w:val="0000FF"/>
                <w:sz w:val="22"/>
                <w:szCs w:val="22"/>
              </w:rPr>
              <w:t>X</w:t>
            </w:r>
          </w:p>
        </w:tc>
      </w:tr>
    </w:tbl>
    <w:p w14:paraId="19E1013B" w14:textId="77777777" w:rsidR="000840D9" w:rsidRPr="00993B55" w:rsidRDefault="000840D9" w:rsidP="007A60F3">
      <w:pPr>
        <w:widowControl w:val="0"/>
        <w:ind w:left="720"/>
        <w:rPr>
          <w:color w:val="000000"/>
        </w:rPr>
      </w:pPr>
    </w:p>
    <w:p w14:paraId="159D3801" w14:textId="77777777" w:rsidR="000177D5" w:rsidRPr="00993B55" w:rsidRDefault="000177D5" w:rsidP="007A60F3">
      <w:pPr>
        <w:widowControl w:val="0"/>
        <w:tabs>
          <w:tab w:val="left" w:pos="2250"/>
        </w:tabs>
        <w:ind w:left="720"/>
        <w:rPr>
          <w:i/>
          <w:iCs/>
          <w:color w:val="0000FF"/>
        </w:rPr>
      </w:pPr>
      <w:r w:rsidRPr="00993B55">
        <w:rPr>
          <w:i/>
          <w:iCs/>
          <w:color w:val="0000FF"/>
          <w:u w:val="single"/>
        </w:rPr>
        <w:t>Example (c)</w:t>
      </w:r>
      <w:r w:rsidRPr="00993B55">
        <w:rPr>
          <w:i/>
          <w:iCs/>
          <w:color w:val="0000FF"/>
        </w:rPr>
        <w:t>:</w:t>
      </w:r>
      <w:r w:rsidRPr="00993B55">
        <w:rPr>
          <w:i/>
          <w:iCs/>
          <w:color w:val="0000FF"/>
        </w:rPr>
        <w:tab/>
        <w:t>(For a modified permit unit, with multiple emissions units.)</w:t>
      </w:r>
    </w:p>
    <w:p w14:paraId="4B7A3CC8" w14:textId="77777777" w:rsidR="000177D5" w:rsidRPr="00993B55" w:rsidRDefault="000177D5" w:rsidP="007A60F3">
      <w:pPr>
        <w:widowControl w:val="0"/>
        <w:ind w:left="720"/>
      </w:pPr>
      <w:r w:rsidRPr="00993B55">
        <w:t>The potential to emit for the operation is calculated as follows, and summarized in the table below:</w:t>
      </w:r>
    </w:p>
    <w:p w14:paraId="2B7A8F66" w14:textId="77777777" w:rsidR="000177D5" w:rsidRPr="00993B55" w:rsidRDefault="000177D5" w:rsidP="007A60F3">
      <w:pPr>
        <w:widowControl w:val="0"/>
        <w:tabs>
          <w:tab w:val="left" w:pos="1080"/>
        </w:tabs>
        <w:ind w:left="720"/>
        <w:rPr>
          <w:color w:val="000000"/>
        </w:rPr>
      </w:pPr>
    </w:p>
    <w:p w14:paraId="17DC09D5" w14:textId="248F991E" w:rsidR="000177D5" w:rsidRPr="00993B55" w:rsidRDefault="001B46BD" w:rsidP="002700E5">
      <w:pPr>
        <w:widowControl w:val="0"/>
        <w:spacing w:line="240" w:lineRule="exact"/>
        <w:ind w:left="720"/>
        <w:rPr>
          <w:bCs/>
          <w:spacing w:val="-3"/>
          <w:u w:val="single"/>
        </w:rPr>
      </w:pPr>
      <w:r w:rsidRPr="001B46BD">
        <w:rPr>
          <w:bCs/>
          <w:color w:val="0000FF"/>
          <w:spacing w:val="-3"/>
          <w:u w:val="single"/>
        </w:rPr>
        <w:t>X</w:t>
      </w:r>
      <w:r w:rsidR="000177D5" w:rsidRPr="001B46BD">
        <w:rPr>
          <w:bCs/>
          <w:color w:val="0000FF"/>
          <w:spacing w:val="-3"/>
          <w:u w:val="single"/>
        </w:rPr>
        <w:t>-XXXX-X-X</w:t>
      </w:r>
      <w:r w:rsidR="000177D5" w:rsidRPr="00993B55">
        <w:rPr>
          <w:bCs/>
          <w:spacing w:val="-3"/>
          <w:u w:val="single"/>
        </w:rPr>
        <w:t>:</w:t>
      </w:r>
    </w:p>
    <w:p w14:paraId="6F71F8AF" w14:textId="77777777" w:rsidR="000177D5" w:rsidRPr="00993B55" w:rsidRDefault="000177D5" w:rsidP="007A60F3">
      <w:pPr>
        <w:widowControl w:val="0"/>
        <w:ind w:left="972"/>
      </w:pPr>
      <w:r w:rsidRPr="00993B55">
        <w:t>PE1</w:t>
      </w:r>
      <w:r w:rsidRPr="00993B55">
        <w:rPr>
          <w:vertAlign w:val="subscript"/>
        </w:rPr>
        <w:t>Almond Pre-cleaning</w:t>
      </w:r>
      <w:r w:rsidRPr="00993B55">
        <w:t xml:space="preserve"> = PE1</w:t>
      </w:r>
      <w:r w:rsidRPr="00993B55">
        <w:rPr>
          <w:vertAlign w:val="subscript"/>
        </w:rPr>
        <w:t>Saunco Baghouse</w:t>
      </w:r>
      <w:r w:rsidRPr="00993B55">
        <w:t xml:space="preserve"> + PE1</w:t>
      </w:r>
      <w:r w:rsidRPr="00993B55">
        <w:rPr>
          <w:vertAlign w:val="subscript"/>
        </w:rPr>
        <w:t>Mac Baghouse</w:t>
      </w:r>
    </w:p>
    <w:p w14:paraId="025E3648" w14:textId="77777777" w:rsidR="000177D5" w:rsidRPr="00993B55" w:rsidRDefault="000177D5" w:rsidP="007A60F3">
      <w:pPr>
        <w:widowControl w:val="0"/>
        <w:spacing w:line="240" w:lineRule="exact"/>
        <w:ind w:left="972"/>
        <w:rPr>
          <w:bCs/>
          <w:spacing w:val="-3"/>
          <w:u w:val="single"/>
        </w:rPr>
      </w:pPr>
    </w:p>
    <w:p w14:paraId="7355206D" w14:textId="77777777" w:rsidR="000177D5" w:rsidRPr="00993B55" w:rsidRDefault="000177D5" w:rsidP="007A60F3">
      <w:pPr>
        <w:widowControl w:val="0"/>
        <w:ind w:left="972"/>
        <w:rPr>
          <w:bCs/>
          <w:spacing w:val="-3"/>
          <w:u w:val="single"/>
        </w:rPr>
      </w:pPr>
      <w:r w:rsidRPr="00993B55">
        <w:rPr>
          <w:bCs/>
          <w:spacing w:val="-3"/>
          <w:u w:val="single"/>
        </w:rPr>
        <w:t xml:space="preserve">Saunco </w:t>
      </w:r>
      <w:r w:rsidRPr="00993B55">
        <w:rPr>
          <w:rFonts w:cs="Arial"/>
          <w:spacing w:val="-3"/>
          <w:u w:val="single"/>
        </w:rPr>
        <w:t xml:space="preserve">Model </w:t>
      </w:r>
      <w:r w:rsidRPr="00993B55">
        <w:rPr>
          <w:bCs/>
          <w:u w:val="single"/>
        </w:rPr>
        <w:t xml:space="preserve">RA12 </w:t>
      </w:r>
      <w:r w:rsidRPr="00993B55">
        <w:rPr>
          <w:bCs/>
          <w:spacing w:val="-3"/>
          <w:u w:val="single"/>
        </w:rPr>
        <w:t>Baghouse:</w:t>
      </w:r>
    </w:p>
    <w:p w14:paraId="23C9DF40" w14:textId="257D508E" w:rsidR="000177D5" w:rsidRPr="00993B55" w:rsidRDefault="000177D5" w:rsidP="007A60F3">
      <w:pPr>
        <w:widowControl w:val="0"/>
        <w:tabs>
          <w:tab w:val="left" w:pos="1530"/>
          <w:tab w:val="left" w:pos="1800"/>
        </w:tabs>
        <w:ind w:left="972"/>
      </w:pPr>
      <w:r w:rsidRPr="00993B55">
        <w:t>PE</w:t>
      </w:r>
      <w:r w:rsidR="003E3286">
        <w:t>1</w:t>
      </w:r>
      <w:r w:rsidRPr="00993B55">
        <w:tab/>
        <w:t>=</w:t>
      </w:r>
      <w:r w:rsidRPr="00993B55">
        <w:tab/>
      </w:r>
      <w:r w:rsidR="00B746E4" w:rsidRPr="005038CA">
        <w:rPr>
          <w:color w:val="0000FF"/>
        </w:rPr>
        <w:t>XXX</w:t>
      </w:r>
      <w:r w:rsidRPr="005038CA">
        <w:rPr>
          <w:color w:val="0000FF"/>
        </w:rPr>
        <w:t xml:space="preserve"> </w:t>
      </w:r>
      <w:r w:rsidRPr="00993B55">
        <w:t xml:space="preserve">tons/day </w:t>
      </w:r>
      <w:r w:rsidRPr="00993B55">
        <w:sym w:font="Symbol" w:char="F02A"/>
      </w:r>
      <w:r w:rsidRPr="00993B55">
        <w:t xml:space="preserve"> </w:t>
      </w:r>
      <w:r w:rsidR="00B746E4" w:rsidRPr="005038CA">
        <w:rPr>
          <w:color w:val="0000FF"/>
        </w:rPr>
        <w:t>X.XX</w:t>
      </w:r>
      <w:r w:rsidRPr="005038CA">
        <w:rPr>
          <w:color w:val="0000FF"/>
        </w:rPr>
        <w:t xml:space="preserve"> </w:t>
      </w:r>
      <w:r w:rsidRPr="00993B55">
        <w:t>lb PM</w:t>
      </w:r>
      <w:r w:rsidR="008578CE">
        <w:t>10</w:t>
      </w:r>
      <w:r w:rsidRPr="00993B55">
        <w:t>/ton</w:t>
      </w:r>
    </w:p>
    <w:p w14:paraId="12866927" w14:textId="1AAE7594" w:rsidR="000177D5" w:rsidRPr="00993B55" w:rsidRDefault="000177D5" w:rsidP="007A60F3">
      <w:pPr>
        <w:widowControl w:val="0"/>
        <w:tabs>
          <w:tab w:val="left" w:pos="1530"/>
          <w:tab w:val="left" w:pos="1800"/>
        </w:tabs>
        <w:ind w:left="972"/>
      </w:pPr>
      <w:r w:rsidRPr="00993B55">
        <w:tab/>
        <w:t>=</w:t>
      </w:r>
      <w:r w:rsidRPr="00993B55">
        <w:tab/>
      </w:r>
      <w:r w:rsidR="00B746E4" w:rsidRPr="005038CA">
        <w:rPr>
          <w:color w:val="0000FF"/>
        </w:rPr>
        <w:t>XX.X</w:t>
      </w:r>
      <w:r w:rsidRPr="005038CA">
        <w:rPr>
          <w:color w:val="0000FF"/>
        </w:rPr>
        <w:t xml:space="preserve"> </w:t>
      </w:r>
      <w:r w:rsidRPr="00993B55">
        <w:t>lb PM</w:t>
      </w:r>
      <w:r w:rsidR="008578CE">
        <w:t>10</w:t>
      </w:r>
      <w:r w:rsidRPr="00993B55">
        <w:t>/day</w:t>
      </w:r>
    </w:p>
    <w:p w14:paraId="497CBAE9" w14:textId="77777777" w:rsidR="000177D5" w:rsidRPr="00993B55" w:rsidRDefault="000177D5" w:rsidP="007A60F3">
      <w:pPr>
        <w:widowControl w:val="0"/>
        <w:tabs>
          <w:tab w:val="left" w:pos="1530"/>
          <w:tab w:val="left" w:pos="1800"/>
        </w:tabs>
        <w:ind w:left="972"/>
      </w:pPr>
    </w:p>
    <w:p w14:paraId="511B49E5" w14:textId="443C3543" w:rsidR="000177D5" w:rsidRPr="00993B55" w:rsidRDefault="000177D5" w:rsidP="007A60F3">
      <w:pPr>
        <w:widowControl w:val="0"/>
        <w:tabs>
          <w:tab w:val="left" w:pos="1530"/>
          <w:tab w:val="left" w:pos="1800"/>
        </w:tabs>
        <w:ind w:left="972"/>
      </w:pPr>
      <w:r w:rsidRPr="00993B55">
        <w:t>PE</w:t>
      </w:r>
      <w:r w:rsidR="003E3286">
        <w:t>1</w:t>
      </w:r>
      <w:r w:rsidRPr="00993B55">
        <w:tab/>
        <w:t>=</w:t>
      </w:r>
      <w:r w:rsidRPr="00993B55">
        <w:tab/>
      </w:r>
      <w:r w:rsidR="00B746E4" w:rsidRPr="005038CA">
        <w:rPr>
          <w:color w:val="0000FF"/>
        </w:rPr>
        <w:t>XXX,XXX</w:t>
      </w:r>
      <w:r w:rsidRPr="005038CA">
        <w:rPr>
          <w:color w:val="0000FF"/>
        </w:rPr>
        <w:t xml:space="preserve"> </w:t>
      </w:r>
      <w:r w:rsidRPr="00993B55">
        <w:t xml:space="preserve">tons/year </w:t>
      </w:r>
      <w:r w:rsidRPr="00993B55">
        <w:sym w:font="Symbol" w:char="F02A"/>
      </w:r>
      <w:r w:rsidRPr="00993B55">
        <w:t xml:space="preserve"> </w:t>
      </w:r>
      <w:r w:rsidR="00B746E4" w:rsidRPr="005038CA">
        <w:rPr>
          <w:color w:val="0000FF"/>
        </w:rPr>
        <w:t>X.XX</w:t>
      </w:r>
      <w:r w:rsidRPr="005038CA">
        <w:rPr>
          <w:color w:val="0000FF"/>
        </w:rPr>
        <w:t xml:space="preserve"> </w:t>
      </w:r>
      <w:r w:rsidRPr="00993B55">
        <w:t>lb PM</w:t>
      </w:r>
      <w:r w:rsidR="008578CE">
        <w:t>10</w:t>
      </w:r>
      <w:r w:rsidRPr="00993B55">
        <w:t>/ton</w:t>
      </w:r>
    </w:p>
    <w:p w14:paraId="1EEEBA73" w14:textId="69B517D3" w:rsidR="000177D5" w:rsidRPr="00993B55" w:rsidRDefault="000177D5" w:rsidP="007A60F3">
      <w:pPr>
        <w:widowControl w:val="0"/>
        <w:tabs>
          <w:tab w:val="left" w:pos="1530"/>
          <w:tab w:val="left" w:pos="1800"/>
        </w:tabs>
        <w:ind w:left="972"/>
      </w:pPr>
      <w:r w:rsidRPr="00993B55">
        <w:lastRenderedPageBreak/>
        <w:tab/>
        <w:t>=</w:t>
      </w:r>
      <w:r w:rsidRPr="00993B55">
        <w:tab/>
      </w:r>
      <w:r w:rsidR="00B746E4" w:rsidRPr="005038CA">
        <w:rPr>
          <w:color w:val="0000FF"/>
        </w:rPr>
        <w:t>X</w:t>
      </w:r>
      <w:r w:rsidRPr="005038CA">
        <w:rPr>
          <w:color w:val="0000FF"/>
        </w:rPr>
        <w:t>,</w:t>
      </w:r>
      <w:r w:rsidR="00B746E4" w:rsidRPr="005038CA">
        <w:rPr>
          <w:color w:val="0000FF"/>
        </w:rPr>
        <w:t>XXX</w:t>
      </w:r>
      <w:r w:rsidRPr="005038CA">
        <w:rPr>
          <w:color w:val="0000FF"/>
        </w:rPr>
        <w:t xml:space="preserve"> </w:t>
      </w:r>
      <w:r w:rsidRPr="00993B55">
        <w:t>lb PM</w:t>
      </w:r>
      <w:r w:rsidR="008578CE">
        <w:t>10</w:t>
      </w:r>
      <w:r w:rsidRPr="00993B55">
        <w:t>/year</w:t>
      </w:r>
    </w:p>
    <w:p w14:paraId="4773829A" w14:textId="77777777" w:rsidR="000177D5" w:rsidRPr="00993B55" w:rsidRDefault="000177D5" w:rsidP="007A60F3">
      <w:pPr>
        <w:widowControl w:val="0"/>
        <w:tabs>
          <w:tab w:val="left" w:pos="1530"/>
          <w:tab w:val="left" w:pos="1800"/>
        </w:tabs>
        <w:ind w:left="972"/>
      </w:pPr>
    </w:p>
    <w:p w14:paraId="356629F5" w14:textId="77777777" w:rsidR="000177D5" w:rsidRPr="00993B55" w:rsidRDefault="000177D5" w:rsidP="007A60F3">
      <w:pPr>
        <w:widowControl w:val="0"/>
        <w:ind w:left="972"/>
        <w:rPr>
          <w:bCs/>
          <w:spacing w:val="-3"/>
          <w:u w:val="single"/>
        </w:rPr>
      </w:pPr>
      <w:r w:rsidRPr="00993B55">
        <w:rPr>
          <w:u w:val="single"/>
        </w:rPr>
        <w:t>Mac Model 144MCF Baghouse</w:t>
      </w:r>
      <w:r w:rsidRPr="00993B55">
        <w:rPr>
          <w:bCs/>
          <w:spacing w:val="-3"/>
          <w:u w:val="single"/>
        </w:rPr>
        <w:t>:</w:t>
      </w:r>
    </w:p>
    <w:p w14:paraId="2B6477F1" w14:textId="538812D9" w:rsidR="000177D5" w:rsidRPr="00993B55" w:rsidRDefault="000177D5" w:rsidP="007A60F3">
      <w:pPr>
        <w:widowControl w:val="0"/>
        <w:tabs>
          <w:tab w:val="left" w:pos="1530"/>
          <w:tab w:val="left" w:pos="1800"/>
        </w:tabs>
        <w:ind w:left="972"/>
      </w:pPr>
      <w:r w:rsidRPr="00993B55">
        <w:t>PE</w:t>
      </w:r>
      <w:r w:rsidR="003E3286">
        <w:t>1</w:t>
      </w:r>
      <w:r w:rsidRPr="00993B55">
        <w:tab/>
        <w:t>=</w:t>
      </w:r>
      <w:r w:rsidRPr="00993B55">
        <w:tab/>
      </w:r>
      <w:r w:rsidR="00B746E4" w:rsidRPr="005038CA">
        <w:rPr>
          <w:color w:val="0000FF"/>
        </w:rPr>
        <w:t>XXX</w:t>
      </w:r>
      <w:r w:rsidRPr="005038CA">
        <w:rPr>
          <w:color w:val="0000FF"/>
        </w:rPr>
        <w:t xml:space="preserve"> </w:t>
      </w:r>
      <w:r w:rsidRPr="00993B55">
        <w:t xml:space="preserve">tons/day </w:t>
      </w:r>
      <w:r w:rsidRPr="00993B55">
        <w:sym w:font="Symbol" w:char="F02A"/>
      </w:r>
      <w:r w:rsidRPr="00993B55">
        <w:t xml:space="preserve"> </w:t>
      </w:r>
      <w:r w:rsidR="00B746E4" w:rsidRPr="005038CA">
        <w:rPr>
          <w:color w:val="0000FF"/>
        </w:rPr>
        <w:t>X.XX</w:t>
      </w:r>
      <w:r w:rsidRPr="005038CA">
        <w:rPr>
          <w:color w:val="0000FF"/>
        </w:rPr>
        <w:t xml:space="preserve"> </w:t>
      </w:r>
      <w:r w:rsidRPr="00993B55">
        <w:t>lb PM</w:t>
      </w:r>
      <w:r w:rsidR="008578CE">
        <w:t>10</w:t>
      </w:r>
      <w:r w:rsidRPr="00993B55">
        <w:t>/ton</w:t>
      </w:r>
    </w:p>
    <w:p w14:paraId="485A2D85" w14:textId="408AEA21" w:rsidR="000177D5" w:rsidRPr="00993B55" w:rsidRDefault="000177D5" w:rsidP="007A60F3">
      <w:pPr>
        <w:widowControl w:val="0"/>
        <w:tabs>
          <w:tab w:val="left" w:pos="1530"/>
          <w:tab w:val="left" w:pos="1800"/>
        </w:tabs>
        <w:ind w:left="972"/>
      </w:pPr>
      <w:r w:rsidRPr="00993B55">
        <w:tab/>
        <w:t>=</w:t>
      </w:r>
      <w:r w:rsidRPr="00993B55">
        <w:tab/>
      </w:r>
      <w:r w:rsidR="00740690" w:rsidRPr="005038CA">
        <w:rPr>
          <w:color w:val="0000FF"/>
        </w:rPr>
        <w:t>XX.X</w:t>
      </w:r>
      <w:r w:rsidRPr="005038CA">
        <w:rPr>
          <w:color w:val="0000FF"/>
        </w:rPr>
        <w:t xml:space="preserve"> </w:t>
      </w:r>
      <w:r w:rsidRPr="00993B55">
        <w:t>lb PM</w:t>
      </w:r>
      <w:r w:rsidR="008578CE">
        <w:t>10</w:t>
      </w:r>
      <w:r w:rsidRPr="00993B55">
        <w:t>/day</w:t>
      </w:r>
    </w:p>
    <w:p w14:paraId="46912068" w14:textId="77777777" w:rsidR="000177D5" w:rsidRPr="00993B55" w:rsidRDefault="000177D5" w:rsidP="007A60F3">
      <w:pPr>
        <w:widowControl w:val="0"/>
        <w:tabs>
          <w:tab w:val="left" w:pos="1530"/>
          <w:tab w:val="left" w:pos="1800"/>
        </w:tabs>
        <w:spacing w:line="240" w:lineRule="exact"/>
        <w:ind w:left="972"/>
      </w:pPr>
    </w:p>
    <w:p w14:paraId="48950E7F" w14:textId="2647FB08" w:rsidR="000177D5" w:rsidRPr="00993B55" w:rsidRDefault="000177D5" w:rsidP="007A60F3">
      <w:pPr>
        <w:widowControl w:val="0"/>
        <w:tabs>
          <w:tab w:val="left" w:pos="1530"/>
          <w:tab w:val="left" w:pos="1800"/>
        </w:tabs>
        <w:ind w:left="972"/>
      </w:pPr>
      <w:r w:rsidRPr="00993B55">
        <w:t>PE</w:t>
      </w:r>
      <w:r w:rsidR="003E3286">
        <w:t>1</w:t>
      </w:r>
      <w:r w:rsidRPr="00993B55">
        <w:tab/>
        <w:t>=</w:t>
      </w:r>
      <w:r w:rsidRPr="00993B55">
        <w:tab/>
      </w:r>
      <w:r w:rsidR="00740690" w:rsidRPr="005038CA">
        <w:rPr>
          <w:color w:val="0000FF"/>
        </w:rPr>
        <w:t>XXX,XXX</w:t>
      </w:r>
      <w:r w:rsidRPr="005038CA">
        <w:rPr>
          <w:color w:val="0000FF"/>
        </w:rPr>
        <w:t xml:space="preserve"> </w:t>
      </w:r>
      <w:r w:rsidRPr="00993B55">
        <w:t xml:space="preserve">tons/year </w:t>
      </w:r>
      <w:r w:rsidRPr="00993B55">
        <w:sym w:font="Symbol" w:char="F02A"/>
      </w:r>
      <w:r w:rsidRPr="00993B55">
        <w:t xml:space="preserve"> </w:t>
      </w:r>
      <w:r w:rsidR="00740690" w:rsidRPr="005038CA">
        <w:rPr>
          <w:color w:val="0000FF"/>
        </w:rPr>
        <w:t>X.XX</w:t>
      </w:r>
      <w:r w:rsidRPr="005038CA">
        <w:rPr>
          <w:color w:val="0000FF"/>
        </w:rPr>
        <w:t xml:space="preserve"> </w:t>
      </w:r>
      <w:r w:rsidRPr="00993B55">
        <w:t>lb PM</w:t>
      </w:r>
      <w:r w:rsidR="008578CE">
        <w:t>10</w:t>
      </w:r>
      <w:r w:rsidRPr="00993B55">
        <w:t>/ton</w:t>
      </w:r>
    </w:p>
    <w:p w14:paraId="1959FA60" w14:textId="386A651B" w:rsidR="000177D5" w:rsidRPr="00993B55" w:rsidRDefault="000177D5" w:rsidP="007A60F3">
      <w:pPr>
        <w:widowControl w:val="0"/>
        <w:tabs>
          <w:tab w:val="left" w:pos="1530"/>
          <w:tab w:val="left" w:pos="1800"/>
        </w:tabs>
        <w:ind w:left="972"/>
      </w:pPr>
      <w:r w:rsidRPr="00993B55">
        <w:tab/>
        <w:t>=</w:t>
      </w:r>
      <w:r w:rsidRPr="00993B55">
        <w:tab/>
      </w:r>
      <w:r w:rsidR="00740690" w:rsidRPr="005038CA">
        <w:rPr>
          <w:color w:val="0000FF"/>
        </w:rPr>
        <w:t>X,XXX</w:t>
      </w:r>
      <w:r w:rsidRPr="005038CA">
        <w:rPr>
          <w:color w:val="0000FF"/>
        </w:rPr>
        <w:t xml:space="preserve"> </w:t>
      </w:r>
      <w:r w:rsidRPr="00993B55">
        <w:t>lb PM</w:t>
      </w:r>
      <w:r w:rsidR="008578CE">
        <w:t>10</w:t>
      </w:r>
      <w:r w:rsidRPr="00993B55">
        <w:t>/year</w:t>
      </w:r>
    </w:p>
    <w:p w14:paraId="2BE6FF5B" w14:textId="77777777" w:rsidR="000177D5" w:rsidRPr="00993B55" w:rsidRDefault="000177D5" w:rsidP="007A60F3">
      <w:pPr>
        <w:widowControl w:val="0"/>
        <w:ind w:left="972"/>
      </w:pPr>
    </w:p>
    <w:tbl>
      <w:tblPr>
        <w:tblStyle w:val="TableGrid"/>
        <w:tblW w:w="0" w:type="auto"/>
        <w:tblInd w:w="985" w:type="dxa"/>
        <w:tblLook w:val="04A0" w:firstRow="1" w:lastRow="0" w:firstColumn="1" w:lastColumn="0" w:noHBand="0" w:noVBand="1"/>
      </w:tblPr>
      <w:tblGrid>
        <w:gridCol w:w="1980"/>
        <w:gridCol w:w="2475"/>
        <w:gridCol w:w="2475"/>
      </w:tblGrid>
      <w:tr w:rsidR="00B96AD4" w14:paraId="6B5216AC" w14:textId="77777777" w:rsidTr="003951A6">
        <w:trPr>
          <w:trHeight w:val="418"/>
        </w:trPr>
        <w:tc>
          <w:tcPr>
            <w:tcW w:w="6930" w:type="dxa"/>
            <w:gridSpan w:val="3"/>
            <w:shd w:val="clear" w:color="auto" w:fill="D9D9D9" w:themeFill="background1" w:themeFillShade="D9"/>
            <w:vAlign w:val="center"/>
          </w:tcPr>
          <w:p w14:paraId="657C4438" w14:textId="439AC9D2" w:rsidR="00B96AD4" w:rsidRPr="0017553D" w:rsidRDefault="00B96AD4" w:rsidP="003951A6">
            <w:pPr>
              <w:keepNext/>
              <w:jc w:val="center"/>
              <w:rPr>
                <w:b/>
                <w:bCs/>
              </w:rPr>
            </w:pPr>
            <w:r w:rsidRPr="0017553D">
              <w:rPr>
                <w:b/>
                <w:bCs/>
              </w:rPr>
              <w:t>PE1</w:t>
            </w:r>
          </w:p>
        </w:tc>
      </w:tr>
      <w:tr w:rsidR="00B96AD4" w14:paraId="064C0EAA" w14:textId="77777777" w:rsidTr="003951A6">
        <w:tc>
          <w:tcPr>
            <w:tcW w:w="1980" w:type="dxa"/>
            <w:shd w:val="clear" w:color="auto" w:fill="D9D9D9" w:themeFill="background1" w:themeFillShade="D9"/>
            <w:vAlign w:val="center"/>
          </w:tcPr>
          <w:p w14:paraId="473CA7C4" w14:textId="34369AE9" w:rsidR="00B96AD4" w:rsidRDefault="00B96AD4" w:rsidP="003951A6">
            <w:pPr>
              <w:keepNext/>
              <w:jc w:val="center"/>
            </w:pPr>
            <w:r w:rsidRPr="00993B55">
              <w:rPr>
                <w:b/>
                <w:color w:val="000000"/>
                <w:sz w:val="22"/>
              </w:rPr>
              <w:t>Pollutant</w:t>
            </w:r>
          </w:p>
        </w:tc>
        <w:tc>
          <w:tcPr>
            <w:tcW w:w="2475" w:type="dxa"/>
            <w:shd w:val="clear" w:color="auto" w:fill="D9D9D9" w:themeFill="background1" w:themeFillShade="D9"/>
            <w:vAlign w:val="center"/>
          </w:tcPr>
          <w:p w14:paraId="2DE1B489" w14:textId="77777777" w:rsidR="00B96AD4" w:rsidRPr="00993B55" w:rsidRDefault="00B96AD4" w:rsidP="003951A6">
            <w:pPr>
              <w:keepNext/>
              <w:widowControl w:val="0"/>
              <w:spacing w:before="40" w:after="40"/>
              <w:jc w:val="center"/>
              <w:rPr>
                <w:b/>
                <w:snapToGrid w:val="0"/>
                <w:color w:val="000000"/>
                <w:sz w:val="22"/>
                <w:szCs w:val="22"/>
              </w:rPr>
            </w:pPr>
            <w:r w:rsidRPr="00993B55">
              <w:rPr>
                <w:b/>
                <w:snapToGrid w:val="0"/>
                <w:color w:val="000000"/>
                <w:sz w:val="22"/>
                <w:szCs w:val="22"/>
              </w:rPr>
              <w:t>Daily Emissions</w:t>
            </w:r>
          </w:p>
          <w:p w14:paraId="7CFCD79A" w14:textId="46D7C815" w:rsidR="00B96AD4" w:rsidRDefault="00B96AD4" w:rsidP="003951A6">
            <w:pPr>
              <w:keepNext/>
              <w:jc w:val="center"/>
            </w:pPr>
            <w:r w:rsidRPr="00993B55">
              <w:rPr>
                <w:b/>
                <w:snapToGrid w:val="0"/>
                <w:color w:val="000000"/>
                <w:sz w:val="22"/>
                <w:szCs w:val="22"/>
              </w:rPr>
              <w:t>(lb/day)</w:t>
            </w:r>
          </w:p>
        </w:tc>
        <w:tc>
          <w:tcPr>
            <w:tcW w:w="2475" w:type="dxa"/>
            <w:shd w:val="clear" w:color="auto" w:fill="D9D9D9" w:themeFill="background1" w:themeFillShade="D9"/>
            <w:vAlign w:val="center"/>
          </w:tcPr>
          <w:p w14:paraId="5F239F13" w14:textId="657A34D4" w:rsidR="00B96AD4" w:rsidRPr="00993B55" w:rsidRDefault="00B96AD4" w:rsidP="003951A6">
            <w:pPr>
              <w:keepNext/>
              <w:widowControl w:val="0"/>
              <w:spacing w:before="40" w:after="40"/>
              <w:jc w:val="center"/>
              <w:rPr>
                <w:b/>
                <w:snapToGrid w:val="0"/>
                <w:color w:val="000000"/>
                <w:sz w:val="22"/>
                <w:szCs w:val="22"/>
              </w:rPr>
            </w:pPr>
            <w:r w:rsidRPr="00993B55">
              <w:rPr>
                <w:b/>
                <w:snapToGrid w:val="0"/>
                <w:color w:val="000000"/>
                <w:sz w:val="22"/>
                <w:szCs w:val="22"/>
              </w:rPr>
              <w:t>Annual Emissions</w:t>
            </w:r>
          </w:p>
          <w:p w14:paraId="0AE82124" w14:textId="749A86BF" w:rsidR="00B96AD4" w:rsidRDefault="00B96AD4" w:rsidP="003951A6">
            <w:pPr>
              <w:keepNext/>
              <w:jc w:val="center"/>
            </w:pPr>
            <w:r w:rsidRPr="00993B55">
              <w:rPr>
                <w:b/>
                <w:snapToGrid w:val="0"/>
                <w:color w:val="000000"/>
                <w:sz w:val="22"/>
                <w:szCs w:val="22"/>
              </w:rPr>
              <w:t>(lb/year)</w:t>
            </w:r>
          </w:p>
        </w:tc>
      </w:tr>
      <w:tr w:rsidR="00B96AD4" w14:paraId="4810A3AE" w14:textId="77777777" w:rsidTr="003951A6">
        <w:trPr>
          <w:trHeight w:val="331"/>
        </w:trPr>
        <w:tc>
          <w:tcPr>
            <w:tcW w:w="1980" w:type="dxa"/>
            <w:vAlign w:val="center"/>
          </w:tcPr>
          <w:p w14:paraId="2EDB4628" w14:textId="40567E6E" w:rsidR="00B96AD4" w:rsidRDefault="00B96AD4" w:rsidP="003951A6">
            <w:pPr>
              <w:keepNext/>
              <w:jc w:val="center"/>
            </w:pPr>
            <w:r w:rsidRPr="00993B55">
              <w:rPr>
                <w:sz w:val="22"/>
                <w:szCs w:val="22"/>
              </w:rPr>
              <w:t>NO</w:t>
            </w:r>
            <w:r>
              <w:rPr>
                <w:sz w:val="22"/>
                <w:szCs w:val="22"/>
              </w:rPr>
              <w:t>x</w:t>
            </w:r>
          </w:p>
        </w:tc>
        <w:tc>
          <w:tcPr>
            <w:tcW w:w="2475" w:type="dxa"/>
            <w:vAlign w:val="center"/>
          </w:tcPr>
          <w:p w14:paraId="2D1F416D" w14:textId="05D80F48" w:rsidR="00B96AD4" w:rsidRDefault="00B96AD4" w:rsidP="003951A6">
            <w:pPr>
              <w:keepNext/>
              <w:jc w:val="center"/>
            </w:pPr>
            <w:r w:rsidRPr="002052A9">
              <w:rPr>
                <w:color w:val="0000FF"/>
                <w:sz w:val="22"/>
                <w:szCs w:val="22"/>
              </w:rPr>
              <w:t>X.X</w:t>
            </w:r>
          </w:p>
        </w:tc>
        <w:tc>
          <w:tcPr>
            <w:tcW w:w="2475" w:type="dxa"/>
            <w:vAlign w:val="center"/>
          </w:tcPr>
          <w:p w14:paraId="231DC4B9" w14:textId="4CCEDFFF" w:rsidR="00B96AD4" w:rsidRDefault="00B96AD4" w:rsidP="003951A6">
            <w:pPr>
              <w:keepNext/>
              <w:jc w:val="center"/>
            </w:pPr>
            <w:r w:rsidRPr="002052A9">
              <w:rPr>
                <w:color w:val="0000FF"/>
                <w:sz w:val="22"/>
                <w:szCs w:val="22"/>
              </w:rPr>
              <w:t>X</w:t>
            </w:r>
          </w:p>
        </w:tc>
      </w:tr>
      <w:tr w:rsidR="00B96AD4" w14:paraId="050F8D55" w14:textId="77777777" w:rsidTr="003951A6">
        <w:trPr>
          <w:trHeight w:val="331"/>
        </w:trPr>
        <w:tc>
          <w:tcPr>
            <w:tcW w:w="1980" w:type="dxa"/>
            <w:vAlign w:val="center"/>
          </w:tcPr>
          <w:p w14:paraId="41642613" w14:textId="513D1A27" w:rsidR="00B96AD4" w:rsidRDefault="00B96AD4" w:rsidP="003951A6">
            <w:pPr>
              <w:keepNext/>
              <w:jc w:val="center"/>
            </w:pPr>
            <w:r w:rsidRPr="00993B55">
              <w:rPr>
                <w:sz w:val="22"/>
                <w:szCs w:val="22"/>
              </w:rPr>
              <w:t>SO</w:t>
            </w:r>
            <w:r>
              <w:rPr>
                <w:sz w:val="22"/>
                <w:szCs w:val="22"/>
              </w:rPr>
              <w:t>x</w:t>
            </w:r>
          </w:p>
        </w:tc>
        <w:tc>
          <w:tcPr>
            <w:tcW w:w="2475" w:type="dxa"/>
            <w:vAlign w:val="center"/>
          </w:tcPr>
          <w:p w14:paraId="3A1574E7" w14:textId="3774253C" w:rsidR="00B96AD4" w:rsidRDefault="00B96AD4" w:rsidP="003951A6">
            <w:pPr>
              <w:keepNext/>
              <w:jc w:val="center"/>
            </w:pPr>
            <w:r w:rsidRPr="002052A9">
              <w:rPr>
                <w:color w:val="0000FF"/>
                <w:sz w:val="22"/>
                <w:szCs w:val="22"/>
              </w:rPr>
              <w:t>X.X</w:t>
            </w:r>
          </w:p>
        </w:tc>
        <w:tc>
          <w:tcPr>
            <w:tcW w:w="2475" w:type="dxa"/>
            <w:vAlign w:val="center"/>
          </w:tcPr>
          <w:p w14:paraId="64329F20" w14:textId="7DC54257" w:rsidR="00B96AD4" w:rsidRDefault="00B96AD4" w:rsidP="003951A6">
            <w:pPr>
              <w:keepNext/>
              <w:jc w:val="center"/>
            </w:pPr>
            <w:r w:rsidRPr="002052A9">
              <w:rPr>
                <w:color w:val="0000FF"/>
                <w:sz w:val="22"/>
                <w:szCs w:val="22"/>
              </w:rPr>
              <w:t>X</w:t>
            </w:r>
          </w:p>
        </w:tc>
      </w:tr>
      <w:tr w:rsidR="00B96AD4" w14:paraId="246E6266" w14:textId="77777777" w:rsidTr="003951A6">
        <w:trPr>
          <w:trHeight w:val="331"/>
        </w:trPr>
        <w:tc>
          <w:tcPr>
            <w:tcW w:w="1980" w:type="dxa"/>
            <w:vAlign w:val="center"/>
          </w:tcPr>
          <w:p w14:paraId="40ADAF46" w14:textId="30211BFE" w:rsidR="00B96AD4" w:rsidRDefault="00B96AD4" w:rsidP="003951A6">
            <w:pPr>
              <w:keepNext/>
              <w:jc w:val="center"/>
            </w:pPr>
            <w:r w:rsidRPr="00993B55">
              <w:rPr>
                <w:sz w:val="22"/>
                <w:szCs w:val="22"/>
              </w:rPr>
              <w:t>PM</w:t>
            </w:r>
            <w:r>
              <w:rPr>
                <w:sz w:val="22"/>
                <w:szCs w:val="22"/>
              </w:rPr>
              <w:t>10</w:t>
            </w:r>
          </w:p>
        </w:tc>
        <w:tc>
          <w:tcPr>
            <w:tcW w:w="2475" w:type="dxa"/>
            <w:vAlign w:val="center"/>
          </w:tcPr>
          <w:p w14:paraId="6229EF83" w14:textId="138EF1C1" w:rsidR="00B96AD4" w:rsidRDefault="00B96AD4" w:rsidP="003951A6">
            <w:pPr>
              <w:keepNext/>
              <w:jc w:val="center"/>
            </w:pPr>
            <w:r w:rsidRPr="002052A9">
              <w:rPr>
                <w:color w:val="0000FF"/>
                <w:sz w:val="22"/>
                <w:szCs w:val="22"/>
              </w:rPr>
              <w:t>XX.X</w:t>
            </w:r>
          </w:p>
        </w:tc>
        <w:tc>
          <w:tcPr>
            <w:tcW w:w="2475" w:type="dxa"/>
            <w:vAlign w:val="center"/>
          </w:tcPr>
          <w:p w14:paraId="7DD661AF" w14:textId="6DDD2D30" w:rsidR="00B96AD4" w:rsidRDefault="00B96AD4" w:rsidP="003951A6">
            <w:pPr>
              <w:keepNext/>
              <w:jc w:val="center"/>
            </w:pPr>
            <w:r w:rsidRPr="002052A9">
              <w:rPr>
                <w:color w:val="0000FF"/>
                <w:sz w:val="22"/>
                <w:szCs w:val="22"/>
              </w:rPr>
              <w:t>X,XXX</w:t>
            </w:r>
          </w:p>
        </w:tc>
      </w:tr>
      <w:tr w:rsidR="00B96AD4" w14:paraId="27BD622F" w14:textId="77777777" w:rsidTr="003951A6">
        <w:trPr>
          <w:trHeight w:val="331"/>
        </w:trPr>
        <w:tc>
          <w:tcPr>
            <w:tcW w:w="1980" w:type="dxa"/>
            <w:vAlign w:val="center"/>
          </w:tcPr>
          <w:p w14:paraId="79C287DA" w14:textId="013BA03E" w:rsidR="00B96AD4" w:rsidRDefault="00B96AD4" w:rsidP="003951A6">
            <w:pPr>
              <w:keepNext/>
              <w:jc w:val="center"/>
            </w:pPr>
            <w:r w:rsidRPr="00993B55">
              <w:rPr>
                <w:sz w:val="22"/>
                <w:szCs w:val="22"/>
              </w:rPr>
              <w:t>CO</w:t>
            </w:r>
          </w:p>
        </w:tc>
        <w:tc>
          <w:tcPr>
            <w:tcW w:w="2475" w:type="dxa"/>
            <w:vAlign w:val="center"/>
          </w:tcPr>
          <w:p w14:paraId="36E2AE88" w14:textId="591B6D7E" w:rsidR="00B96AD4" w:rsidRDefault="00B96AD4" w:rsidP="003951A6">
            <w:pPr>
              <w:keepNext/>
              <w:jc w:val="center"/>
            </w:pPr>
            <w:r w:rsidRPr="002052A9">
              <w:rPr>
                <w:color w:val="0000FF"/>
                <w:sz w:val="22"/>
                <w:szCs w:val="22"/>
              </w:rPr>
              <w:t>X.X</w:t>
            </w:r>
          </w:p>
        </w:tc>
        <w:tc>
          <w:tcPr>
            <w:tcW w:w="2475" w:type="dxa"/>
            <w:vAlign w:val="center"/>
          </w:tcPr>
          <w:p w14:paraId="314E6675" w14:textId="0C4459B6" w:rsidR="00B96AD4" w:rsidRDefault="00B96AD4" w:rsidP="003951A6">
            <w:pPr>
              <w:keepNext/>
              <w:jc w:val="center"/>
            </w:pPr>
            <w:r w:rsidRPr="002052A9">
              <w:rPr>
                <w:color w:val="0000FF"/>
                <w:sz w:val="22"/>
                <w:szCs w:val="22"/>
              </w:rPr>
              <w:t>X</w:t>
            </w:r>
          </w:p>
        </w:tc>
      </w:tr>
      <w:tr w:rsidR="00B96AD4" w14:paraId="5C716DCD" w14:textId="77777777" w:rsidTr="003951A6">
        <w:trPr>
          <w:trHeight w:val="331"/>
        </w:trPr>
        <w:tc>
          <w:tcPr>
            <w:tcW w:w="1980" w:type="dxa"/>
            <w:vAlign w:val="center"/>
          </w:tcPr>
          <w:p w14:paraId="276C6A16" w14:textId="677F0A24" w:rsidR="00B96AD4" w:rsidRDefault="00B96AD4" w:rsidP="003951A6">
            <w:pPr>
              <w:keepNext/>
              <w:jc w:val="center"/>
            </w:pPr>
            <w:r w:rsidRPr="00993B55">
              <w:rPr>
                <w:sz w:val="22"/>
                <w:szCs w:val="22"/>
              </w:rPr>
              <w:t>VOC</w:t>
            </w:r>
          </w:p>
        </w:tc>
        <w:tc>
          <w:tcPr>
            <w:tcW w:w="2475" w:type="dxa"/>
            <w:vAlign w:val="center"/>
          </w:tcPr>
          <w:p w14:paraId="052E8CA3" w14:textId="353253EA" w:rsidR="00B96AD4" w:rsidRDefault="00B96AD4" w:rsidP="003951A6">
            <w:pPr>
              <w:keepNext/>
              <w:jc w:val="center"/>
            </w:pPr>
            <w:r w:rsidRPr="002052A9">
              <w:rPr>
                <w:color w:val="0000FF"/>
                <w:sz w:val="22"/>
                <w:szCs w:val="22"/>
              </w:rPr>
              <w:t>X.X</w:t>
            </w:r>
          </w:p>
        </w:tc>
        <w:tc>
          <w:tcPr>
            <w:tcW w:w="2475" w:type="dxa"/>
            <w:vAlign w:val="center"/>
          </w:tcPr>
          <w:p w14:paraId="65D5F6FE" w14:textId="66CA05B5" w:rsidR="00B96AD4" w:rsidRDefault="00B96AD4" w:rsidP="003951A6">
            <w:pPr>
              <w:keepNext/>
              <w:jc w:val="center"/>
            </w:pPr>
            <w:r w:rsidRPr="002052A9">
              <w:rPr>
                <w:color w:val="0000FF"/>
                <w:sz w:val="22"/>
                <w:szCs w:val="22"/>
              </w:rPr>
              <w:t>X</w:t>
            </w:r>
          </w:p>
        </w:tc>
      </w:tr>
    </w:tbl>
    <w:p w14:paraId="1D7B2E46" w14:textId="77777777" w:rsidR="00FE425F" w:rsidRDefault="00FE425F" w:rsidP="00FE425F"/>
    <w:p w14:paraId="5F9E0C26" w14:textId="64229356" w:rsidR="000177D5" w:rsidRPr="00542D59" w:rsidRDefault="000177D5" w:rsidP="007C1ED2">
      <w:pPr>
        <w:pStyle w:val="Heading3"/>
        <w:widowControl w:val="0"/>
        <w:numPr>
          <w:ilvl w:val="0"/>
          <w:numId w:val="3"/>
        </w:numPr>
        <w:tabs>
          <w:tab w:val="clear" w:pos="1224"/>
        </w:tabs>
        <w:spacing w:before="240" w:after="240"/>
        <w:ind w:left="1080"/>
        <w:jc w:val="left"/>
        <w:rPr>
          <w:b/>
          <w:bCs/>
          <w:color w:val="000000"/>
          <w:sz w:val="24"/>
          <w:szCs w:val="24"/>
        </w:rPr>
      </w:pPr>
      <w:r w:rsidRPr="00542D59">
        <w:rPr>
          <w:b/>
          <w:bCs/>
          <w:color w:val="000000"/>
          <w:sz w:val="24"/>
          <w:szCs w:val="24"/>
        </w:rPr>
        <w:t>Post-Project Potential to Emit (PE2)</w:t>
      </w:r>
    </w:p>
    <w:p w14:paraId="676ED700" w14:textId="77777777" w:rsidR="000177D5" w:rsidRPr="00993B55" w:rsidRDefault="000177D5" w:rsidP="007A60F3">
      <w:pPr>
        <w:widowControl w:val="0"/>
        <w:ind w:left="720"/>
        <w:rPr>
          <w:color w:val="FF0000"/>
        </w:rPr>
      </w:pPr>
      <w:r w:rsidRPr="00993B55">
        <w:rPr>
          <w:color w:val="FF0000"/>
        </w:rPr>
        <w:t>Calculate the daily and annual emissions for each emissions unit and/or each permit unit in the project.  Use tables wherever practical.</w:t>
      </w:r>
    </w:p>
    <w:p w14:paraId="223B00C1" w14:textId="77777777" w:rsidR="000177D5" w:rsidRPr="00993B55" w:rsidRDefault="000177D5" w:rsidP="007A60F3">
      <w:pPr>
        <w:widowControl w:val="0"/>
        <w:ind w:left="720"/>
        <w:rPr>
          <w:color w:val="000000"/>
        </w:rPr>
      </w:pPr>
    </w:p>
    <w:p w14:paraId="4C98B937" w14:textId="77777777" w:rsidR="000177D5" w:rsidRPr="00993B55" w:rsidRDefault="000177D5" w:rsidP="007A60F3">
      <w:pPr>
        <w:widowControl w:val="0"/>
        <w:tabs>
          <w:tab w:val="left" w:pos="2250"/>
        </w:tabs>
        <w:ind w:left="720"/>
        <w:rPr>
          <w:bCs/>
          <w:i/>
          <w:iCs/>
          <w:color w:val="0000FF"/>
          <w:u w:val="single"/>
        </w:rPr>
      </w:pPr>
      <w:r w:rsidRPr="00993B55">
        <w:rPr>
          <w:bCs/>
          <w:i/>
          <w:iCs/>
          <w:color w:val="0000FF"/>
          <w:u w:val="single"/>
        </w:rPr>
        <w:t>For example</w:t>
      </w:r>
      <w:r w:rsidRPr="00993B55">
        <w:rPr>
          <w:bCs/>
          <w:i/>
          <w:iCs/>
          <w:color w:val="0000FF"/>
        </w:rPr>
        <w:t>:</w:t>
      </w:r>
      <w:r w:rsidRPr="00993B55">
        <w:rPr>
          <w:bCs/>
          <w:i/>
          <w:iCs/>
          <w:color w:val="0000FF"/>
        </w:rPr>
        <w:tab/>
        <w:t>(For a boiler.)</w:t>
      </w:r>
    </w:p>
    <w:p w14:paraId="1A06494D" w14:textId="77777777" w:rsidR="000177D5" w:rsidRPr="00993B55" w:rsidRDefault="000177D5" w:rsidP="007A60F3">
      <w:pPr>
        <w:widowControl w:val="0"/>
        <w:tabs>
          <w:tab w:val="left" w:pos="1170"/>
        </w:tabs>
        <w:ind w:left="720"/>
      </w:pPr>
      <w:r w:rsidRPr="00993B55">
        <w:t>The potential to emit for the boiler is calculated as follows, and summarized in the table below:</w:t>
      </w:r>
    </w:p>
    <w:p w14:paraId="7E36CC09" w14:textId="77777777" w:rsidR="000177D5" w:rsidRPr="00993B55" w:rsidRDefault="000177D5" w:rsidP="007A60F3">
      <w:pPr>
        <w:widowControl w:val="0"/>
        <w:ind w:left="720"/>
      </w:pPr>
    </w:p>
    <w:p w14:paraId="173E76E6" w14:textId="1DE3814B" w:rsidR="000177D5" w:rsidRPr="00993B55" w:rsidRDefault="000177D5" w:rsidP="007A60F3">
      <w:pPr>
        <w:widowControl w:val="0"/>
        <w:tabs>
          <w:tab w:val="left" w:pos="1620"/>
          <w:tab w:val="left" w:pos="1890"/>
        </w:tabs>
        <w:ind w:left="720"/>
      </w:pPr>
      <w:r w:rsidRPr="00993B55">
        <w:t>PE2</w:t>
      </w:r>
      <w:r w:rsidRPr="00993B55">
        <w:rPr>
          <w:vertAlign w:val="subscript"/>
        </w:rPr>
        <w:t>NOx</w:t>
      </w:r>
      <w:r w:rsidRPr="00993B55">
        <w:rPr>
          <w:vertAlign w:val="subscript"/>
        </w:rPr>
        <w:tab/>
      </w:r>
      <w:r w:rsidRPr="00993B55">
        <w:rPr>
          <w:vertAlign w:val="subscript"/>
        </w:rPr>
        <w:tab/>
      </w:r>
      <w:r w:rsidRPr="00993B55">
        <w:t>=</w:t>
      </w:r>
      <w:r w:rsidRPr="00993B55">
        <w:tab/>
        <w:t>(</w:t>
      </w:r>
      <w:r w:rsidR="008B5734" w:rsidRPr="008B5734">
        <w:rPr>
          <w:color w:val="0000FF"/>
          <w:spacing w:val="-3"/>
        </w:rPr>
        <w:t>X.XXX</w:t>
      </w:r>
      <w:r w:rsidR="008B5734">
        <w:rPr>
          <w:spacing w:val="-3"/>
        </w:rPr>
        <w:t xml:space="preserve"> </w:t>
      </w:r>
      <w:r w:rsidRPr="00993B55">
        <w:t xml:space="preserve">lb/MMBtu) </w:t>
      </w:r>
      <w:r w:rsidRPr="00993B55">
        <w:sym w:font="Symbol" w:char="F02A"/>
      </w:r>
      <w:r w:rsidRPr="00993B55">
        <w:t xml:space="preserve"> (</w:t>
      </w:r>
      <w:r w:rsidR="00757EED" w:rsidRPr="008B5734">
        <w:rPr>
          <w:color w:val="0000FF"/>
          <w:spacing w:val="-3"/>
        </w:rPr>
        <w:t>XXX</w:t>
      </w:r>
      <w:r w:rsidRPr="00993B55">
        <w:rPr>
          <w:spacing w:val="-3"/>
        </w:rPr>
        <w:t xml:space="preserve"> MMBtu/hr</w:t>
      </w:r>
      <w:r w:rsidRPr="00993B55">
        <w:t xml:space="preserve">) </w:t>
      </w:r>
      <w:r w:rsidRPr="00993B55">
        <w:sym w:font="Symbol" w:char="F02A"/>
      </w:r>
      <w:r w:rsidRPr="00993B55">
        <w:t xml:space="preserve"> (24 hr/day)</w:t>
      </w:r>
    </w:p>
    <w:p w14:paraId="52641252" w14:textId="2F02169A" w:rsidR="000177D5" w:rsidRPr="00993B55" w:rsidRDefault="000177D5" w:rsidP="007A60F3">
      <w:pPr>
        <w:widowControl w:val="0"/>
        <w:tabs>
          <w:tab w:val="left" w:pos="1620"/>
          <w:tab w:val="left" w:pos="1890"/>
        </w:tabs>
        <w:ind w:left="720"/>
      </w:pPr>
      <w:r w:rsidRPr="00993B55">
        <w:tab/>
      </w:r>
      <w:r w:rsidRPr="00993B55">
        <w:tab/>
        <w:t>=</w:t>
      </w:r>
      <w:r w:rsidRPr="00993B55">
        <w:tab/>
      </w:r>
      <w:r w:rsidR="00757EED">
        <w:rPr>
          <w:color w:val="0000FF"/>
        </w:rPr>
        <w:t>X</w:t>
      </w:r>
      <w:r w:rsidR="00757EED" w:rsidRPr="001F1BDE">
        <w:rPr>
          <w:color w:val="0000FF"/>
        </w:rPr>
        <w:t>X.X</w:t>
      </w:r>
      <w:r w:rsidR="00757EED" w:rsidRPr="00993B55">
        <w:t xml:space="preserve"> </w:t>
      </w:r>
      <w:r w:rsidRPr="00993B55">
        <w:t>NO</w:t>
      </w:r>
      <w:r w:rsidR="00F82FA1">
        <w:t>x</w:t>
      </w:r>
      <w:r w:rsidRPr="00993B55">
        <w:t>/day</w:t>
      </w:r>
    </w:p>
    <w:p w14:paraId="641FB98A" w14:textId="77777777" w:rsidR="000177D5" w:rsidRPr="00993B55" w:rsidRDefault="000177D5" w:rsidP="007A60F3">
      <w:pPr>
        <w:widowControl w:val="0"/>
        <w:ind w:left="720"/>
      </w:pPr>
    </w:p>
    <w:p w14:paraId="301DD699" w14:textId="3057815A" w:rsidR="000177D5" w:rsidRPr="00993B55" w:rsidRDefault="000177D5" w:rsidP="007A60F3">
      <w:pPr>
        <w:widowControl w:val="0"/>
        <w:tabs>
          <w:tab w:val="left" w:pos="1620"/>
          <w:tab w:val="left" w:pos="1890"/>
        </w:tabs>
        <w:ind w:left="720"/>
      </w:pPr>
      <w:r w:rsidRPr="00993B55">
        <w:tab/>
      </w:r>
      <w:r w:rsidRPr="00993B55">
        <w:tab/>
        <w:t>=</w:t>
      </w:r>
      <w:r w:rsidRPr="00993B55">
        <w:tab/>
        <w:t>(</w:t>
      </w:r>
      <w:r w:rsidR="008B5734" w:rsidRPr="008B5734">
        <w:rPr>
          <w:color w:val="0000FF"/>
          <w:spacing w:val="-3"/>
        </w:rPr>
        <w:t>X.XXX</w:t>
      </w:r>
      <w:r w:rsidR="008B5734" w:rsidRPr="00993B55">
        <w:t xml:space="preserve"> </w:t>
      </w:r>
      <w:r w:rsidRPr="00993B55">
        <w:t xml:space="preserve">lb/MMBtu) </w:t>
      </w:r>
      <w:r w:rsidRPr="00993B55">
        <w:sym w:font="Symbol" w:char="F02A"/>
      </w:r>
      <w:r w:rsidRPr="00993B55">
        <w:t xml:space="preserve"> (</w:t>
      </w:r>
      <w:r w:rsidR="00757EED" w:rsidRPr="008B5734">
        <w:rPr>
          <w:color w:val="0000FF"/>
          <w:spacing w:val="-3"/>
        </w:rPr>
        <w:t>XXX</w:t>
      </w:r>
      <w:r w:rsidRPr="00993B55">
        <w:rPr>
          <w:spacing w:val="-3"/>
        </w:rPr>
        <w:t xml:space="preserve"> MMBtu/hr</w:t>
      </w:r>
      <w:r w:rsidRPr="00993B55">
        <w:t xml:space="preserve">) </w:t>
      </w:r>
      <w:r w:rsidRPr="00993B55">
        <w:sym w:font="Symbol" w:char="F02A"/>
      </w:r>
      <w:r w:rsidRPr="00993B55">
        <w:t xml:space="preserve"> (24 hr/day) </w:t>
      </w:r>
      <w:r w:rsidRPr="00993B55">
        <w:sym w:font="Symbol" w:char="F02A"/>
      </w:r>
      <w:r w:rsidRPr="00993B55">
        <w:t xml:space="preserve"> (365 day/year)</w:t>
      </w:r>
    </w:p>
    <w:p w14:paraId="03BE81E7" w14:textId="59356FCE" w:rsidR="000177D5" w:rsidRPr="00993B55" w:rsidRDefault="000177D5" w:rsidP="007A60F3">
      <w:pPr>
        <w:widowControl w:val="0"/>
        <w:tabs>
          <w:tab w:val="left" w:pos="1620"/>
          <w:tab w:val="left" w:pos="1890"/>
        </w:tabs>
        <w:ind w:left="720"/>
      </w:pPr>
      <w:r w:rsidRPr="00993B55">
        <w:tab/>
      </w:r>
      <w:r w:rsidRPr="00993B55">
        <w:tab/>
        <w:t>=</w:t>
      </w:r>
      <w:r w:rsidRPr="00993B55">
        <w:tab/>
      </w:r>
      <w:r w:rsidR="00757EED" w:rsidRPr="001B46BD">
        <w:rPr>
          <w:color w:val="0000FF"/>
        </w:rPr>
        <w:t>X,XXX</w:t>
      </w:r>
      <w:r w:rsidR="00757EED" w:rsidRPr="00993B55">
        <w:t xml:space="preserve"> </w:t>
      </w:r>
      <w:r w:rsidRPr="00993B55">
        <w:t>lb NO</w:t>
      </w:r>
      <w:r w:rsidR="00F82FA1">
        <w:t>x</w:t>
      </w:r>
      <w:r w:rsidRPr="00993B55">
        <w:t>/year</w:t>
      </w:r>
    </w:p>
    <w:p w14:paraId="3E8A37FC" w14:textId="77777777" w:rsidR="000177D5" w:rsidRPr="00993B55" w:rsidRDefault="000177D5" w:rsidP="007A60F3">
      <w:pPr>
        <w:widowControl w:val="0"/>
        <w:ind w:left="720"/>
        <w:rPr>
          <w:bCs/>
          <w:iCs/>
        </w:rPr>
      </w:pPr>
    </w:p>
    <w:p w14:paraId="579299CF" w14:textId="266B6E5B" w:rsidR="000177D5" w:rsidRPr="00993B55" w:rsidRDefault="000177D5" w:rsidP="007A60F3">
      <w:pPr>
        <w:widowControl w:val="0"/>
        <w:tabs>
          <w:tab w:val="left" w:pos="1620"/>
          <w:tab w:val="left" w:pos="1890"/>
        </w:tabs>
        <w:ind w:left="720"/>
      </w:pPr>
      <w:r w:rsidRPr="00993B55">
        <w:t>PE2</w:t>
      </w:r>
      <w:r w:rsidRPr="00993B55">
        <w:rPr>
          <w:vertAlign w:val="subscript"/>
        </w:rPr>
        <w:t>SOx</w:t>
      </w:r>
      <w:r w:rsidRPr="00993B55">
        <w:rPr>
          <w:vertAlign w:val="subscript"/>
        </w:rPr>
        <w:tab/>
      </w:r>
      <w:r w:rsidRPr="00993B55">
        <w:rPr>
          <w:vertAlign w:val="subscript"/>
        </w:rPr>
        <w:tab/>
      </w:r>
      <w:r w:rsidRPr="00993B55">
        <w:t>=</w:t>
      </w:r>
      <w:r w:rsidRPr="00993B55">
        <w:tab/>
        <w:t>(</w:t>
      </w:r>
      <w:r w:rsidR="008B5734" w:rsidRPr="008B5734">
        <w:rPr>
          <w:color w:val="0000FF"/>
          <w:spacing w:val="-3"/>
        </w:rPr>
        <w:t>X.XXX</w:t>
      </w:r>
      <w:r w:rsidR="008B5734" w:rsidRPr="00993B55">
        <w:rPr>
          <w:spacing w:val="-3"/>
        </w:rPr>
        <w:t xml:space="preserve"> </w:t>
      </w:r>
      <w:r w:rsidRPr="00993B55">
        <w:rPr>
          <w:spacing w:val="-3"/>
        </w:rPr>
        <w:t>lb/MMBtu</w:t>
      </w:r>
      <w:r w:rsidRPr="00993B55">
        <w:t xml:space="preserve">) </w:t>
      </w:r>
      <w:r w:rsidRPr="00993B55">
        <w:sym w:font="Symbol" w:char="F02A"/>
      </w:r>
      <w:r w:rsidRPr="00993B55">
        <w:t xml:space="preserve"> (</w:t>
      </w:r>
      <w:r w:rsidR="00757EED" w:rsidRPr="008B5734">
        <w:rPr>
          <w:color w:val="0000FF"/>
          <w:spacing w:val="-3"/>
        </w:rPr>
        <w:t>XXX</w:t>
      </w:r>
      <w:r w:rsidRPr="00993B55">
        <w:rPr>
          <w:spacing w:val="-3"/>
        </w:rPr>
        <w:t xml:space="preserve"> MMBtu/hr</w:t>
      </w:r>
      <w:r w:rsidRPr="00993B55">
        <w:t xml:space="preserve">) </w:t>
      </w:r>
      <w:r w:rsidRPr="00993B55">
        <w:sym w:font="Symbol" w:char="F02A"/>
      </w:r>
      <w:r w:rsidRPr="00993B55">
        <w:t xml:space="preserve"> (24 hr/day)</w:t>
      </w:r>
    </w:p>
    <w:p w14:paraId="2E237D2E" w14:textId="1023AE9A" w:rsidR="000177D5" w:rsidRPr="00993B55" w:rsidRDefault="000177D5" w:rsidP="007A60F3">
      <w:pPr>
        <w:widowControl w:val="0"/>
        <w:tabs>
          <w:tab w:val="left" w:pos="1620"/>
          <w:tab w:val="left" w:pos="1890"/>
        </w:tabs>
        <w:ind w:left="720"/>
      </w:pPr>
      <w:r w:rsidRPr="00993B55">
        <w:tab/>
      </w:r>
      <w:r w:rsidRPr="00993B55">
        <w:tab/>
        <w:t>=</w:t>
      </w:r>
      <w:r w:rsidRPr="00993B55">
        <w:tab/>
      </w:r>
      <w:r w:rsidR="00757EED">
        <w:rPr>
          <w:color w:val="0000FF"/>
        </w:rPr>
        <w:t>X</w:t>
      </w:r>
      <w:r w:rsidR="00757EED" w:rsidRPr="001F1BDE">
        <w:rPr>
          <w:color w:val="0000FF"/>
        </w:rPr>
        <w:t>X.X</w:t>
      </w:r>
      <w:r w:rsidR="00757EED" w:rsidRPr="00993B55">
        <w:t xml:space="preserve"> </w:t>
      </w:r>
      <w:r w:rsidRPr="00993B55">
        <w:t>lb SO</w:t>
      </w:r>
      <w:r w:rsidR="00F82FA1">
        <w:t>x</w:t>
      </w:r>
      <w:r w:rsidRPr="00993B55">
        <w:t>/day</w:t>
      </w:r>
    </w:p>
    <w:p w14:paraId="22862587" w14:textId="77777777" w:rsidR="000177D5" w:rsidRPr="00993B55" w:rsidRDefault="000177D5" w:rsidP="007A60F3">
      <w:pPr>
        <w:widowControl w:val="0"/>
        <w:ind w:left="720"/>
      </w:pPr>
    </w:p>
    <w:p w14:paraId="0F5A8164" w14:textId="69BB0D4B" w:rsidR="000177D5" w:rsidRPr="00993B55" w:rsidRDefault="000177D5" w:rsidP="007A60F3">
      <w:pPr>
        <w:widowControl w:val="0"/>
        <w:tabs>
          <w:tab w:val="left" w:pos="1620"/>
          <w:tab w:val="left" w:pos="1890"/>
        </w:tabs>
        <w:ind w:left="720"/>
      </w:pPr>
      <w:r w:rsidRPr="00993B55">
        <w:tab/>
      </w:r>
      <w:r w:rsidRPr="00993B55">
        <w:tab/>
        <w:t>=</w:t>
      </w:r>
      <w:r w:rsidRPr="00993B55">
        <w:tab/>
        <w:t>(</w:t>
      </w:r>
      <w:r w:rsidR="008B5734" w:rsidRPr="008B5734">
        <w:rPr>
          <w:color w:val="0000FF"/>
          <w:spacing w:val="-3"/>
        </w:rPr>
        <w:t>X.XXX</w:t>
      </w:r>
      <w:r w:rsidR="008B5734" w:rsidRPr="00993B55">
        <w:rPr>
          <w:spacing w:val="-3"/>
        </w:rPr>
        <w:t xml:space="preserve"> </w:t>
      </w:r>
      <w:r w:rsidRPr="00993B55">
        <w:rPr>
          <w:spacing w:val="-3"/>
        </w:rPr>
        <w:t>lb/MMBtu</w:t>
      </w:r>
      <w:r w:rsidRPr="00993B55">
        <w:t xml:space="preserve">) </w:t>
      </w:r>
      <w:r w:rsidRPr="00993B55">
        <w:sym w:font="Symbol" w:char="F02A"/>
      </w:r>
      <w:r w:rsidRPr="00993B55">
        <w:t xml:space="preserve"> (</w:t>
      </w:r>
      <w:r w:rsidR="00757EED" w:rsidRPr="008B5734">
        <w:rPr>
          <w:color w:val="0000FF"/>
          <w:spacing w:val="-3"/>
        </w:rPr>
        <w:t>XXX</w:t>
      </w:r>
      <w:r w:rsidRPr="00993B55">
        <w:rPr>
          <w:spacing w:val="-3"/>
        </w:rPr>
        <w:t xml:space="preserve"> MMBtu/hr</w:t>
      </w:r>
      <w:r w:rsidRPr="00993B55">
        <w:t xml:space="preserve">) </w:t>
      </w:r>
      <w:r w:rsidRPr="00993B55">
        <w:sym w:font="Symbol" w:char="F02A"/>
      </w:r>
      <w:r w:rsidRPr="00993B55">
        <w:t xml:space="preserve"> (24 hr/day) </w:t>
      </w:r>
      <w:r w:rsidRPr="00993B55">
        <w:sym w:font="Symbol" w:char="F02A"/>
      </w:r>
      <w:r w:rsidRPr="00993B55">
        <w:t xml:space="preserve"> (365 day/year)</w:t>
      </w:r>
    </w:p>
    <w:p w14:paraId="1E228889" w14:textId="3C3E7A3B" w:rsidR="000177D5" w:rsidRPr="00993B55" w:rsidRDefault="000177D5" w:rsidP="007A60F3">
      <w:pPr>
        <w:widowControl w:val="0"/>
        <w:tabs>
          <w:tab w:val="left" w:pos="1620"/>
          <w:tab w:val="left" w:pos="1890"/>
        </w:tabs>
        <w:ind w:left="720"/>
      </w:pPr>
      <w:r w:rsidRPr="00993B55">
        <w:tab/>
      </w:r>
      <w:r w:rsidRPr="00993B55">
        <w:tab/>
        <w:t>=</w:t>
      </w:r>
      <w:r w:rsidRPr="00993B55">
        <w:tab/>
      </w:r>
      <w:r w:rsidR="00E83B04" w:rsidRPr="001B46BD">
        <w:rPr>
          <w:color w:val="0000FF"/>
        </w:rPr>
        <w:t>X,XXX</w:t>
      </w:r>
      <w:r w:rsidR="00E83B04" w:rsidRPr="00993B55">
        <w:t xml:space="preserve"> </w:t>
      </w:r>
      <w:r w:rsidRPr="00993B55">
        <w:t>lb SO</w:t>
      </w:r>
      <w:r w:rsidR="00F82FA1">
        <w:t>x</w:t>
      </w:r>
      <w:r w:rsidRPr="00993B55">
        <w:t>/year</w:t>
      </w:r>
    </w:p>
    <w:p w14:paraId="2DDCB3E1" w14:textId="77777777" w:rsidR="000177D5" w:rsidRPr="00993B55" w:rsidRDefault="000177D5" w:rsidP="007A60F3">
      <w:pPr>
        <w:widowControl w:val="0"/>
        <w:tabs>
          <w:tab w:val="left" w:pos="1800"/>
          <w:tab w:val="left" w:pos="2070"/>
        </w:tabs>
        <w:ind w:left="720"/>
      </w:pPr>
    </w:p>
    <w:p w14:paraId="06ED9CDA" w14:textId="56F5960D" w:rsidR="000177D5" w:rsidRPr="00993B55" w:rsidRDefault="000177D5" w:rsidP="007A60F3">
      <w:pPr>
        <w:widowControl w:val="0"/>
        <w:tabs>
          <w:tab w:val="left" w:pos="1620"/>
          <w:tab w:val="left" w:pos="1890"/>
        </w:tabs>
        <w:ind w:left="720"/>
      </w:pPr>
      <w:r w:rsidRPr="00993B55">
        <w:t>PE2</w:t>
      </w:r>
      <w:r w:rsidRPr="00993B55">
        <w:rPr>
          <w:vertAlign w:val="subscript"/>
        </w:rPr>
        <w:t>PM10</w:t>
      </w:r>
      <w:r w:rsidRPr="00993B55">
        <w:rPr>
          <w:vertAlign w:val="subscript"/>
        </w:rPr>
        <w:tab/>
      </w:r>
      <w:r w:rsidRPr="00993B55">
        <w:rPr>
          <w:vertAlign w:val="subscript"/>
        </w:rPr>
        <w:tab/>
      </w:r>
      <w:r w:rsidRPr="00993B55">
        <w:t>=</w:t>
      </w:r>
      <w:r w:rsidRPr="00993B55">
        <w:tab/>
        <w:t>(</w:t>
      </w:r>
      <w:r w:rsidR="008B5734" w:rsidRPr="008B5734">
        <w:rPr>
          <w:color w:val="0000FF"/>
          <w:spacing w:val="-3"/>
        </w:rPr>
        <w:t>X.XXX</w:t>
      </w:r>
      <w:r w:rsidR="008B5734" w:rsidRPr="00993B55">
        <w:rPr>
          <w:spacing w:val="-3"/>
        </w:rPr>
        <w:t xml:space="preserve"> </w:t>
      </w:r>
      <w:r w:rsidRPr="00993B55">
        <w:rPr>
          <w:spacing w:val="-3"/>
        </w:rPr>
        <w:t>lb/MMBtu</w:t>
      </w:r>
      <w:r w:rsidRPr="00993B55">
        <w:t xml:space="preserve">) </w:t>
      </w:r>
      <w:r w:rsidRPr="00993B55">
        <w:sym w:font="Symbol" w:char="F02A"/>
      </w:r>
      <w:r w:rsidRPr="00993B55">
        <w:t xml:space="preserve"> (</w:t>
      </w:r>
      <w:r w:rsidR="00757EED" w:rsidRPr="008B5734">
        <w:rPr>
          <w:color w:val="0000FF"/>
          <w:spacing w:val="-3"/>
        </w:rPr>
        <w:t>XXX</w:t>
      </w:r>
      <w:r w:rsidRPr="00993B55">
        <w:rPr>
          <w:spacing w:val="-3"/>
        </w:rPr>
        <w:t xml:space="preserve"> MMBtu/hr</w:t>
      </w:r>
      <w:r w:rsidRPr="00993B55">
        <w:t xml:space="preserve">) </w:t>
      </w:r>
      <w:r w:rsidRPr="00993B55">
        <w:sym w:font="Symbol" w:char="F02A"/>
      </w:r>
      <w:r w:rsidRPr="00993B55">
        <w:t xml:space="preserve"> (24 hr/day)</w:t>
      </w:r>
    </w:p>
    <w:p w14:paraId="64A71010" w14:textId="2C80312A" w:rsidR="000177D5" w:rsidRPr="00993B55" w:rsidRDefault="000177D5" w:rsidP="007A60F3">
      <w:pPr>
        <w:widowControl w:val="0"/>
        <w:tabs>
          <w:tab w:val="left" w:pos="1620"/>
          <w:tab w:val="left" w:pos="1890"/>
        </w:tabs>
        <w:ind w:left="720"/>
      </w:pPr>
      <w:r w:rsidRPr="00993B55">
        <w:tab/>
      </w:r>
      <w:r w:rsidRPr="00993B55">
        <w:tab/>
        <w:t>=</w:t>
      </w:r>
      <w:r w:rsidRPr="00993B55">
        <w:tab/>
      </w:r>
      <w:r w:rsidR="00757EED">
        <w:rPr>
          <w:color w:val="0000FF"/>
        </w:rPr>
        <w:t>X</w:t>
      </w:r>
      <w:r w:rsidR="00757EED" w:rsidRPr="001F1BDE">
        <w:rPr>
          <w:color w:val="0000FF"/>
        </w:rPr>
        <w:t>X.X</w:t>
      </w:r>
      <w:r w:rsidR="00757EED" w:rsidRPr="00993B55">
        <w:t xml:space="preserve"> </w:t>
      </w:r>
      <w:r w:rsidRPr="00993B55">
        <w:t>lb PM</w:t>
      </w:r>
      <w:r w:rsidR="00F82FA1">
        <w:t>10</w:t>
      </w:r>
      <w:r w:rsidRPr="00993B55">
        <w:t>/day</w:t>
      </w:r>
    </w:p>
    <w:p w14:paraId="782030D7" w14:textId="77777777" w:rsidR="000177D5" w:rsidRPr="00993B55" w:rsidRDefault="000177D5" w:rsidP="007A60F3">
      <w:pPr>
        <w:widowControl w:val="0"/>
        <w:ind w:left="720"/>
      </w:pPr>
    </w:p>
    <w:p w14:paraId="05FEB20D" w14:textId="6543499A" w:rsidR="000177D5" w:rsidRPr="00993B55" w:rsidRDefault="000177D5" w:rsidP="007A60F3">
      <w:pPr>
        <w:widowControl w:val="0"/>
        <w:tabs>
          <w:tab w:val="left" w:pos="1620"/>
          <w:tab w:val="left" w:pos="1890"/>
        </w:tabs>
        <w:ind w:left="720"/>
      </w:pPr>
      <w:r w:rsidRPr="00993B55">
        <w:tab/>
      </w:r>
      <w:r w:rsidRPr="00993B55">
        <w:tab/>
        <w:t>=</w:t>
      </w:r>
      <w:r w:rsidRPr="00993B55">
        <w:tab/>
        <w:t>(</w:t>
      </w:r>
      <w:r w:rsidR="008B5734" w:rsidRPr="008B5734">
        <w:rPr>
          <w:color w:val="0000FF"/>
          <w:spacing w:val="-3"/>
        </w:rPr>
        <w:t>X.XXX</w:t>
      </w:r>
      <w:r w:rsidR="008B5734" w:rsidRPr="00993B55">
        <w:rPr>
          <w:spacing w:val="-3"/>
        </w:rPr>
        <w:t xml:space="preserve"> </w:t>
      </w:r>
      <w:r w:rsidRPr="00993B55">
        <w:rPr>
          <w:spacing w:val="-3"/>
        </w:rPr>
        <w:t>lb/MMBtu</w:t>
      </w:r>
      <w:r w:rsidRPr="00993B55">
        <w:t xml:space="preserve">) </w:t>
      </w:r>
      <w:r w:rsidRPr="00993B55">
        <w:sym w:font="Symbol" w:char="F02A"/>
      </w:r>
      <w:r w:rsidRPr="00993B55">
        <w:t xml:space="preserve"> (</w:t>
      </w:r>
      <w:r w:rsidR="00757EED" w:rsidRPr="008B5734">
        <w:rPr>
          <w:color w:val="0000FF"/>
          <w:spacing w:val="-3"/>
        </w:rPr>
        <w:t>XXX</w:t>
      </w:r>
      <w:r w:rsidR="00757EED" w:rsidRPr="00993B55">
        <w:rPr>
          <w:spacing w:val="-3"/>
        </w:rPr>
        <w:t xml:space="preserve"> </w:t>
      </w:r>
      <w:r w:rsidRPr="00993B55">
        <w:rPr>
          <w:spacing w:val="-3"/>
        </w:rPr>
        <w:t>MMBtu/hr</w:t>
      </w:r>
      <w:r w:rsidRPr="00993B55">
        <w:t xml:space="preserve">) </w:t>
      </w:r>
      <w:r w:rsidRPr="00993B55">
        <w:sym w:font="Symbol" w:char="F02A"/>
      </w:r>
      <w:r w:rsidRPr="00993B55">
        <w:t xml:space="preserve"> (24 hr/day) </w:t>
      </w:r>
      <w:r w:rsidRPr="00993B55">
        <w:sym w:font="Symbol" w:char="F02A"/>
      </w:r>
      <w:r w:rsidRPr="00993B55">
        <w:t xml:space="preserve"> (365 day/year)</w:t>
      </w:r>
    </w:p>
    <w:p w14:paraId="17015FA3" w14:textId="1F60EEF4" w:rsidR="000177D5" w:rsidRPr="00993B55" w:rsidRDefault="000177D5" w:rsidP="007A60F3">
      <w:pPr>
        <w:widowControl w:val="0"/>
        <w:tabs>
          <w:tab w:val="left" w:pos="1620"/>
          <w:tab w:val="left" w:pos="1890"/>
        </w:tabs>
        <w:ind w:left="720"/>
      </w:pPr>
      <w:r w:rsidRPr="00993B55">
        <w:tab/>
      </w:r>
      <w:r w:rsidRPr="00993B55">
        <w:tab/>
        <w:t>=</w:t>
      </w:r>
      <w:r w:rsidRPr="00993B55">
        <w:tab/>
      </w:r>
      <w:r w:rsidR="00E83B04" w:rsidRPr="001B46BD">
        <w:rPr>
          <w:color w:val="0000FF"/>
        </w:rPr>
        <w:t>X,XXX</w:t>
      </w:r>
      <w:r w:rsidR="00757EED" w:rsidRPr="00993B55">
        <w:t xml:space="preserve"> </w:t>
      </w:r>
      <w:r w:rsidRPr="00993B55">
        <w:t>lb PM</w:t>
      </w:r>
      <w:r w:rsidR="00F82FA1">
        <w:t>10</w:t>
      </w:r>
      <w:r w:rsidRPr="00993B55">
        <w:t>/year</w:t>
      </w:r>
    </w:p>
    <w:p w14:paraId="2ABEAB8F" w14:textId="77777777" w:rsidR="000177D5" w:rsidRPr="00993B55" w:rsidRDefault="000177D5" w:rsidP="007A60F3">
      <w:pPr>
        <w:widowControl w:val="0"/>
        <w:ind w:left="720"/>
      </w:pPr>
    </w:p>
    <w:p w14:paraId="6FC86164" w14:textId="7683481F" w:rsidR="000177D5" w:rsidRPr="00993B55" w:rsidRDefault="000177D5" w:rsidP="007A60F3">
      <w:pPr>
        <w:widowControl w:val="0"/>
        <w:tabs>
          <w:tab w:val="left" w:pos="1620"/>
          <w:tab w:val="left" w:pos="1890"/>
        </w:tabs>
        <w:ind w:left="720"/>
      </w:pPr>
      <w:r w:rsidRPr="00993B55">
        <w:lastRenderedPageBreak/>
        <w:t>PE2</w:t>
      </w:r>
      <w:r w:rsidRPr="00993B55">
        <w:rPr>
          <w:vertAlign w:val="subscript"/>
        </w:rPr>
        <w:t>CO</w:t>
      </w:r>
      <w:r w:rsidRPr="00993B55">
        <w:rPr>
          <w:vertAlign w:val="subscript"/>
        </w:rPr>
        <w:tab/>
      </w:r>
      <w:r w:rsidRPr="00993B55">
        <w:rPr>
          <w:vertAlign w:val="subscript"/>
        </w:rPr>
        <w:tab/>
      </w:r>
      <w:r w:rsidRPr="00993B55">
        <w:t>=</w:t>
      </w:r>
      <w:r w:rsidRPr="00993B55">
        <w:tab/>
        <w:t>(</w:t>
      </w:r>
      <w:r w:rsidR="008B5734" w:rsidRPr="008B5734">
        <w:rPr>
          <w:color w:val="0000FF"/>
          <w:spacing w:val="-3"/>
        </w:rPr>
        <w:t>X.XXX</w:t>
      </w:r>
      <w:r w:rsidR="008B5734" w:rsidRPr="00993B55">
        <w:rPr>
          <w:spacing w:val="-3"/>
        </w:rPr>
        <w:t xml:space="preserve"> </w:t>
      </w:r>
      <w:r w:rsidRPr="00993B55">
        <w:rPr>
          <w:spacing w:val="-3"/>
        </w:rPr>
        <w:t>lb/MMBtu</w:t>
      </w:r>
      <w:r w:rsidRPr="00993B55">
        <w:t xml:space="preserve">) </w:t>
      </w:r>
      <w:r w:rsidRPr="00993B55">
        <w:sym w:font="Symbol" w:char="F02A"/>
      </w:r>
      <w:r w:rsidRPr="00993B55">
        <w:t xml:space="preserve"> (</w:t>
      </w:r>
      <w:r w:rsidR="00757EED" w:rsidRPr="008B5734">
        <w:rPr>
          <w:color w:val="0000FF"/>
          <w:spacing w:val="-3"/>
        </w:rPr>
        <w:t>XXX</w:t>
      </w:r>
      <w:r w:rsidRPr="00993B55">
        <w:rPr>
          <w:spacing w:val="-3"/>
        </w:rPr>
        <w:t xml:space="preserve"> MMBtu/hr</w:t>
      </w:r>
      <w:r w:rsidRPr="00993B55">
        <w:t xml:space="preserve">) </w:t>
      </w:r>
      <w:r w:rsidRPr="00993B55">
        <w:sym w:font="Symbol" w:char="F02A"/>
      </w:r>
      <w:r w:rsidRPr="00993B55">
        <w:t xml:space="preserve"> (24 hr/day)</w:t>
      </w:r>
    </w:p>
    <w:p w14:paraId="754D2E5D" w14:textId="0761BB69" w:rsidR="000177D5" w:rsidRPr="00993B55" w:rsidRDefault="000177D5" w:rsidP="007A60F3">
      <w:pPr>
        <w:widowControl w:val="0"/>
        <w:tabs>
          <w:tab w:val="left" w:pos="1620"/>
          <w:tab w:val="left" w:pos="1890"/>
        </w:tabs>
        <w:ind w:left="720"/>
      </w:pPr>
      <w:r w:rsidRPr="00993B55">
        <w:tab/>
      </w:r>
      <w:r w:rsidRPr="00993B55">
        <w:tab/>
        <w:t>=</w:t>
      </w:r>
      <w:r w:rsidRPr="00993B55">
        <w:tab/>
      </w:r>
      <w:r w:rsidR="00757EED">
        <w:rPr>
          <w:color w:val="0000FF"/>
        </w:rPr>
        <w:t>X</w:t>
      </w:r>
      <w:r w:rsidR="00757EED" w:rsidRPr="001F1BDE">
        <w:rPr>
          <w:color w:val="0000FF"/>
        </w:rPr>
        <w:t>X.X</w:t>
      </w:r>
      <w:r w:rsidR="00757EED" w:rsidRPr="00993B55">
        <w:t xml:space="preserve"> </w:t>
      </w:r>
      <w:r w:rsidRPr="00993B55">
        <w:t>lb CO/day</w:t>
      </w:r>
    </w:p>
    <w:p w14:paraId="3C0A126B" w14:textId="77777777" w:rsidR="006B0475" w:rsidRDefault="006B0475" w:rsidP="006B0475">
      <w:pPr>
        <w:widowControl w:val="0"/>
        <w:ind w:left="720"/>
      </w:pPr>
    </w:p>
    <w:p w14:paraId="58723EC3" w14:textId="402D00CF" w:rsidR="000177D5" w:rsidRPr="00993B55" w:rsidRDefault="000177D5" w:rsidP="007A60F3">
      <w:pPr>
        <w:widowControl w:val="0"/>
        <w:ind w:left="720" w:firstLine="1170"/>
      </w:pPr>
      <w:r w:rsidRPr="00993B55">
        <w:t>=</w:t>
      </w:r>
      <w:r w:rsidRPr="00993B55">
        <w:tab/>
      </w:r>
      <w:r w:rsidR="008B5734" w:rsidRPr="008B5734">
        <w:rPr>
          <w:color w:val="0000FF"/>
          <w:spacing w:val="-3"/>
        </w:rPr>
        <w:t>X.XXX</w:t>
      </w:r>
      <w:r w:rsidR="008B5734" w:rsidRPr="00993B55">
        <w:rPr>
          <w:spacing w:val="-3"/>
        </w:rPr>
        <w:t xml:space="preserve"> </w:t>
      </w:r>
      <w:r w:rsidRPr="00993B55">
        <w:rPr>
          <w:spacing w:val="-3"/>
        </w:rPr>
        <w:t>lb/MMBtu</w:t>
      </w:r>
      <w:r w:rsidRPr="00993B55">
        <w:t xml:space="preserve">) </w:t>
      </w:r>
      <w:r w:rsidRPr="00993B55">
        <w:sym w:font="Symbol" w:char="F02A"/>
      </w:r>
      <w:r w:rsidRPr="00993B55">
        <w:t xml:space="preserve"> (</w:t>
      </w:r>
      <w:r w:rsidR="00757EED" w:rsidRPr="008B5734">
        <w:rPr>
          <w:color w:val="0000FF"/>
          <w:spacing w:val="-3"/>
        </w:rPr>
        <w:t>XXX</w:t>
      </w:r>
      <w:r w:rsidRPr="00993B55">
        <w:rPr>
          <w:spacing w:val="-3"/>
        </w:rPr>
        <w:t xml:space="preserve"> MMBtu/hr</w:t>
      </w:r>
      <w:r w:rsidRPr="00993B55">
        <w:t xml:space="preserve">) </w:t>
      </w:r>
      <w:r w:rsidRPr="00993B55">
        <w:sym w:font="Symbol" w:char="F02A"/>
      </w:r>
      <w:r w:rsidRPr="00993B55">
        <w:t xml:space="preserve"> (24 hr/day) </w:t>
      </w:r>
      <w:r w:rsidRPr="00993B55">
        <w:sym w:font="Symbol" w:char="F02A"/>
      </w:r>
      <w:r w:rsidRPr="00993B55">
        <w:t xml:space="preserve"> (365 day/year)</w:t>
      </w:r>
    </w:p>
    <w:p w14:paraId="31DEA0B3" w14:textId="0902BBE6" w:rsidR="000177D5" w:rsidRPr="00993B55" w:rsidRDefault="000177D5" w:rsidP="007A60F3">
      <w:pPr>
        <w:widowControl w:val="0"/>
        <w:tabs>
          <w:tab w:val="left" w:pos="1620"/>
          <w:tab w:val="left" w:pos="1890"/>
        </w:tabs>
        <w:ind w:left="720"/>
      </w:pPr>
      <w:r w:rsidRPr="00993B55">
        <w:tab/>
      </w:r>
      <w:r w:rsidRPr="00993B55">
        <w:tab/>
        <w:t>=</w:t>
      </w:r>
      <w:r w:rsidRPr="00993B55">
        <w:tab/>
      </w:r>
      <w:r w:rsidR="00E83B04" w:rsidRPr="001B46BD">
        <w:rPr>
          <w:color w:val="0000FF"/>
        </w:rPr>
        <w:t>X,XXX</w:t>
      </w:r>
      <w:r w:rsidR="00E83B04" w:rsidRPr="00993B55">
        <w:t xml:space="preserve"> </w:t>
      </w:r>
      <w:r w:rsidRPr="00993B55">
        <w:t>lb CO/year</w:t>
      </w:r>
    </w:p>
    <w:p w14:paraId="44C7AF0C" w14:textId="77777777" w:rsidR="000177D5" w:rsidRPr="00993B55" w:rsidRDefault="000177D5" w:rsidP="007A60F3">
      <w:pPr>
        <w:widowControl w:val="0"/>
        <w:ind w:left="720"/>
      </w:pPr>
    </w:p>
    <w:p w14:paraId="3B9325CB" w14:textId="17EF0582" w:rsidR="000177D5" w:rsidRPr="00993B55" w:rsidRDefault="000177D5" w:rsidP="007A60F3">
      <w:pPr>
        <w:widowControl w:val="0"/>
        <w:tabs>
          <w:tab w:val="left" w:pos="1620"/>
          <w:tab w:val="left" w:pos="1890"/>
        </w:tabs>
        <w:ind w:left="720"/>
      </w:pPr>
      <w:r w:rsidRPr="00993B55">
        <w:t>PE2</w:t>
      </w:r>
      <w:r w:rsidRPr="00993B55">
        <w:rPr>
          <w:vertAlign w:val="subscript"/>
        </w:rPr>
        <w:t>VOC</w:t>
      </w:r>
      <w:r w:rsidRPr="00993B55">
        <w:rPr>
          <w:vertAlign w:val="subscript"/>
        </w:rPr>
        <w:tab/>
      </w:r>
      <w:r w:rsidRPr="00993B55">
        <w:rPr>
          <w:vertAlign w:val="subscript"/>
        </w:rPr>
        <w:tab/>
      </w:r>
      <w:r w:rsidRPr="00993B55">
        <w:t>=</w:t>
      </w:r>
      <w:r w:rsidRPr="00993B55">
        <w:tab/>
        <w:t>(</w:t>
      </w:r>
      <w:r w:rsidR="006B0475" w:rsidRPr="008B5734">
        <w:rPr>
          <w:color w:val="0000FF"/>
          <w:spacing w:val="-3"/>
        </w:rPr>
        <w:t>X.XXX</w:t>
      </w:r>
      <w:r w:rsidR="006B0475" w:rsidRPr="00993B55">
        <w:rPr>
          <w:spacing w:val="-3"/>
        </w:rPr>
        <w:t xml:space="preserve"> </w:t>
      </w:r>
      <w:r w:rsidRPr="00993B55">
        <w:rPr>
          <w:spacing w:val="-3"/>
        </w:rPr>
        <w:t>lb/MMBtu</w:t>
      </w:r>
      <w:r w:rsidRPr="00993B55">
        <w:t xml:space="preserve">) </w:t>
      </w:r>
      <w:r w:rsidRPr="00993B55">
        <w:sym w:font="Symbol" w:char="F02A"/>
      </w:r>
      <w:r w:rsidRPr="00993B55">
        <w:t xml:space="preserve"> (</w:t>
      </w:r>
      <w:r w:rsidR="00757EED" w:rsidRPr="008B5734">
        <w:rPr>
          <w:color w:val="0000FF"/>
          <w:spacing w:val="-3"/>
        </w:rPr>
        <w:t>XXX</w:t>
      </w:r>
      <w:r w:rsidRPr="00993B55">
        <w:rPr>
          <w:spacing w:val="-3"/>
        </w:rPr>
        <w:t xml:space="preserve"> MMBtu/hr</w:t>
      </w:r>
      <w:r w:rsidRPr="00993B55">
        <w:t xml:space="preserve">) </w:t>
      </w:r>
      <w:r w:rsidRPr="00993B55">
        <w:sym w:font="Symbol" w:char="F02A"/>
      </w:r>
      <w:r w:rsidRPr="00993B55">
        <w:t xml:space="preserve"> (24 hr/day)</w:t>
      </w:r>
    </w:p>
    <w:p w14:paraId="171DACB3" w14:textId="76AD0AFB" w:rsidR="000177D5" w:rsidRPr="00993B55" w:rsidRDefault="000177D5" w:rsidP="007A60F3">
      <w:pPr>
        <w:widowControl w:val="0"/>
        <w:tabs>
          <w:tab w:val="left" w:pos="1620"/>
          <w:tab w:val="left" w:pos="1890"/>
        </w:tabs>
        <w:ind w:left="720"/>
      </w:pPr>
      <w:r w:rsidRPr="00993B55">
        <w:tab/>
      </w:r>
      <w:r w:rsidRPr="00993B55">
        <w:tab/>
        <w:t>=</w:t>
      </w:r>
      <w:r w:rsidRPr="00993B55">
        <w:tab/>
      </w:r>
      <w:r w:rsidR="00757EED">
        <w:rPr>
          <w:color w:val="0000FF"/>
        </w:rPr>
        <w:t>X</w:t>
      </w:r>
      <w:r w:rsidR="00757EED" w:rsidRPr="001F1BDE">
        <w:rPr>
          <w:color w:val="0000FF"/>
        </w:rPr>
        <w:t>X.X</w:t>
      </w:r>
      <w:r w:rsidR="00757EED" w:rsidRPr="00993B55">
        <w:t xml:space="preserve"> </w:t>
      </w:r>
      <w:r w:rsidRPr="00993B55">
        <w:t>lb VOC/day</w:t>
      </w:r>
    </w:p>
    <w:p w14:paraId="6876FB3C" w14:textId="77777777" w:rsidR="000177D5" w:rsidRPr="00993B55" w:rsidRDefault="000177D5" w:rsidP="007A60F3">
      <w:pPr>
        <w:widowControl w:val="0"/>
        <w:ind w:left="720"/>
      </w:pPr>
    </w:p>
    <w:p w14:paraId="37910D15" w14:textId="3A9DBBD4" w:rsidR="000177D5" w:rsidRPr="00993B55" w:rsidRDefault="000177D5" w:rsidP="007A60F3">
      <w:pPr>
        <w:widowControl w:val="0"/>
        <w:tabs>
          <w:tab w:val="left" w:pos="1620"/>
          <w:tab w:val="left" w:pos="1890"/>
        </w:tabs>
        <w:ind w:left="720"/>
      </w:pPr>
      <w:r w:rsidRPr="00993B55">
        <w:tab/>
      </w:r>
      <w:r w:rsidRPr="00993B55">
        <w:tab/>
        <w:t>=</w:t>
      </w:r>
      <w:r w:rsidRPr="00993B55">
        <w:tab/>
        <w:t>(</w:t>
      </w:r>
      <w:r w:rsidR="006B0475" w:rsidRPr="008B5734">
        <w:rPr>
          <w:color w:val="0000FF"/>
          <w:spacing w:val="-3"/>
        </w:rPr>
        <w:t>X.XXX</w:t>
      </w:r>
      <w:r w:rsidR="006B0475" w:rsidRPr="00993B55">
        <w:rPr>
          <w:spacing w:val="-3"/>
        </w:rPr>
        <w:t xml:space="preserve"> </w:t>
      </w:r>
      <w:r w:rsidRPr="00993B55">
        <w:rPr>
          <w:spacing w:val="-3"/>
        </w:rPr>
        <w:t>lb/MMBtu</w:t>
      </w:r>
      <w:r w:rsidRPr="00993B55">
        <w:t xml:space="preserve">) </w:t>
      </w:r>
      <w:r w:rsidRPr="00993B55">
        <w:sym w:font="Symbol" w:char="F02A"/>
      </w:r>
      <w:r w:rsidRPr="00993B55">
        <w:t xml:space="preserve"> (</w:t>
      </w:r>
      <w:r w:rsidR="00757EED" w:rsidRPr="008B5734">
        <w:rPr>
          <w:color w:val="0000FF"/>
          <w:spacing w:val="-3"/>
        </w:rPr>
        <w:t>XXX</w:t>
      </w:r>
      <w:r w:rsidRPr="00993B55">
        <w:rPr>
          <w:spacing w:val="-3"/>
        </w:rPr>
        <w:t xml:space="preserve"> MMBtu/hr</w:t>
      </w:r>
      <w:r w:rsidRPr="00993B55">
        <w:t xml:space="preserve">) </w:t>
      </w:r>
      <w:r w:rsidRPr="00993B55">
        <w:sym w:font="Symbol" w:char="F02A"/>
      </w:r>
      <w:r w:rsidRPr="00993B55">
        <w:t xml:space="preserve"> (24 hr/day) </w:t>
      </w:r>
      <w:r w:rsidRPr="00993B55">
        <w:sym w:font="Symbol" w:char="F02A"/>
      </w:r>
      <w:r w:rsidRPr="00993B55">
        <w:t xml:space="preserve"> (365 day/year)</w:t>
      </w:r>
    </w:p>
    <w:p w14:paraId="52AFA1C4" w14:textId="1D9CF563" w:rsidR="000177D5" w:rsidRPr="00993B55" w:rsidRDefault="000177D5" w:rsidP="007A60F3">
      <w:pPr>
        <w:widowControl w:val="0"/>
        <w:tabs>
          <w:tab w:val="left" w:pos="1620"/>
          <w:tab w:val="left" w:pos="1890"/>
        </w:tabs>
        <w:ind w:left="720"/>
      </w:pPr>
      <w:r w:rsidRPr="00993B55">
        <w:tab/>
      </w:r>
      <w:r w:rsidRPr="00993B55">
        <w:tab/>
        <w:t>=</w:t>
      </w:r>
      <w:r w:rsidRPr="00993B55">
        <w:tab/>
      </w:r>
      <w:r w:rsidR="00E83B04" w:rsidRPr="001B46BD">
        <w:rPr>
          <w:color w:val="0000FF"/>
        </w:rPr>
        <w:t>X,XXX</w:t>
      </w:r>
      <w:r w:rsidR="00E83B04" w:rsidRPr="00993B55">
        <w:t xml:space="preserve"> </w:t>
      </w:r>
      <w:r w:rsidRPr="00993B55">
        <w:t>lb VOC/year</w:t>
      </w:r>
    </w:p>
    <w:p w14:paraId="36DDAC74" w14:textId="77777777" w:rsidR="000177D5" w:rsidRPr="00993B55" w:rsidRDefault="000177D5" w:rsidP="007A60F3">
      <w:pPr>
        <w:widowControl w:val="0"/>
        <w:ind w:left="720"/>
        <w:rPr>
          <w:color w:val="000000"/>
        </w:rPr>
      </w:pPr>
    </w:p>
    <w:tbl>
      <w:tblPr>
        <w:tblStyle w:val="TableGrid"/>
        <w:tblW w:w="0" w:type="auto"/>
        <w:tblInd w:w="805" w:type="dxa"/>
        <w:tblLook w:val="04A0" w:firstRow="1" w:lastRow="0" w:firstColumn="1" w:lastColumn="0" w:noHBand="0" w:noVBand="1"/>
      </w:tblPr>
      <w:tblGrid>
        <w:gridCol w:w="1980"/>
        <w:gridCol w:w="2340"/>
        <w:gridCol w:w="2790"/>
      </w:tblGrid>
      <w:tr w:rsidR="00A52630" w14:paraId="3FAFD0A7" w14:textId="77777777" w:rsidTr="00FE425F">
        <w:trPr>
          <w:trHeight w:val="418"/>
        </w:trPr>
        <w:tc>
          <w:tcPr>
            <w:tcW w:w="7110" w:type="dxa"/>
            <w:gridSpan w:val="3"/>
            <w:shd w:val="clear" w:color="auto" w:fill="D9D9D9" w:themeFill="background1" w:themeFillShade="D9"/>
            <w:vAlign w:val="center"/>
          </w:tcPr>
          <w:bookmarkEnd w:id="1"/>
          <w:p w14:paraId="787F1E06" w14:textId="4F6E4965" w:rsidR="00A52630" w:rsidRPr="0017553D" w:rsidRDefault="00A52630" w:rsidP="000E391A">
            <w:pPr>
              <w:keepNext/>
              <w:jc w:val="center"/>
              <w:rPr>
                <w:b/>
                <w:bCs/>
              </w:rPr>
            </w:pPr>
            <w:r w:rsidRPr="0017553D">
              <w:rPr>
                <w:b/>
                <w:bCs/>
              </w:rPr>
              <w:t>PE</w:t>
            </w:r>
            <w:r w:rsidR="00FE425F">
              <w:rPr>
                <w:b/>
                <w:bCs/>
              </w:rPr>
              <w:t>2</w:t>
            </w:r>
          </w:p>
        </w:tc>
      </w:tr>
      <w:tr w:rsidR="00A52630" w14:paraId="6896669E" w14:textId="77777777" w:rsidTr="00FE425F">
        <w:tc>
          <w:tcPr>
            <w:tcW w:w="1980" w:type="dxa"/>
            <w:shd w:val="clear" w:color="auto" w:fill="D9D9D9" w:themeFill="background1" w:themeFillShade="D9"/>
            <w:vAlign w:val="center"/>
          </w:tcPr>
          <w:p w14:paraId="56E475E7" w14:textId="77777777" w:rsidR="00A52630" w:rsidRDefault="00A52630" w:rsidP="000E391A">
            <w:pPr>
              <w:keepNext/>
              <w:jc w:val="center"/>
            </w:pPr>
            <w:r w:rsidRPr="00993B55">
              <w:rPr>
                <w:b/>
                <w:color w:val="000000"/>
                <w:sz w:val="22"/>
              </w:rPr>
              <w:t>Pollutant</w:t>
            </w:r>
          </w:p>
        </w:tc>
        <w:tc>
          <w:tcPr>
            <w:tcW w:w="2340" w:type="dxa"/>
            <w:shd w:val="clear" w:color="auto" w:fill="D9D9D9" w:themeFill="background1" w:themeFillShade="D9"/>
            <w:vAlign w:val="center"/>
          </w:tcPr>
          <w:p w14:paraId="158BF397" w14:textId="77777777" w:rsidR="00A52630" w:rsidRPr="00993B55" w:rsidRDefault="00A52630" w:rsidP="000E391A">
            <w:pPr>
              <w:keepNext/>
              <w:widowControl w:val="0"/>
              <w:spacing w:before="40" w:after="40"/>
              <w:jc w:val="center"/>
              <w:rPr>
                <w:b/>
                <w:snapToGrid w:val="0"/>
                <w:color w:val="000000"/>
                <w:sz w:val="22"/>
                <w:szCs w:val="22"/>
              </w:rPr>
            </w:pPr>
            <w:r w:rsidRPr="00993B55">
              <w:rPr>
                <w:b/>
                <w:snapToGrid w:val="0"/>
                <w:color w:val="000000"/>
                <w:sz w:val="22"/>
                <w:szCs w:val="22"/>
              </w:rPr>
              <w:t>Daily Emissions</w:t>
            </w:r>
          </w:p>
          <w:p w14:paraId="350CA513" w14:textId="77777777" w:rsidR="00A52630" w:rsidRDefault="00A52630" w:rsidP="000E391A">
            <w:pPr>
              <w:keepNext/>
              <w:jc w:val="center"/>
            </w:pPr>
            <w:r w:rsidRPr="00993B55">
              <w:rPr>
                <w:b/>
                <w:snapToGrid w:val="0"/>
                <w:color w:val="000000"/>
                <w:sz w:val="22"/>
                <w:szCs w:val="22"/>
              </w:rPr>
              <w:t>(lb/day)</w:t>
            </w:r>
          </w:p>
        </w:tc>
        <w:tc>
          <w:tcPr>
            <w:tcW w:w="2790" w:type="dxa"/>
            <w:shd w:val="clear" w:color="auto" w:fill="D9D9D9" w:themeFill="background1" w:themeFillShade="D9"/>
            <w:vAlign w:val="center"/>
          </w:tcPr>
          <w:p w14:paraId="41258CBD" w14:textId="77777777" w:rsidR="00A52630" w:rsidRPr="00993B55" w:rsidRDefault="00A52630" w:rsidP="000E391A">
            <w:pPr>
              <w:keepNext/>
              <w:widowControl w:val="0"/>
              <w:spacing w:before="40" w:after="40"/>
              <w:jc w:val="center"/>
              <w:rPr>
                <w:b/>
                <w:snapToGrid w:val="0"/>
                <w:color w:val="000000"/>
                <w:sz w:val="22"/>
                <w:szCs w:val="22"/>
              </w:rPr>
            </w:pPr>
            <w:r w:rsidRPr="00993B55">
              <w:rPr>
                <w:b/>
                <w:snapToGrid w:val="0"/>
                <w:color w:val="000000"/>
                <w:sz w:val="22"/>
                <w:szCs w:val="22"/>
              </w:rPr>
              <w:t>Annual Emissions</w:t>
            </w:r>
          </w:p>
          <w:p w14:paraId="58950966" w14:textId="77777777" w:rsidR="00A52630" w:rsidRDefault="00A52630" w:rsidP="000E391A">
            <w:pPr>
              <w:keepNext/>
              <w:jc w:val="center"/>
            </w:pPr>
            <w:r w:rsidRPr="00993B55">
              <w:rPr>
                <w:b/>
                <w:snapToGrid w:val="0"/>
                <w:color w:val="000000"/>
                <w:sz w:val="22"/>
                <w:szCs w:val="22"/>
              </w:rPr>
              <w:t>(lb/year)</w:t>
            </w:r>
          </w:p>
        </w:tc>
      </w:tr>
      <w:tr w:rsidR="00A52630" w14:paraId="7D5DF661" w14:textId="77777777" w:rsidTr="00FE425F">
        <w:trPr>
          <w:trHeight w:val="331"/>
        </w:trPr>
        <w:tc>
          <w:tcPr>
            <w:tcW w:w="1980" w:type="dxa"/>
            <w:vAlign w:val="center"/>
          </w:tcPr>
          <w:p w14:paraId="6CEBB00F" w14:textId="77777777" w:rsidR="00A52630" w:rsidRDefault="00A52630" w:rsidP="000E391A">
            <w:pPr>
              <w:keepNext/>
              <w:jc w:val="center"/>
            </w:pPr>
            <w:r w:rsidRPr="00993B55">
              <w:rPr>
                <w:sz w:val="22"/>
                <w:szCs w:val="22"/>
              </w:rPr>
              <w:t>NO</w:t>
            </w:r>
            <w:r>
              <w:rPr>
                <w:sz w:val="22"/>
                <w:szCs w:val="22"/>
              </w:rPr>
              <w:t>x</w:t>
            </w:r>
          </w:p>
        </w:tc>
        <w:tc>
          <w:tcPr>
            <w:tcW w:w="2340" w:type="dxa"/>
            <w:vAlign w:val="center"/>
          </w:tcPr>
          <w:p w14:paraId="28CE2889" w14:textId="77777777" w:rsidR="00A52630" w:rsidRDefault="00A52630" w:rsidP="000E391A">
            <w:pPr>
              <w:keepNext/>
              <w:jc w:val="center"/>
            </w:pPr>
            <w:r w:rsidRPr="002052A9">
              <w:rPr>
                <w:color w:val="0000FF"/>
                <w:sz w:val="22"/>
                <w:szCs w:val="22"/>
              </w:rPr>
              <w:t>X.X</w:t>
            </w:r>
          </w:p>
        </w:tc>
        <w:tc>
          <w:tcPr>
            <w:tcW w:w="2790" w:type="dxa"/>
            <w:vAlign w:val="center"/>
          </w:tcPr>
          <w:p w14:paraId="07F5D7A1" w14:textId="77777777" w:rsidR="00A52630" w:rsidRDefault="00A52630" w:rsidP="000E391A">
            <w:pPr>
              <w:keepNext/>
              <w:jc w:val="center"/>
            </w:pPr>
            <w:r w:rsidRPr="002052A9">
              <w:rPr>
                <w:color w:val="0000FF"/>
                <w:sz w:val="22"/>
                <w:szCs w:val="22"/>
              </w:rPr>
              <w:t>X</w:t>
            </w:r>
          </w:p>
        </w:tc>
      </w:tr>
      <w:tr w:rsidR="00A52630" w14:paraId="46037AC5" w14:textId="77777777" w:rsidTr="00FE425F">
        <w:trPr>
          <w:trHeight w:val="331"/>
        </w:trPr>
        <w:tc>
          <w:tcPr>
            <w:tcW w:w="1980" w:type="dxa"/>
            <w:vAlign w:val="center"/>
          </w:tcPr>
          <w:p w14:paraId="18C1DE9A" w14:textId="77777777" w:rsidR="00A52630" w:rsidRDefault="00A52630" w:rsidP="000E391A">
            <w:pPr>
              <w:keepNext/>
              <w:jc w:val="center"/>
            </w:pPr>
            <w:r w:rsidRPr="00993B55">
              <w:rPr>
                <w:sz w:val="22"/>
                <w:szCs w:val="22"/>
              </w:rPr>
              <w:t>SO</w:t>
            </w:r>
            <w:r>
              <w:rPr>
                <w:sz w:val="22"/>
                <w:szCs w:val="22"/>
              </w:rPr>
              <w:t>x</w:t>
            </w:r>
          </w:p>
        </w:tc>
        <w:tc>
          <w:tcPr>
            <w:tcW w:w="2340" w:type="dxa"/>
            <w:vAlign w:val="center"/>
          </w:tcPr>
          <w:p w14:paraId="60857B0E" w14:textId="77777777" w:rsidR="00A52630" w:rsidRDefault="00A52630" w:rsidP="000E391A">
            <w:pPr>
              <w:keepNext/>
              <w:jc w:val="center"/>
            </w:pPr>
            <w:r w:rsidRPr="002052A9">
              <w:rPr>
                <w:color w:val="0000FF"/>
                <w:sz w:val="22"/>
                <w:szCs w:val="22"/>
              </w:rPr>
              <w:t>X.X</w:t>
            </w:r>
          </w:p>
        </w:tc>
        <w:tc>
          <w:tcPr>
            <w:tcW w:w="2790" w:type="dxa"/>
            <w:vAlign w:val="center"/>
          </w:tcPr>
          <w:p w14:paraId="7BCEC25E" w14:textId="77777777" w:rsidR="00A52630" w:rsidRDefault="00A52630" w:rsidP="000E391A">
            <w:pPr>
              <w:keepNext/>
              <w:jc w:val="center"/>
            </w:pPr>
            <w:r w:rsidRPr="002052A9">
              <w:rPr>
                <w:color w:val="0000FF"/>
                <w:sz w:val="22"/>
                <w:szCs w:val="22"/>
              </w:rPr>
              <w:t>X</w:t>
            </w:r>
          </w:p>
        </w:tc>
      </w:tr>
      <w:tr w:rsidR="00A52630" w14:paraId="6EEB641B" w14:textId="77777777" w:rsidTr="00FE425F">
        <w:trPr>
          <w:trHeight w:val="331"/>
        </w:trPr>
        <w:tc>
          <w:tcPr>
            <w:tcW w:w="1980" w:type="dxa"/>
            <w:vAlign w:val="center"/>
          </w:tcPr>
          <w:p w14:paraId="0E89C3B1" w14:textId="77777777" w:rsidR="00A52630" w:rsidRDefault="00A52630" w:rsidP="000E391A">
            <w:pPr>
              <w:keepNext/>
              <w:jc w:val="center"/>
            </w:pPr>
            <w:r w:rsidRPr="00993B55">
              <w:rPr>
                <w:sz w:val="22"/>
                <w:szCs w:val="22"/>
              </w:rPr>
              <w:t>PM</w:t>
            </w:r>
            <w:r>
              <w:rPr>
                <w:sz w:val="22"/>
                <w:szCs w:val="22"/>
              </w:rPr>
              <w:t>10</w:t>
            </w:r>
          </w:p>
        </w:tc>
        <w:tc>
          <w:tcPr>
            <w:tcW w:w="2340" w:type="dxa"/>
            <w:vAlign w:val="center"/>
          </w:tcPr>
          <w:p w14:paraId="562514E6" w14:textId="77777777" w:rsidR="00A52630" w:rsidRDefault="00A52630" w:rsidP="000E391A">
            <w:pPr>
              <w:keepNext/>
              <w:jc w:val="center"/>
            </w:pPr>
            <w:r w:rsidRPr="002052A9">
              <w:rPr>
                <w:color w:val="0000FF"/>
                <w:sz w:val="22"/>
                <w:szCs w:val="22"/>
              </w:rPr>
              <w:t>XX.X</w:t>
            </w:r>
          </w:p>
        </w:tc>
        <w:tc>
          <w:tcPr>
            <w:tcW w:w="2790" w:type="dxa"/>
            <w:vAlign w:val="center"/>
          </w:tcPr>
          <w:p w14:paraId="679F8CDA" w14:textId="77777777" w:rsidR="00A52630" w:rsidRDefault="00A52630" w:rsidP="000E391A">
            <w:pPr>
              <w:keepNext/>
              <w:jc w:val="center"/>
            </w:pPr>
            <w:r w:rsidRPr="002052A9">
              <w:rPr>
                <w:color w:val="0000FF"/>
                <w:sz w:val="22"/>
                <w:szCs w:val="22"/>
              </w:rPr>
              <w:t>X,XXX</w:t>
            </w:r>
          </w:p>
        </w:tc>
      </w:tr>
      <w:tr w:rsidR="00A52630" w14:paraId="5E320E37" w14:textId="77777777" w:rsidTr="00FE425F">
        <w:trPr>
          <w:trHeight w:val="331"/>
        </w:trPr>
        <w:tc>
          <w:tcPr>
            <w:tcW w:w="1980" w:type="dxa"/>
            <w:vAlign w:val="center"/>
          </w:tcPr>
          <w:p w14:paraId="576C42A3" w14:textId="77777777" w:rsidR="00A52630" w:rsidRDefault="00A52630" w:rsidP="000E391A">
            <w:pPr>
              <w:keepNext/>
              <w:jc w:val="center"/>
            </w:pPr>
            <w:r w:rsidRPr="00993B55">
              <w:rPr>
                <w:sz w:val="22"/>
                <w:szCs w:val="22"/>
              </w:rPr>
              <w:t>CO</w:t>
            </w:r>
          </w:p>
        </w:tc>
        <w:tc>
          <w:tcPr>
            <w:tcW w:w="2340" w:type="dxa"/>
            <w:vAlign w:val="center"/>
          </w:tcPr>
          <w:p w14:paraId="6F455788" w14:textId="77777777" w:rsidR="00A52630" w:rsidRDefault="00A52630" w:rsidP="000E391A">
            <w:pPr>
              <w:keepNext/>
              <w:jc w:val="center"/>
            </w:pPr>
            <w:r w:rsidRPr="002052A9">
              <w:rPr>
                <w:color w:val="0000FF"/>
                <w:sz w:val="22"/>
                <w:szCs w:val="22"/>
              </w:rPr>
              <w:t>X.X</w:t>
            </w:r>
          </w:p>
        </w:tc>
        <w:tc>
          <w:tcPr>
            <w:tcW w:w="2790" w:type="dxa"/>
            <w:vAlign w:val="center"/>
          </w:tcPr>
          <w:p w14:paraId="523BE0F6" w14:textId="77777777" w:rsidR="00A52630" w:rsidRDefault="00A52630" w:rsidP="000E391A">
            <w:pPr>
              <w:keepNext/>
              <w:jc w:val="center"/>
            </w:pPr>
            <w:r w:rsidRPr="002052A9">
              <w:rPr>
                <w:color w:val="0000FF"/>
                <w:sz w:val="22"/>
                <w:szCs w:val="22"/>
              </w:rPr>
              <w:t>X</w:t>
            </w:r>
          </w:p>
        </w:tc>
      </w:tr>
      <w:tr w:rsidR="00A52630" w14:paraId="0C4A9FB1" w14:textId="77777777" w:rsidTr="00FE425F">
        <w:trPr>
          <w:trHeight w:val="331"/>
        </w:trPr>
        <w:tc>
          <w:tcPr>
            <w:tcW w:w="1980" w:type="dxa"/>
            <w:vAlign w:val="center"/>
          </w:tcPr>
          <w:p w14:paraId="41582D72" w14:textId="77777777" w:rsidR="00A52630" w:rsidRDefault="00A52630" w:rsidP="000E391A">
            <w:pPr>
              <w:keepNext/>
              <w:jc w:val="center"/>
            </w:pPr>
            <w:r w:rsidRPr="00993B55">
              <w:rPr>
                <w:sz w:val="22"/>
                <w:szCs w:val="22"/>
              </w:rPr>
              <w:t>VOC</w:t>
            </w:r>
          </w:p>
        </w:tc>
        <w:tc>
          <w:tcPr>
            <w:tcW w:w="2340" w:type="dxa"/>
            <w:vAlign w:val="center"/>
          </w:tcPr>
          <w:p w14:paraId="6ED4439B" w14:textId="77777777" w:rsidR="00A52630" w:rsidRDefault="00A52630" w:rsidP="000E391A">
            <w:pPr>
              <w:keepNext/>
              <w:jc w:val="center"/>
            </w:pPr>
            <w:r w:rsidRPr="002052A9">
              <w:rPr>
                <w:color w:val="0000FF"/>
                <w:sz w:val="22"/>
                <w:szCs w:val="22"/>
              </w:rPr>
              <w:t>X.X</w:t>
            </w:r>
          </w:p>
        </w:tc>
        <w:tc>
          <w:tcPr>
            <w:tcW w:w="2790" w:type="dxa"/>
            <w:vAlign w:val="center"/>
          </w:tcPr>
          <w:p w14:paraId="60327F4D" w14:textId="77777777" w:rsidR="00A52630" w:rsidRDefault="00A52630" w:rsidP="000E391A">
            <w:pPr>
              <w:keepNext/>
              <w:jc w:val="center"/>
            </w:pPr>
            <w:r w:rsidRPr="002052A9">
              <w:rPr>
                <w:color w:val="0000FF"/>
                <w:sz w:val="22"/>
                <w:szCs w:val="22"/>
              </w:rPr>
              <w:t>X</w:t>
            </w:r>
          </w:p>
        </w:tc>
      </w:tr>
    </w:tbl>
    <w:p w14:paraId="5E9AECE6" w14:textId="687553B8" w:rsidR="00A52630" w:rsidRDefault="00A52630" w:rsidP="007A60F3">
      <w:pPr>
        <w:widowControl w:val="0"/>
        <w:ind w:left="720"/>
        <w:rPr>
          <w:color w:val="000000"/>
        </w:rPr>
      </w:pPr>
    </w:p>
    <w:p w14:paraId="014BF550" w14:textId="7CB5733E" w:rsidR="000177D5" w:rsidRPr="00463C39" w:rsidRDefault="000177D5" w:rsidP="007C1ED2">
      <w:pPr>
        <w:pStyle w:val="Heading3"/>
        <w:widowControl w:val="0"/>
        <w:numPr>
          <w:ilvl w:val="0"/>
          <w:numId w:val="3"/>
        </w:numPr>
        <w:tabs>
          <w:tab w:val="clear" w:pos="1224"/>
        </w:tabs>
        <w:spacing w:before="240" w:after="240"/>
        <w:ind w:left="1080"/>
        <w:jc w:val="left"/>
        <w:rPr>
          <w:b/>
          <w:bCs/>
          <w:color w:val="000000"/>
          <w:sz w:val="24"/>
          <w:szCs w:val="24"/>
        </w:rPr>
      </w:pPr>
      <w:r w:rsidRPr="00463C39">
        <w:rPr>
          <w:b/>
          <w:bCs/>
          <w:color w:val="000000"/>
          <w:sz w:val="24"/>
          <w:szCs w:val="24"/>
        </w:rPr>
        <w:t>Pre-Project Stationary Source Potential to Emit (SSPE1)</w:t>
      </w:r>
    </w:p>
    <w:p w14:paraId="0105A994" w14:textId="77777777" w:rsidR="000177D5" w:rsidRPr="00993B55" w:rsidRDefault="000177D5" w:rsidP="007A60F3">
      <w:pPr>
        <w:widowControl w:val="0"/>
        <w:autoSpaceDE w:val="0"/>
        <w:autoSpaceDN w:val="0"/>
        <w:adjustRightInd w:val="0"/>
        <w:ind w:left="720"/>
        <w:rPr>
          <w:color w:val="FF0000"/>
        </w:rPr>
      </w:pPr>
      <w:r w:rsidRPr="00993B55">
        <w:rPr>
          <w:color w:val="FF0000"/>
        </w:rPr>
        <w:t>Calculate the SSPE1 for the entire facility.  SSPE1 is used for Major Source, offsetting, public notice, and BACT purposes.</w:t>
      </w:r>
    </w:p>
    <w:p w14:paraId="514736F5" w14:textId="77777777" w:rsidR="000177D5" w:rsidRPr="00993B55" w:rsidRDefault="000177D5" w:rsidP="007A60F3">
      <w:pPr>
        <w:widowControl w:val="0"/>
        <w:autoSpaceDE w:val="0"/>
        <w:autoSpaceDN w:val="0"/>
        <w:adjustRightInd w:val="0"/>
        <w:ind w:left="720"/>
        <w:rPr>
          <w:color w:val="000000"/>
        </w:rPr>
      </w:pPr>
    </w:p>
    <w:p w14:paraId="34142494" w14:textId="6C6B9ABE" w:rsidR="000177D5" w:rsidRPr="00993B55" w:rsidRDefault="000177D5" w:rsidP="007A60F3">
      <w:pPr>
        <w:widowControl w:val="0"/>
        <w:autoSpaceDE w:val="0"/>
        <w:autoSpaceDN w:val="0"/>
        <w:adjustRightInd w:val="0"/>
        <w:ind w:left="720"/>
      </w:pPr>
      <w:r w:rsidRPr="00993B55">
        <w:t>Pursuant to District Rule 2201, the SSPE1 is the Potential to Emit (PE) from all units with valid Authorities to Construct (ATC) or Permits to Operate (PTO) at the Stationary Source and the quantity of Emission Reduction Credits (ERC) which have been banked since September 19, 1991 for Actual Emissions Reductions (AER) that have occurred at the source, and which have not been used on-site</w:t>
      </w:r>
      <w:r w:rsidR="00E23C02">
        <w:t>, including all ERCs held as certificates and all emission reduction credits sold or transferred</w:t>
      </w:r>
      <w:r w:rsidRPr="00993B55">
        <w:t>.</w:t>
      </w:r>
    </w:p>
    <w:p w14:paraId="03CC2354" w14:textId="77777777" w:rsidR="000177D5" w:rsidRPr="00A21CC9" w:rsidRDefault="000177D5" w:rsidP="007A60F3">
      <w:pPr>
        <w:widowControl w:val="0"/>
        <w:tabs>
          <w:tab w:val="left" w:pos="2430"/>
        </w:tabs>
        <w:autoSpaceDE w:val="0"/>
        <w:autoSpaceDN w:val="0"/>
        <w:adjustRightInd w:val="0"/>
        <w:ind w:left="720"/>
      </w:pPr>
    </w:p>
    <w:p w14:paraId="4973EDA9" w14:textId="77777777" w:rsidR="000177D5" w:rsidRPr="00993B55" w:rsidRDefault="000177D5" w:rsidP="007A60F3">
      <w:pPr>
        <w:widowControl w:val="0"/>
        <w:tabs>
          <w:tab w:val="left" w:pos="2250"/>
        </w:tabs>
        <w:autoSpaceDE w:val="0"/>
        <w:autoSpaceDN w:val="0"/>
        <w:adjustRightInd w:val="0"/>
        <w:ind w:left="720"/>
        <w:rPr>
          <w:i/>
          <w:iCs/>
          <w:color w:val="0000FF"/>
        </w:rPr>
      </w:pPr>
      <w:r w:rsidRPr="00993B55">
        <w:rPr>
          <w:i/>
          <w:iCs/>
          <w:color w:val="0000FF"/>
          <w:u w:val="single"/>
        </w:rPr>
        <w:t>Example (a)</w:t>
      </w:r>
      <w:r w:rsidRPr="00993B55">
        <w:rPr>
          <w:i/>
          <w:iCs/>
          <w:color w:val="0000FF"/>
        </w:rPr>
        <w:t>:</w:t>
      </w:r>
      <w:r w:rsidRPr="00993B55">
        <w:rPr>
          <w:i/>
          <w:iCs/>
          <w:color w:val="0000FF"/>
        </w:rPr>
        <w:tab/>
        <w:t>(For a new facility.)</w:t>
      </w:r>
    </w:p>
    <w:p w14:paraId="7F71434F" w14:textId="77777777" w:rsidR="000177D5" w:rsidRPr="00993B55" w:rsidRDefault="000177D5" w:rsidP="007A60F3">
      <w:pPr>
        <w:widowControl w:val="0"/>
        <w:autoSpaceDE w:val="0"/>
        <w:autoSpaceDN w:val="0"/>
        <w:adjustRightInd w:val="0"/>
        <w:ind w:left="720"/>
      </w:pPr>
      <w:r w:rsidRPr="00993B55">
        <w:t>Since this is a new facility, there are no valid ATCs, PTOs, or ERCs at the Stationary Source; therefore, the SSPE1 is equal to zero.</w:t>
      </w:r>
    </w:p>
    <w:bookmarkEnd w:id="0"/>
    <w:p w14:paraId="7F15B8C5" w14:textId="77777777" w:rsidR="009A38CD" w:rsidRPr="00993B55" w:rsidRDefault="009A38CD" w:rsidP="007A60F3">
      <w:pPr>
        <w:widowControl w:val="0"/>
        <w:autoSpaceDE w:val="0"/>
        <w:autoSpaceDN w:val="0"/>
        <w:adjustRightInd w:val="0"/>
        <w:ind w:left="720"/>
        <w:rPr>
          <w:color w:val="000000"/>
        </w:rPr>
      </w:pPr>
    </w:p>
    <w:p w14:paraId="4CA8DC52" w14:textId="77777777" w:rsidR="000177D5" w:rsidRPr="00993B55" w:rsidRDefault="000177D5" w:rsidP="007A60F3">
      <w:pPr>
        <w:widowControl w:val="0"/>
        <w:tabs>
          <w:tab w:val="left" w:pos="2250"/>
        </w:tabs>
        <w:autoSpaceDE w:val="0"/>
        <w:autoSpaceDN w:val="0"/>
        <w:adjustRightInd w:val="0"/>
        <w:ind w:left="2250" w:hanging="1530"/>
        <w:rPr>
          <w:color w:val="0000FF"/>
        </w:rPr>
      </w:pPr>
      <w:r w:rsidRPr="00993B55">
        <w:rPr>
          <w:i/>
          <w:iCs/>
          <w:color w:val="0000FF"/>
          <w:u w:val="single"/>
        </w:rPr>
        <w:t>Example (b)</w:t>
      </w:r>
      <w:r w:rsidRPr="00993B55">
        <w:rPr>
          <w:i/>
          <w:iCs/>
          <w:color w:val="0000FF"/>
        </w:rPr>
        <w:t>:</w:t>
      </w:r>
      <w:r w:rsidRPr="00993B55">
        <w:rPr>
          <w:i/>
          <w:iCs/>
          <w:color w:val="0000FF"/>
        </w:rPr>
        <w:tab/>
        <w:t xml:space="preserve">(For an existing facility – with a few permit units and no ERC credits </w:t>
      </w:r>
      <w:r w:rsidRPr="00993B55">
        <w:rPr>
          <w:bCs/>
          <w:i/>
          <w:iCs/>
          <w:color w:val="0000FF"/>
          <w:spacing w:val="-3"/>
        </w:rPr>
        <w:t xml:space="preserve">that have been banked at the source and </w:t>
      </w:r>
      <w:r w:rsidRPr="00993B55">
        <w:rPr>
          <w:i/>
          <w:iCs/>
          <w:color w:val="0000FF"/>
        </w:rPr>
        <w:t>which have not been used on-site.)</w:t>
      </w:r>
    </w:p>
    <w:tbl>
      <w:tblPr>
        <w:tblW w:w="8550"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170"/>
        <w:gridCol w:w="1170"/>
        <w:gridCol w:w="1343"/>
        <w:gridCol w:w="1274"/>
        <w:gridCol w:w="1163"/>
      </w:tblGrid>
      <w:tr w:rsidR="000177D5" w:rsidRPr="00993B55" w14:paraId="3056642F" w14:textId="77777777" w:rsidTr="00505E9F">
        <w:trPr>
          <w:cantSplit/>
          <w:trHeight w:val="474"/>
        </w:trPr>
        <w:tc>
          <w:tcPr>
            <w:tcW w:w="8550" w:type="dxa"/>
            <w:gridSpan w:val="6"/>
            <w:shd w:val="clear" w:color="auto" w:fill="D9D9D9" w:themeFill="background1" w:themeFillShade="D9"/>
            <w:vAlign w:val="center"/>
          </w:tcPr>
          <w:p w14:paraId="051922BD" w14:textId="77777777" w:rsidR="000177D5" w:rsidRPr="00993B55" w:rsidRDefault="000177D5" w:rsidP="009E47F3">
            <w:pPr>
              <w:keepNext/>
              <w:widowControl w:val="0"/>
              <w:jc w:val="center"/>
              <w:rPr>
                <w:b/>
                <w:sz w:val="22"/>
                <w:szCs w:val="22"/>
              </w:rPr>
            </w:pPr>
            <w:r w:rsidRPr="00993B55">
              <w:rPr>
                <w:b/>
                <w:sz w:val="22"/>
                <w:szCs w:val="22"/>
              </w:rPr>
              <w:lastRenderedPageBreak/>
              <w:t>SSPE1 (lb/year)</w:t>
            </w:r>
          </w:p>
        </w:tc>
      </w:tr>
      <w:tr w:rsidR="000177D5" w:rsidRPr="00993B55" w14:paraId="01202E7F" w14:textId="77777777" w:rsidTr="00505E9F">
        <w:trPr>
          <w:cantSplit/>
          <w:trHeight w:val="420"/>
        </w:trPr>
        <w:tc>
          <w:tcPr>
            <w:tcW w:w="2430" w:type="dxa"/>
            <w:shd w:val="clear" w:color="auto" w:fill="D9D9D9" w:themeFill="background1" w:themeFillShade="D9"/>
            <w:vAlign w:val="center"/>
          </w:tcPr>
          <w:p w14:paraId="7D4E2966" w14:textId="77777777" w:rsidR="000177D5" w:rsidRPr="00993B55" w:rsidRDefault="000177D5" w:rsidP="009E47F3">
            <w:pPr>
              <w:keepNext/>
              <w:widowControl w:val="0"/>
              <w:jc w:val="center"/>
              <w:rPr>
                <w:b/>
                <w:spacing w:val="-3"/>
                <w:sz w:val="22"/>
                <w:szCs w:val="22"/>
              </w:rPr>
            </w:pPr>
            <w:r w:rsidRPr="00993B55">
              <w:rPr>
                <w:b/>
                <w:spacing w:val="-3"/>
                <w:sz w:val="22"/>
                <w:szCs w:val="22"/>
              </w:rPr>
              <w:t>Permit Unit</w:t>
            </w:r>
          </w:p>
        </w:tc>
        <w:tc>
          <w:tcPr>
            <w:tcW w:w="1170" w:type="dxa"/>
            <w:shd w:val="clear" w:color="auto" w:fill="D9D9D9" w:themeFill="background1" w:themeFillShade="D9"/>
            <w:vAlign w:val="center"/>
          </w:tcPr>
          <w:p w14:paraId="3A973573" w14:textId="6ABE2F8D" w:rsidR="000177D5" w:rsidRPr="00993B55" w:rsidRDefault="000177D5" w:rsidP="009E47F3">
            <w:pPr>
              <w:keepNext/>
              <w:widowControl w:val="0"/>
              <w:jc w:val="center"/>
              <w:rPr>
                <w:b/>
                <w:sz w:val="22"/>
                <w:szCs w:val="22"/>
              </w:rPr>
            </w:pPr>
            <w:r w:rsidRPr="00993B55">
              <w:rPr>
                <w:b/>
                <w:sz w:val="22"/>
                <w:szCs w:val="22"/>
              </w:rPr>
              <w:t>NO</w:t>
            </w:r>
            <w:r w:rsidR="00EE2923">
              <w:rPr>
                <w:b/>
                <w:sz w:val="22"/>
                <w:szCs w:val="22"/>
              </w:rPr>
              <w:t>x</w:t>
            </w:r>
          </w:p>
        </w:tc>
        <w:tc>
          <w:tcPr>
            <w:tcW w:w="1170" w:type="dxa"/>
            <w:shd w:val="clear" w:color="auto" w:fill="D9D9D9" w:themeFill="background1" w:themeFillShade="D9"/>
            <w:vAlign w:val="center"/>
          </w:tcPr>
          <w:p w14:paraId="55EA5F4F" w14:textId="13DAB4F4" w:rsidR="000177D5" w:rsidRPr="00993B55" w:rsidRDefault="000177D5" w:rsidP="009E47F3">
            <w:pPr>
              <w:keepNext/>
              <w:widowControl w:val="0"/>
              <w:jc w:val="center"/>
              <w:rPr>
                <w:b/>
                <w:spacing w:val="-3"/>
                <w:sz w:val="22"/>
                <w:szCs w:val="22"/>
              </w:rPr>
            </w:pPr>
            <w:r w:rsidRPr="00993B55">
              <w:rPr>
                <w:b/>
                <w:sz w:val="22"/>
                <w:szCs w:val="22"/>
              </w:rPr>
              <w:t>SO</w:t>
            </w:r>
            <w:r w:rsidR="00EE2923">
              <w:rPr>
                <w:b/>
                <w:sz w:val="22"/>
                <w:szCs w:val="22"/>
              </w:rPr>
              <w:t>x</w:t>
            </w:r>
          </w:p>
        </w:tc>
        <w:tc>
          <w:tcPr>
            <w:tcW w:w="1343" w:type="dxa"/>
            <w:shd w:val="clear" w:color="auto" w:fill="D9D9D9" w:themeFill="background1" w:themeFillShade="D9"/>
            <w:vAlign w:val="center"/>
          </w:tcPr>
          <w:p w14:paraId="1B572E12" w14:textId="08289DD4" w:rsidR="000177D5" w:rsidRPr="00993B55" w:rsidRDefault="000177D5" w:rsidP="009E47F3">
            <w:pPr>
              <w:keepNext/>
              <w:widowControl w:val="0"/>
              <w:jc w:val="center"/>
              <w:rPr>
                <w:b/>
                <w:spacing w:val="-3"/>
                <w:sz w:val="22"/>
                <w:szCs w:val="22"/>
              </w:rPr>
            </w:pPr>
            <w:r w:rsidRPr="00993B55">
              <w:rPr>
                <w:b/>
                <w:sz w:val="22"/>
                <w:szCs w:val="22"/>
              </w:rPr>
              <w:t>PM</w:t>
            </w:r>
            <w:r w:rsidR="00EE2923">
              <w:rPr>
                <w:b/>
                <w:sz w:val="22"/>
                <w:szCs w:val="22"/>
              </w:rPr>
              <w:t>10</w:t>
            </w:r>
          </w:p>
        </w:tc>
        <w:tc>
          <w:tcPr>
            <w:tcW w:w="1274" w:type="dxa"/>
            <w:shd w:val="clear" w:color="auto" w:fill="D9D9D9" w:themeFill="background1" w:themeFillShade="D9"/>
            <w:vAlign w:val="center"/>
          </w:tcPr>
          <w:p w14:paraId="7A8F303E" w14:textId="77777777" w:rsidR="000177D5" w:rsidRPr="00993B55" w:rsidRDefault="000177D5" w:rsidP="009E47F3">
            <w:pPr>
              <w:keepNext/>
              <w:widowControl w:val="0"/>
              <w:jc w:val="center"/>
              <w:rPr>
                <w:b/>
                <w:spacing w:val="-3"/>
                <w:sz w:val="22"/>
                <w:szCs w:val="22"/>
              </w:rPr>
            </w:pPr>
            <w:r w:rsidRPr="00993B55">
              <w:rPr>
                <w:b/>
                <w:sz w:val="22"/>
                <w:szCs w:val="22"/>
              </w:rPr>
              <w:t>CO</w:t>
            </w:r>
          </w:p>
        </w:tc>
        <w:tc>
          <w:tcPr>
            <w:tcW w:w="1163" w:type="dxa"/>
            <w:shd w:val="clear" w:color="auto" w:fill="D9D9D9" w:themeFill="background1" w:themeFillShade="D9"/>
            <w:vAlign w:val="center"/>
          </w:tcPr>
          <w:p w14:paraId="623AB435" w14:textId="77777777" w:rsidR="000177D5" w:rsidRPr="00993B55" w:rsidRDefault="000177D5" w:rsidP="009E47F3">
            <w:pPr>
              <w:keepNext/>
              <w:widowControl w:val="0"/>
              <w:jc w:val="center"/>
              <w:rPr>
                <w:b/>
                <w:spacing w:val="-3"/>
                <w:sz w:val="22"/>
                <w:szCs w:val="22"/>
              </w:rPr>
            </w:pPr>
            <w:r w:rsidRPr="00993B55">
              <w:rPr>
                <w:b/>
                <w:sz w:val="22"/>
                <w:szCs w:val="22"/>
              </w:rPr>
              <w:t>VOC</w:t>
            </w:r>
          </w:p>
        </w:tc>
      </w:tr>
      <w:tr w:rsidR="00E83B04" w:rsidRPr="00993B55" w14:paraId="61C2A251" w14:textId="77777777" w:rsidTr="001D3048">
        <w:trPr>
          <w:cantSplit/>
          <w:trHeight w:val="402"/>
        </w:trPr>
        <w:tc>
          <w:tcPr>
            <w:tcW w:w="2430" w:type="dxa"/>
            <w:shd w:val="clear" w:color="auto" w:fill="auto"/>
            <w:vAlign w:val="center"/>
          </w:tcPr>
          <w:p w14:paraId="4AA47E6D" w14:textId="24FC7BF8" w:rsidR="00E83B04" w:rsidRPr="002052A9" w:rsidRDefault="00E83B04" w:rsidP="009E47F3">
            <w:pPr>
              <w:keepNext/>
              <w:widowControl w:val="0"/>
              <w:jc w:val="center"/>
              <w:rPr>
                <w:sz w:val="22"/>
                <w:szCs w:val="22"/>
              </w:rPr>
            </w:pPr>
            <w:r w:rsidRPr="002052A9">
              <w:rPr>
                <w:color w:val="0000FF"/>
                <w:sz w:val="22"/>
                <w:szCs w:val="22"/>
              </w:rPr>
              <w:t>X-XXXX-X-X</w:t>
            </w:r>
          </w:p>
        </w:tc>
        <w:tc>
          <w:tcPr>
            <w:tcW w:w="1170" w:type="dxa"/>
            <w:shd w:val="clear" w:color="auto" w:fill="auto"/>
            <w:vAlign w:val="center"/>
          </w:tcPr>
          <w:p w14:paraId="2392EF98" w14:textId="1F7D5570" w:rsidR="00E83B04" w:rsidRPr="002052A9" w:rsidRDefault="00E83B04" w:rsidP="009E47F3">
            <w:pPr>
              <w:keepNext/>
              <w:widowControl w:val="0"/>
              <w:jc w:val="center"/>
              <w:rPr>
                <w:snapToGrid w:val="0"/>
                <w:color w:val="000000"/>
                <w:sz w:val="22"/>
                <w:szCs w:val="22"/>
              </w:rPr>
            </w:pPr>
            <w:r w:rsidRPr="002052A9">
              <w:rPr>
                <w:color w:val="0000FF"/>
                <w:sz w:val="22"/>
                <w:szCs w:val="22"/>
              </w:rPr>
              <w:t>X,XXX</w:t>
            </w:r>
          </w:p>
        </w:tc>
        <w:tc>
          <w:tcPr>
            <w:tcW w:w="1170" w:type="dxa"/>
            <w:shd w:val="clear" w:color="auto" w:fill="auto"/>
            <w:vAlign w:val="center"/>
          </w:tcPr>
          <w:p w14:paraId="56FE70E9" w14:textId="01D5805F" w:rsidR="00E83B04" w:rsidRPr="002052A9" w:rsidRDefault="00E83B04" w:rsidP="009E47F3">
            <w:pPr>
              <w:keepNext/>
              <w:widowControl w:val="0"/>
              <w:jc w:val="center"/>
              <w:rPr>
                <w:snapToGrid w:val="0"/>
                <w:color w:val="000000"/>
                <w:sz w:val="22"/>
                <w:szCs w:val="22"/>
              </w:rPr>
            </w:pPr>
            <w:r w:rsidRPr="002052A9">
              <w:rPr>
                <w:color w:val="0000FF"/>
                <w:sz w:val="22"/>
                <w:szCs w:val="22"/>
              </w:rPr>
              <w:t>X,XXX</w:t>
            </w:r>
          </w:p>
        </w:tc>
        <w:tc>
          <w:tcPr>
            <w:tcW w:w="1343" w:type="dxa"/>
            <w:shd w:val="clear" w:color="auto" w:fill="auto"/>
            <w:vAlign w:val="center"/>
          </w:tcPr>
          <w:p w14:paraId="7A3E7A8D" w14:textId="05B65625" w:rsidR="00E83B04" w:rsidRPr="002052A9" w:rsidRDefault="00E83B04" w:rsidP="009E47F3">
            <w:pPr>
              <w:keepNext/>
              <w:widowControl w:val="0"/>
              <w:jc w:val="center"/>
              <w:rPr>
                <w:snapToGrid w:val="0"/>
                <w:color w:val="000000"/>
                <w:sz w:val="22"/>
                <w:szCs w:val="22"/>
              </w:rPr>
            </w:pPr>
            <w:r w:rsidRPr="002052A9">
              <w:rPr>
                <w:color w:val="0000FF"/>
                <w:sz w:val="22"/>
                <w:szCs w:val="22"/>
              </w:rPr>
              <w:t>X,XXX</w:t>
            </w:r>
          </w:p>
        </w:tc>
        <w:tc>
          <w:tcPr>
            <w:tcW w:w="1274" w:type="dxa"/>
            <w:shd w:val="clear" w:color="auto" w:fill="auto"/>
            <w:vAlign w:val="center"/>
          </w:tcPr>
          <w:p w14:paraId="49F0603E" w14:textId="6B4FC229" w:rsidR="00E83B04" w:rsidRPr="002052A9" w:rsidRDefault="00E83B04" w:rsidP="009E47F3">
            <w:pPr>
              <w:keepNext/>
              <w:widowControl w:val="0"/>
              <w:jc w:val="center"/>
              <w:rPr>
                <w:snapToGrid w:val="0"/>
                <w:color w:val="000000"/>
                <w:sz w:val="22"/>
                <w:szCs w:val="22"/>
              </w:rPr>
            </w:pPr>
            <w:r w:rsidRPr="002052A9">
              <w:rPr>
                <w:color w:val="0000FF"/>
                <w:sz w:val="22"/>
                <w:szCs w:val="22"/>
              </w:rPr>
              <w:t>X,XXX</w:t>
            </w:r>
          </w:p>
        </w:tc>
        <w:tc>
          <w:tcPr>
            <w:tcW w:w="1163" w:type="dxa"/>
            <w:shd w:val="clear" w:color="auto" w:fill="auto"/>
            <w:vAlign w:val="center"/>
          </w:tcPr>
          <w:p w14:paraId="25A90F74" w14:textId="265D01DF" w:rsidR="00E83B04" w:rsidRPr="002052A9" w:rsidRDefault="00E83B04" w:rsidP="009E47F3">
            <w:pPr>
              <w:keepNext/>
              <w:widowControl w:val="0"/>
              <w:jc w:val="center"/>
              <w:rPr>
                <w:spacing w:val="-3"/>
                <w:sz w:val="22"/>
                <w:szCs w:val="22"/>
              </w:rPr>
            </w:pPr>
            <w:r w:rsidRPr="002052A9">
              <w:rPr>
                <w:color w:val="0000FF"/>
                <w:sz w:val="22"/>
                <w:szCs w:val="22"/>
              </w:rPr>
              <w:t>X,XXX</w:t>
            </w:r>
          </w:p>
        </w:tc>
      </w:tr>
      <w:tr w:rsidR="00E83B04" w:rsidRPr="00993B55" w14:paraId="0A93033E" w14:textId="77777777" w:rsidTr="001D3048">
        <w:trPr>
          <w:cantSplit/>
          <w:trHeight w:val="435"/>
        </w:trPr>
        <w:tc>
          <w:tcPr>
            <w:tcW w:w="2430" w:type="dxa"/>
            <w:shd w:val="clear" w:color="auto" w:fill="auto"/>
            <w:vAlign w:val="center"/>
          </w:tcPr>
          <w:p w14:paraId="02D9DAB7" w14:textId="46AB3AD5" w:rsidR="00E83B04" w:rsidRPr="002052A9" w:rsidRDefault="00E83B04" w:rsidP="009E47F3">
            <w:pPr>
              <w:keepNext/>
              <w:widowControl w:val="0"/>
              <w:jc w:val="center"/>
              <w:rPr>
                <w:spacing w:val="-3"/>
                <w:sz w:val="22"/>
                <w:szCs w:val="22"/>
              </w:rPr>
            </w:pPr>
            <w:r w:rsidRPr="002052A9">
              <w:rPr>
                <w:color w:val="0000FF"/>
                <w:sz w:val="22"/>
                <w:szCs w:val="22"/>
              </w:rPr>
              <w:t>X-XXXX-X-X</w:t>
            </w:r>
          </w:p>
        </w:tc>
        <w:tc>
          <w:tcPr>
            <w:tcW w:w="1170" w:type="dxa"/>
            <w:shd w:val="clear" w:color="auto" w:fill="auto"/>
            <w:vAlign w:val="center"/>
          </w:tcPr>
          <w:p w14:paraId="7AA8576C" w14:textId="2F5E996E" w:rsidR="00E83B04" w:rsidRPr="002052A9" w:rsidRDefault="00E83B04" w:rsidP="009E47F3">
            <w:pPr>
              <w:keepNext/>
              <w:widowControl w:val="0"/>
              <w:jc w:val="center"/>
              <w:rPr>
                <w:sz w:val="22"/>
                <w:szCs w:val="22"/>
              </w:rPr>
            </w:pPr>
            <w:r w:rsidRPr="002052A9">
              <w:rPr>
                <w:color w:val="0000FF"/>
                <w:sz w:val="22"/>
                <w:szCs w:val="22"/>
              </w:rPr>
              <w:t>X,XXX</w:t>
            </w:r>
          </w:p>
        </w:tc>
        <w:tc>
          <w:tcPr>
            <w:tcW w:w="1170" w:type="dxa"/>
            <w:shd w:val="clear" w:color="auto" w:fill="auto"/>
            <w:vAlign w:val="center"/>
          </w:tcPr>
          <w:p w14:paraId="272ECC3D" w14:textId="7F3F258C" w:rsidR="00E83B04" w:rsidRPr="002052A9" w:rsidRDefault="00E83B04" w:rsidP="009E47F3">
            <w:pPr>
              <w:keepNext/>
              <w:widowControl w:val="0"/>
              <w:jc w:val="center"/>
              <w:rPr>
                <w:sz w:val="22"/>
                <w:szCs w:val="22"/>
              </w:rPr>
            </w:pPr>
            <w:r w:rsidRPr="002052A9">
              <w:rPr>
                <w:color w:val="0000FF"/>
                <w:sz w:val="22"/>
                <w:szCs w:val="22"/>
              </w:rPr>
              <w:t>X,XXX</w:t>
            </w:r>
          </w:p>
        </w:tc>
        <w:tc>
          <w:tcPr>
            <w:tcW w:w="1343" w:type="dxa"/>
            <w:shd w:val="clear" w:color="auto" w:fill="auto"/>
            <w:vAlign w:val="center"/>
          </w:tcPr>
          <w:p w14:paraId="495E1042" w14:textId="20BCF3F3" w:rsidR="00E83B04" w:rsidRPr="002052A9" w:rsidRDefault="00E83B04" w:rsidP="009E47F3">
            <w:pPr>
              <w:keepNext/>
              <w:widowControl w:val="0"/>
              <w:jc w:val="center"/>
              <w:rPr>
                <w:sz w:val="22"/>
                <w:szCs w:val="22"/>
              </w:rPr>
            </w:pPr>
            <w:r w:rsidRPr="002052A9">
              <w:rPr>
                <w:color w:val="0000FF"/>
                <w:sz w:val="22"/>
                <w:szCs w:val="22"/>
              </w:rPr>
              <w:t>X,XXX</w:t>
            </w:r>
          </w:p>
        </w:tc>
        <w:tc>
          <w:tcPr>
            <w:tcW w:w="1274" w:type="dxa"/>
            <w:shd w:val="clear" w:color="auto" w:fill="auto"/>
            <w:vAlign w:val="center"/>
          </w:tcPr>
          <w:p w14:paraId="38A2947C" w14:textId="46C93505" w:rsidR="00E83B04" w:rsidRPr="002052A9" w:rsidRDefault="00E83B04" w:rsidP="009E47F3">
            <w:pPr>
              <w:keepNext/>
              <w:widowControl w:val="0"/>
              <w:jc w:val="center"/>
              <w:rPr>
                <w:sz w:val="22"/>
                <w:szCs w:val="22"/>
              </w:rPr>
            </w:pPr>
            <w:r w:rsidRPr="002052A9">
              <w:rPr>
                <w:color w:val="0000FF"/>
                <w:sz w:val="22"/>
                <w:szCs w:val="22"/>
              </w:rPr>
              <w:t>X,XXX</w:t>
            </w:r>
          </w:p>
        </w:tc>
        <w:tc>
          <w:tcPr>
            <w:tcW w:w="1163" w:type="dxa"/>
            <w:shd w:val="clear" w:color="auto" w:fill="auto"/>
            <w:vAlign w:val="center"/>
          </w:tcPr>
          <w:p w14:paraId="50273116" w14:textId="1D08264E" w:rsidR="00E83B04" w:rsidRPr="002052A9" w:rsidRDefault="00E83B04" w:rsidP="009E47F3">
            <w:pPr>
              <w:keepNext/>
              <w:widowControl w:val="0"/>
              <w:jc w:val="center"/>
              <w:rPr>
                <w:spacing w:val="-3"/>
                <w:sz w:val="22"/>
                <w:szCs w:val="22"/>
              </w:rPr>
            </w:pPr>
            <w:r w:rsidRPr="002052A9">
              <w:rPr>
                <w:color w:val="0000FF"/>
                <w:sz w:val="22"/>
                <w:szCs w:val="22"/>
              </w:rPr>
              <w:t>X,XXX</w:t>
            </w:r>
          </w:p>
        </w:tc>
      </w:tr>
      <w:tr w:rsidR="00E83B04" w:rsidRPr="00993B55" w14:paraId="4ED6C20A" w14:textId="77777777" w:rsidTr="001D3048">
        <w:trPr>
          <w:cantSplit/>
          <w:trHeight w:val="405"/>
        </w:trPr>
        <w:tc>
          <w:tcPr>
            <w:tcW w:w="2430" w:type="dxa"/>
            <w:shd w:val="clear" w:color="auto" w:fill="D9D9D9" w:themeFill="background1" w:themeFillShade="D9"/>
            <w:vAlign w:val="center"/>
          </w:tcPr>
          <w:p w14:paraId="44F02ABA" w14:textId="77777777" w:rsidR="00E83B04" w:rsidRPr="002052A9" w:rsidRDefault="00E83B04" w:rsidP="009E47F3">
            <w:pPr>
              <w:keepNext/>
              <w:widowControl w:val="0"/>
              <w:jc w:val="center"/>
              <w:rPr>
                <w:b/>
                <w:spacing w:val="-3"/>
                <w:sz w:val="22"/>
                <w:szCs w:val="22"/>
              </w:rPr>
            </w:pPr>
            <w:r w:rsidRPr="002052A9">
              <w:rPr>
                <w:b/>
                <w:snapToGrid w:val="0"/>
                <w:color w:val="000000"/>
                <w:sz w:val="22"/>
                <w:szCs w:val="22"/>
              </w:rPr>
              <w:t>SSPE1</w:t>
            </w:r>
          </w:p>
        </w:tc>
        <w:tc>
          <w:tcPr>
            <w:tcW w:w="1170" w:type="dxa"/>
            <w:shd w:val="clear" w:color="auto" w:fill="D9D9D9" w:themeFill="background1" w:themeFillShade="D9"/>
            <w:vAlign w:val="center"/>
          </w:tcPr>
          <w:p w14:paraId="4CA40D2B" w14:textId="3F8406E6" w:rsidR="00E83B04" w:rsidRPr="002052A9" w:rsidRDefault="00E83B04" w:rsidP="009E47F3">
            <w:pPr>
              <w:keepNext/>
              <w:widowControl w:val="0"/>
              <w:jc w:val="center"/>
              <w:rPr>
                <w:b/>
                <w:bCs/>
                <w:sz w:val="22"/>
                <w:szCs w:val="22"/>
              </w:rPr>
            </w:pPr>
            <w:r w:rsidRPr="002052A9">
              <w:rPr>
                <w:b/>
                <w:bCs/>
                <w:color w:val="0000FF"/>
                <w:sz w:val="22"/>
                <w:szCs w:val="22"/>
              </w:rPr>
              <w:t>X,XXX</w:t>
            </w:r>
          </w:p>
        </w:tc>
        <w:tc>
          <w:tcPr>
            <w:tcW w:w="1170" w:type="dxa"/>
            <w:shd w:val="clear" w:color="auto" w:fill="D9D9D9" w:themeFill="background1" w:themeFillShade="D9"/>
            <w:vAlign w:val="center"/>
          </w:tcPr>
          <w:p w14:paraId="4C99FE2A" w14:textId="53F5C584" w:rsidR="00E83B04" w:rsidRPr="002052A9" w:rsidRDefault="00E83B04" w:rsidP="009E47F3">
            <w:pPr>
              <w:keepNext/>
              <w:widowControl w:val="0"/>
              <w:jc w:val="center"/>
              <w:rPr>
                <w:b/>
                <w:bCs/>
                <w:sz w:val="22"/>
                <w:szCs w:val="22"/>
              </w:rPr>
            </w:pPr>
            <w:r w:rsidRPr="002052A9">
              <w:rPr>
                <w:b/>
                <w:bCs/>
                <w:color w:val="0000FF"/>
                <w:sz w:val="22"/>
                <w:szCs w:val="22"/>
              </w:rPr>
              <w:t>X,XXX</w:t>
            </w:r>
          </w:p>
        </w:tc>
        <w:tc>
          <w:tcPr>
            <w:tcW w:w="1343" w:type="dxa"/>
            <w:shd w:val="clear" w:color="auto" w:fill="D9D9D9" w:themeFill="background1" w:themeFillShade="D9"/>
            <w:vAlign w:val="center"/>
          </w:tcPr>
          <w:p w14:paraId="4AB87F67" w14:textId="2845DC8E" w:rsidR="00E83B04" w:rsidRPr="002052A9" w:rsidRDefault="00E83B04" w:rsidP="009E47F3">
            <w:pPr>
              <w:keepNext/>
              <w:widowControl w:val="0"/>
              <w:jc w:val="center"/>
              <w:rPr>
                <w:b/>
                <w:bCs/>
                <w:sz w:val="22"/>
                <w:szCs w:val="22"/>
              </w:rPr>
            </w:pPr>
            <w:r w:rsidRPr="002052A9">
              <w:rPr>
                <w:b/>
                <w:bCs/>
                <w:color w:val="0000FF"/>
                <w:sz w:val="22"/>
                <w:szCs w:val="22"/>
              </w:rPr>
              <w:t>X,XXX</w:t>
            </w:r>
          </w:p>
        </w:tc>
        <w:tc>
          <w:tcPr>
            <w:tcW w:w="1274" w:type="dxa"/>
            <w:shd w:val="clear" w:color="auto" w:fill="D9D9D9" w:themeFill="background1" w:themeFillShade="D9"/>
            <w:vAlign w:val="center"/>
          </w:tcPr>
          <w:p w14:paraId="22FC6CB5" w14:textId="5D7B2299" w:rsidR="00E83B04" w:rsidRPr="002052A9" w:rsidRDefault="00E83B04" w:rsidP="009E47F3">
            <w:pPr>
              <w:keepNext/>
              <w:widowControl w:val="0"/>
              <w:jc w:val="center"/>
              <w:rPr>
                <w:b/>
                <w:bCs/>
                <w:sz w:val="22"/>
                <w:szCs w:val="22"/>
              </w:rPr>
            </w:pPr>
            <w:r w:rsidRPr="002052A9">
              <w:rPr>
                <w:b/>
                <w:bCs/>
                <w:color w:val="0000FF"/>
                <w:sz w:val="22"/>
                <w:szCs w:val="22"/>
              </w:rPr>
              <w:t>X,XXX</w:t>
            </w:r>
          </w:p>
        </w:tc>
        <w:tc>
          <w:tcPr>
            <w:tcW w:w="1163" w:type="dxa"/>
            <w:shd w:val="clear" w:color="auto" w:fill="D9D9D9" w:themeFill="background1" w:themeFillShade="D9"/>
            <w:vAlign w:val="center"/>
          </w:tcPr>
          <w:p w14:paraId="48E330DF" w14:textId="71FB0314" w:rsidR="00E83B04" w:rsidRPr="002052A9" w:rsidRDefault="00E83B04" w:rsidP="009E47F3">
            <w:pPr>
              <w:keepNext/>
              <w:widowControl w:val="0"/>
              <w:jc w:val="center"/>
              <w:rPr>
                <w:b/>
                <w:bCs/>
                <w:spacing w:val="-3"/>
                <w:sz w:val="22"/>
                <w:szCs w:val="22"/>
              </w:rPr>
            </w:pPr>
            <w:r w:rsidRPr="002052A9">
              <w:rPr>
                <w:b/>
                <w:bCs/>
                <w:color w:val="0000FF"/>
                <w:sz w:val="22"/>
                <w:szCs w:val="22"/>
              </w:rPr>
              <w:t>X,XXX</w:t>
            </w:r>
          </w:p>
        </w:tc>
      </w:tr>
    </w:tbl>
    <w:p w14:paraId="1FDECA1C" w14:textId="77777777" w:rsidR="000177D5" w:rsidRPr="00993B55" w:rsidRDefault="000177D5" w:rsidP="007A60F3">
      <w:pPr>
        <w:widowControl w:val="0"/>
        <w:autoSpaceDE w:val="0"/>
        <w:autoSpaceDN w:val="0"/>
        <w:adjustRightInd w:val="0"/>
        <w:ind w:left="720"/>
      </w:pPr>
    </w:p>
    <w:p w14:paraId="40FC4ACB" w14:textId="77777777" w:rsidR="000177D5" w:rsidRPr="00993B55" w:rsidRDefault="000177D5" w:rsidP="007A60F3">
      <w:pPr>
        <w:widowControl w:val="0"/>
        <w:autoSpaceDE w:val="0"/>
        <w:autoSpaceDN w:val="0"/>
        <w:adjustRightInd w:val="0"/>
        <w:ind w:left="2250" w:hanging="1530"/>
        <w:rPr>
          <w:i/>
          <w:iCs/>
          <w:color w:val="0000FF"/>
        </w:rPr>
      </w:pPr>
      <w:r w:rsidRPr="00993B55">
        <w:rPr>
          <w:i/>
          <w:iCs/>
          <w:color w:val="0000FF"/>
          <w:u w:val="single"/>
        </w:rPr>
        <w:t>Example (c)</w:t>
      </w:r>
      <w:r w:rsidRPr="00993B55">
        <w:rPr>
          <w:i/>
          <w:iCs/>
          <w:color w:val="0000FF"/>
        </w:rPr>
        <w:t>:</w:t>
      </w:r>
      <w:r w:rsidRPr="00993B55">
        <w:rPr>
          <w:i/>
          <w:iCs/>
          <w:color w:val="0000FF"/>
        </w:rPr>
        <w:tab/>
        <w:t xml:space="preserve">(For an existing facility – with a few permit units and ERC credits </w:t>
      </w:r>
      <w:r w:rsidRPr="00993B55">
        <w:rPr>
          <w:bCs/>
          <w:i/>
          <w:iCs/>
          <w:color w:val="0000FF"/>
          <w:spacing w:val="-3"/>
        </w:rPr>
        <w:t xml:space="preserve">that have been banked at the source and </w:t>
      </w:r>
      <w:r w:rsidRPr="00993B55">
        <w:rPr>
          <w:i/>
          <w:iCs/>
          <w:color w:val="0000FF"/>
        </w:rPr>
        <w:t>which have not been used on-site.)</w:t>
      </w:r>
    </w:p>
    <w:p w14:paraId="29CE378C" w14:textId="11D0D973" w:rsidR="000177D5" w:rsidRPr="00993B55" w:rsidRDefault="000177D5" w:rsidP="007A60F3">
      <w:pPr>
        <w:widowControl w:val="0"/>
        <w:ind w:left="720"/>
      </w:pPr>
      <w:r w:rsidRPr="00993B55">
        <w:t xml:space="preserve">The SSPE1 can be calculated by adding the PE1 from all units with valid ATCs or PTOs and the sum of the ERCs </w:t>
      </w:r>
      <w:r w:rsidRPr="00993B55">
        <w:rPr>
          <w:bCs/>
          <w:iCs/>
          <w:spacing w:val="-3"/>
        </w:rPr>
        <w:t>that have been banked at the source and which have not been used on-site (Total</w:t>
      </w:r>
      <w:r w:rsidRPr="00993B55">
        <w:rPr>
          <w:bCs/>
          <w:iCs/>
          <w:spacing w:val="-3"/>
          <w:vertAlign w:val="subscript"/>
        </w:rPr>
        <w:t>ERC</w:t>
      </w:r>
      <w:r w:rsidRPr="00993B55">
        <w:rPr>
          <w:bCs/>
          <w:iCs/>
          <w:spacing w:val="-3"/>
        </w:rPr>
        <w:t>)</w:t>
      </w:r>
      <w:r w:rsidRPr="00993B55">
        <w:t>.</w:t>
      </w:r>
    </w:p>
    <w:p w14:paraId="6735BB9E" w14:textId="77777777" w:rsidR="000177D5" w:rsidRPr="00993B55" w:rsidRDefault="000177D5" w:rsidP="007A60F3">
      <w:pPr>
        <w:widowControl w:val="0"/>
        <w:ind w:left="720"/>
      </w:pPr>
    </w:p>
    <w:p w14:paraId="136B7A5D" w14:textId="77777777" w:rsidR="000177D5" w:rsidRPr="00993B55" w:rsidRDefault="000177D5" w:rsidP="007A60F3">
      <w:pPr>
        <w:widowControl w:val="0"/>
        <w:ind w:left="720"/>
      </w:pPr>
      <w:r w:rsidRPr="00993B55">
        <w:t>SSPE1</w:t>
      </w:r>
      <w:r w:rsidRPr="00993B55">
        <w:rPr>
          <w:vertAlign w:val="subscript"/>
        </w:rPr>
        <w:t>Total</w:t>
      </w:r>
      <w:r w:rsidRPr="00993B55">
        <w:t xml:space="preserve"> = SSPE1</w:t>
      </w:r>
      <w:r w:rsidRPr="00993B55">
        <w:rPr>
          <w:vertAlign w:val="subscript"/>
        </w:rPr>
        <w:t>Permit Unit</w:t>
      </w:r>
      <w:r w:rsidRPr="00993B55">
        <w:t xml:space="preserve"> + Total</w:t>
      </w:r>
      <w:r w:rsidRPr="00993B55">
        <w:rPr>
          <w:vertAlign w:val="subscript"/>
        </w:rPr>
        <w:t>ERC</w:t>
      </w:r>
    </w:p>
    <w:p w14:paraId="1D41ECB9" w14:textId="77777777" w:rsidR="000177D5" w:rsidRPr="00993B55" w:rsidRDefault="000177D5" w:rsidP="007A60F3">
      <w:pPr>
        <w:widowControl w:val="0"/>
        <w:ind w:left="720"/>
      </w:pPr>
    </w:p>
    <w:tbl>
      <w:tblPr>
        <w:tblW w:w="8640"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260"/>
        <w:gridCol w:w="1170"/>
        <w:gridCol w:w="1260"/>
        <w:gridCol w:w="1170"/>
        <w:gridCol w:w="1350"/>
      </w:tblGrid>
      <w:tr w:rsidR="000177D5" w:rsidRPr="00993B55" w14:paraId="31526DF2" w14:textId="77777777" w:rsidTr="00505E9F">
        <w:trPr>
          <w:cantSplit/>
          <w:trHeight w:val="465"/>
        </w:trPr>
        <w:tc>
          <w:tcPr>
            <w:tcW w:w="8640" w:type="dxa"/>
            <w:gridSpan w:val="6"/>
            <w:shd w:val="clear" w:color="auto" w:fill="D9D9D9" w:themeFill="background1" w:themeFillShade="D9"/>
            <w:vAlign w:val="center"/>
          </w:tcPr>
          <w:p w14:paraId="05232BC2" w14:textId="77777777" w:rsidR="000177D5" w:rsidRPr="00993B55" w:rsidRDefault="000177D5" w:rsidP="00161A24">
            <w:pPr>
              <w:keepNext/>
              <w:widowControl w:val="0"/>
              <w:jc w:val="center"/>
              <w:rPr>
                <w:b/>
                <w:sz w:val="22"/>
                <w:szCs w:val="22"/>
              </w:rPr>
            </w:pPr>
            <w:r w:rsidRPr="00993B55">
              <w:rPr>
                <w:b/>
                <w:sz w:val="22"/>
                <w:szCs w:val="22"/>
              </w:rPr>
              <w:t>SSPE1 (lb/year)</w:t>
            </w:r>
          </w:p>
        </w:tc>
      </w:tr>
      <w:tr w:rsidR="000177D5" w:rsidRPr="00993B55" w14:paraId="1032D032" w14:textId="77777777" w:rsidTr="00505E9F">
        <w:trPr>
          <w:cantSplit/>
          <w:trHeight w:val="384"/>
        </w:trPr>
        <w:tc>
          <w:tcPr>
            <w:tcW w:w="2430" w:type="dxa"/>
            <w:shd w:val="clear" w:color="auto" w:fill="D9D9D9" w:themeFill="background1" w:themeFillShade="D9"/>
            <w:vAlign w:val="center"/>
          </w:tcPr>
          <w:p w14:paraId="4250A6CB" w14:textId="77777777" w:rsidR="000177D5" w:rsidRPr="00993B55" w:rsidRDefault="000177D5" w:rsidP="00161A24">
            <w:pPr>
              <w:keepNext/>
              <w:widowControl w:val="0"/>
              <w:jc w:val="center"/>
              <w:rPr>
                <w:b/>
                <w:spacing w:val="-3"/>
                <w:sz w:val="22"/>
                <w:szCs w:val="22"/>
              </w:rPr>
            </w:pPr>
            <w:r w:rsidRPr="00993B55">
              <w:rPr>
                <w:b/>
                <w:spacing w:val="-3"/>
                <w:sz w:val="22"/>
                <w:szCs w:val="22"/>
              </w:rPr>
              <w:t>Permit Unit/ERC</w:t>
            </w:r>
          </w:p>
        </w:tc>
        <w:tc>
          <w:tcPr>
            <w:tcW w:w="1260" w:type="dxa"/>
            <w:shd w:val="clear" w:color="auto" w:fill="D9D9D9" w:themeFill="background1" w:themeFillShade="D9"/>
            <w:vAlign w:val="center"/>
          </w:tcPr>
          <w:p w14:paraId="2B1B9755" w14:textId="0EB525BC" w:rsidR="000177D5" w:rsidRPr="00993B55" w:rsidRDefault="000177D5" w:rsidP="00161A24">
            <w:pPr>
              <w:keepNext/>
              <w:widowControl w:val="0"/>
              <w:jc w:val="center"/>
              <w:rPr>
                <w:b/>
                <w:sz w:val="22"/>
                <w:szCs w:val="22"/>
              </w:rPr>
            </w:pPr>
            <w:r w:rsidRPr="00993B55">
              <w:rPr>
                <w:b/>
                <w:sz w:val="22"/>
                <w:szCs w:val="22"/>
              </w:rPr>
              <w:t>NO</w:t>
            </w:r>
            <w:r w:rsidR="00EE2923">
              <w:rPr>
                <w:b/>
                <w:sz w:val="22"/>
                <w:szCs w:val="22"/>
              </w:rPr>
              <w:t>x</w:t>
            </w:r>
          </w:p>
        </w:tc>
        <w:tc>
          <w:tcPr>
            <w:tcW w:w="1170" w:type="dxa"/>
            <w:shd w:val="clear" w:color="auto" w:fill="D9D9D9" w:themeFill="background1" w:themeFillShade="D9"/>
            <w:vAlign w:val="center"/>
          </w:tcPr>
          <w:p w14:paraId="5C896CB2" w14:textId="79C031A2" w:rsidR="000177D5" w:rsidRPr="00993B55" w:rsidRDefault="000177D5" w:rsidP="00161A24">
            <w:pPr>
              <w:keepNext/>
              <w:widowControl w:val="0"/>
              <w:jc w:val="center"/>
              <w:rPr>
                <w:b/>
                <w:spacing w:val="-3"/>
                <w:sz w:val="22"/>
                <w:szCs w:val="22"/>
              </w:rPr>
            </w:pPr>
            <w:r w:rsidRPr="00993B55">
              <w:rPr>
                <w:b/>
                <w:sz w:val="22"/>
                <w:szCs w:val="22"/>
              </w:rPr>
              <w:t>SO</w:t>
            </w:r>
            <w:r w:rsidR="00EE2923">
              <w:rPr>
                <w:b/>
                <w:sz w:val="22"/>
                <w:szCs w:val="22"/>
              </w:rPr>
              <w:t>x</w:t>
            </w:r>
          </w:p>
        </w:tc>
        <w:tc>
          <w:tcPr>
            <w:tcW w:w="1260" w:type="dxa"/>
            <w:shd w:val="clear" w:color="auto" w:fill="D9D9D9" w:themeFill="background1" w:themeFillShade="D9"/>
            <w:vAlign w:val="center"/>
          </w:tcPr>
          <w:p w14:paraId="1F1BDA2F" w14:textId="308E8100" w:rsidR="000177D5" w:rsidRPr="00993B55" w:rsidRDefault="000177D5" w:rsidP="00161A24">
            <w:pPr>
              <w:keepNext/>
              <w:widowControl w:val="0"/>
              <w:jc w:val="center"/>
              <w:rPr>
                <w:b/>
                <w:spacing w:val="-3"/>
                <w:sz w:val="22"/>
                <w:szCs w:val="22"/>
              </w:rPr>
            </w:pPr>
            <w:r w:rsidRPr="00993B55">
              <w:rPr>
                <w:b/>
                <w:sz w:val="22"/>
                <w:szCs w:val="22"/>
              </w:rPr>
              <w:t>PM</w:t>
            </w:r>
            <w:r w:rsidR="00EE2923">
              <w:rPr>
                <w:b/>
                <w:sz w:val="22"/>
                <w:szCs w:val="22"/>
              </w:rPr>
              <w:t>10</w:t>
            </w:r>
          </w:p>
        </w:tc>
        <w:tc>
          <w:tcPr>
            <w:tcW w:w="1170" w:type="dxa"/>
            <w:shd w:val="clear" w:color="auto" w:fill="D9D9D9" w:themeFill="background1" w:themeFillShade="D9"/>
            <w:vAlign w:val="center"/>
          </w:tcPr>
          <w:p w14:paraId="0A8DF7AC" w14:textId="77777777" w:rsidR="000177D5" w:rsidRPr="00993B55" w:rsidRDefault="000177D5" w:rsidP="00161A24">
            <w:pPr>
              <w:keepNext/>
              <w:widowControl w:val="0"/>
              <w:jc w:val="center"/>
              <w:rPr>
                <w:b/>
                <w:spacing w:val="-3"/>
                <w:sz w:val="22"/>
                <w:szCs w:val="22"/>
              </w:rPr>
            </w:pPr>
            <w:r w:rsidRPr="00993B55">
              <w:rPr>
                <w:b/>
                <w:sz w:val="22"/>
                <w:szCs w:val="22"/>
              </w:rPr>
              <w:t>CO</w:t>
            </w:r>
          </w:p>
        </w:tc>
        <w:tc>
          <w:tcPr>
            <w:tcW w:w="1350" w:type="dxa"/>
            <w:shd w:val="clear" w:color="auto" w:fill="D9D9D9" w:themeFill="background1" w:themeFillShade="D9"/>
            <w:vAlign w:val="center"/>
          </w:tcPr>
          <w:p w14:paraId="0363369D" w14:textId="77777777" w:rsidR="000177D5" w:rsidRPr="00993B55" w:rsidRDefault="000177D5" w:rsidP="00161A24">
            <w:pPr>
              <w:keepNext/>
              <w:widowControl w:val="0"/>
              <w:jc w:val="center"/>
              <w:rPr>
                <w:b/>
                <w:spacing w:val="-3"/>
                <w:sz w:val="22"/>
                <w:szCs w:val="22"/>
              </w:rPr>
            </w:pPr>
            <w:r w:rsidRPr="00993B55">
              <w:rPr>
                <w:b/>
                <w:sz w:val="22"/>
                <w:szCs w:val="22"/>
              </w:rPr>
              <w:t>VOC</w:t>
            </w:r>
          </w:p>
        </w:tc>
      </w:tr>
      <w:tr w:rsidR="001D3048" w:rsidRPr="00993B55" w14:paraId="0FA062B1" w14:textId="77777777" w:rsidTr="00505E9F">
        <w:trPr>
          <w:cantSplit/>
          <w:trHeight w:val="326"/>
        </w:trPr>
        <w:tc>
          <w:tcPr>
            <w:tcW w:w="2430" w:type="dxa"/>
            <w:shd w:val="clear" w:color="auto" w:fill="auto"/>
            <w:vAlign w:val="center"/>
          </w:tcPr>
          <w:p w14:paraId="0869D99F" w14:textId="26B1C8B1" w:rsidR="001D3048" w:rsidRPr="002052A9" w:rsidRDefault="001D3048" w:rsidP="00161A24">
            <w:pPr>
              <w:keepNext/>
              <w:widowControl w:val="0"/>
              <w:jc w:val="center"/>
              <w:rPr>
                <w:sz w:val="22"/>
                <w:szCs w:val="22"/>
              </w:rPr>
            </w:pPr>
            <w:r w:rsidRPr="002052A9">
              <w:rPr>
                <w:color w:val="0000FF"/>
                <w:sz w:val="22"/>
                <w:szCs w:val="22"/>
              </w:rPr>
              <w:t>X-XXXX-X-X</w:t>
            </w:r>
          </w:p>
        </w:tc>
        <w:tc>
          <w:tcPr>
            <w:tcW w:w="1260" w:type="dxa"/>
            <w:shd w:val="clear" w:color="auto" w:fill="auto"/>
            <w:vAlign w:val="center"/>
          </w:tcPr>
          <w:p w14:paraId="5FCE58DD" w14:textId="2657B2DF" w:rsidR="001D3048" w:rsidRPr="002052A9" w:rsidRDefault="001D3048" w:rsidP="00161A24">
            <w:pPr>
              <w:keepNext/>
              <w:widowControl w:val="0"/>
              <w:jc w:val="center"/>
              <w:rPr>
                <w:snapToGrid w:val="0"/>
                <w:color w:val="000000"/>
                <w:sz w:val="22"/>
                <w:szCs w:val="22"/>
              </w:rPr>
            </w:pPr>
            <w:r w:rsidRPr="002052A9">
              <w:rPr>
                <w:color w:val="0000FF"/>
                <w:sz w:val="22"/>
                <w:szCs w:val="22"/>
              </w:rPr>
              <w:t>X,XXX</w:t>
            </w:r>
          </w:p>
        </w:tc>
        <w:tc>
          <w:tcPr>
            <w:tcW w:w="1170" w:type="dxa"/>
            <w:shd w:val="clear" w:color="auto" w:fill="auto"/>
            <w:vAlign w:val="center"/>
          </w:tcPr>
          <w:p w14:paraId="0A3407A8" w14:textId="7C344296" w:rsidR="001D3048" w:rsidRPr="002052A9" w:rsidRDefault="001D3048" w:rsidP="00161A24">
            <w:pPr>
              <w:keepNext/>
              <w:widowControl w:val="0"/>
              <w:jc w:val="center"/>
              <w:rPr>
                <w:snapToGrid w:val="0"/>
                <w:color w:val="000000"/>
                <w:sz w:val="22"/>
                <w:szCs w:val="22"/>
              </w:rPr>
            </w:pPr>
            <w:r w:rsidRPr="002052A9">
              <w:rPr>
                <w:color w:val="0000FF"/>
                <w:sz w:val="22"/>
                <w:szCs w:val="22"/>
              </w:rPr>
              <w:t>X,XXX</w:t>
            </w:r>
          </w:p>
        </w:tc>
        <w:tc>
          <w:tcPr>
            <w:tcW w:w="1260" w:type="dxa"/>
            <w:shd w:val="clear" w:color="auto" w:fill="auto"/>
            <w:vAlign w:val="center"/>
          </w:tcPr>
          <w:p w14:paraId="091664B1" w14:textId="10C39B0A" w:rsidR="001D3048" w:rsidRPr="002052A9" w:rsidRDefault="001D3048" w:rsidP="00161A24">
            <w:pPr>
              <w:keepNext/>
              <w:widowControl w:val="0"/>
              <w:jc w:val="center"/>
              <w:rPr>
                <w:snapToGrid w:val="0"/>
                <w:color w:val="000000"/>
                <w:sz w:val="22"/>
                <w:szCs w:val="22"/>
              </w:rPr>
            </w:pPr>
            <w:r w:rsidRPr="002052A9">
              <w:rPr>
                <w:color w:val="0000FF"/>
                <w:sz w:val="22"/>
                <w:szCs w:val="22"/>
              </w:rPr>
              <w:t>X,XXX</w:t>
            </w:r>
          </w:p>
        </w:tc>
        <w:tc>
          <w:tcPr>
            <w:tcW w:w="1170" w:type="dxa"/>
            <w:shd w:val="clear" w:color="auto" w:fill="auto"/>
            <w:vAlign w:val="center"/>
          </w:tcPr>
          <w:p w14:paraId="3B2197AB" w14:textId="45BA9C38" w:rsidR="001D3048" w:rsidRPr="002052A9" w:rsidRDefault="001D3048" w:rsidP="00161A24">
            <w:pPr>
              <w:keepNext/>
              <w:widowControl w:val="0"/>
              <w:jc w:val="center"/>
              <w:rPr>
                <w:snapToGrid w:val="0"/>
                <w:color w:val="000000"/>
                <w:sz w:val="22"/>
                <w:szCs w:val="22"/>
              </w:rPr>
            </w:pPr>
            <w:r w:rsidRPr="002052A9">
              <w:rPr>
                <w:color w:val="0000FF"/>
                <w:sz w:val="22"/>
                <w:szCs w:val="22"/>
              </w:rPr>
              <w:t>X,XXX</w:t>
            </w:r>
          </w:p>
        </w:tc>
        <w:tc>
          <w:tcPr>
            <w:tcW w:w="1350" w:type="dxa"/>
            <w:shd w:val="clear" w:color="auto" w:fill="auto"/>
            <w:vAlign w:val="center"/>
          </w:tcPr>
          <w:p w14:paraId="12C44BE6" w14:textId="02061ADF" w:rsidR="001D3048" w:rsidRPr="002052A9" w:rsidRDefault="001D3048" w:rsidP="00161A24">
            <w:pPr>
              <w:keepNext/>
              <w:widowControl w:val="0"/>
              <w:jc w:val="center"/>
              <w:rPr>
                <w:spacing w:val="-3"/>
                <w:sz w:val="22"/>
                <w:szCs w:val="22"/>
              </w:rPr>
            </w:pPr>
            <w:r w:rsidRPr="002052A9">
              <w:rPr>
                <w:color w:val="0000FF"/>
                <w:sz w:val="22"/>
                <w:szCs w:val="22"/>
              </w:rPr>
              <w:t>X,XXX</w:t>
            </w:r>
          </w:p>
        </w:tc>
      </w:tr>
      <w:tr w:rsidR="001D3048" w:rsidRPr="00993B55" w14:paraId="21178F7E" w14:textId="77777777" w:rsidTr="00505E9F">
        <w:trPr>
          <w:cantSplit/>
          <w:trHeight w:val="326"/>
        </w:trPr>
        <w:tc>
          <w:tcPr>
            <w:tcW w:w="2430" w:type="dxa"/>
            <w:shd w:val="clear" w:color="auto" w:fill="auto"/>
            <w:vAlign w:val="center"/>
          </w:tcPr>
          <w:p w14:paraId="16F6D341" w14:textId="4FF7EC9A" w:rsidR="001D3048" w:rsidRPr="002052A9" w:rsidRDefault="001D3048" w:rsidP="00161A24">
            <w:pPr>
              <w:keepNext/>
              <w:widowControl w:val="0"/>
              <w:jc w:val="center"/>
              <w:rPr>
                <w:sz w:val="22"/>
                <w:szCs w:val="22"/>
              </w:rPr>
            </w:pPr>
            <w:r w:rsidRPr="002052A9">
              <w:rPr>
                <w:color w:val="0000FF"/>
                <w:sz w:val="22"/>
                <w:szCs w:val="22"/>
              </w:rPr>
              <w:t>X-XXXX-X-X</w:t>
            </w:r>
          </w:p>
        </w:tc>
        <w:tc>
          <w:tcPr>
            <w:tcW w:w="1260" w:type="dxa"/>
            <w:shd w:val="clear" w:color="auto" w:fill="auto"/>
            <w:vAlign w:val="center"/>
          </w:tcPr>
          <w:p w14:paraId="16132BDF" w14:textId="360A9602" w:rsidR="001D3048" w:rsidRPr="002052A9" w:rsidRDefault="001D3048" w:rsidP="00161A24">
            <w:pPr>
              <w:keepNext/>
              <w:widowControl w:val="0"/>
              <w:jc w:val="center"/>
              <w:rPr>
                <w:snapToGrid w:val="0"/>
                <w:color w:val="000000"/>
                <w:sz w:val="22"/>
                <w:szCs w:val="22"/>
              </w:rPr>
            </w:pPr>
            <w:r w:rsidRPr="002052A9">
              <w:rPr>
                <w:color w:val="0000FF"/>
                <w:sz w:val="22"/>
                <w:szCs w:val="22"/>
              </w:rPr>
              <w:t>X,XXX</w:t>
            </w:r>
          </w:p>
        </w:tc>
        <w:tc>
          <w:tcPr>
            <w:tcW w:w="1170" w:type="dxa"/>
            <w:shd w:val="clear" w:color="auto" w:fill="auto"/>
            <w:vAlign w:val="center"/>
          </w:tcPr>
          <w:p w14:paraId="7886D9E2" w14:textId="09B83614" w:rsidR="001D3048" w:rsidRPr="002052A9" w:rsidRDefault="001D3048" w:rsidP="00161A24">
            <w:pPr>
              <w:keepNext/>
              <w:widowControl w:val="0"/>
              <w:jc w:val="center"/>
              <w:rPr>
                <w:snapToGrid w:val="0"/>
                <w:color w:val="000000"/>
                <w:sz w:val="22"/>
                <w:szCs w:val="22"/>
              </w:rPr>
            </w:pPr>
            <w:r w:rsidRPr="002052A9">
              <w:rPr>
                <w:color w:val="0000FF"/>
                <w:sz w:val="22"/>
                <w:szCs w:val="22"/>
              </w:rPr>
              <w:t>X,XXX</w:t>
            </w:r>
          </w:p>
        </w:tc>
        <w:tc>
          <w:tcPr>
            <w:tcW w:w="1260" w:type="dxa"/>
            <w:shd w:val="clear" w:color="auto" w:fill="auto"/>
            <w:vAlign w:val="center"/>
          </w:tcPr>
          <w:p w14:paraId="6861A511" w14:textId="2FFD185E" w:rsidR="001D3048" w:rsidRPr="002052A9" w:rsidRDefault="001D3048" w:rsidP="00161A24">
            <w:pPr>
              <w:keepNext/>
              <w:widowControl w:val="0"/>
              <w:jc w:val="center"/>
              <w:rPr>
                <w:snapToGrid w:val="0"/>
                <w:color w:val="000000"/>
                <w:sz w:val="22"/>
                <w:szCs w:val="22"/>
              </w:rPr>
            </w:pPr>
            <w:r w:rsidRPr="002052A9">
              <w:rPr>
                <w:color w:val="0000FF"/>
                <w:sz w:val="22"/>
                <w:szCs w:val="22"/>
              </w:rPr>
              <w:t>X,XXX</w:t>
            </w:r>
          </w:p>
        </w:tc>
        <w:tc>
          <w:tcPr>
            <w:tcW w:w="1170" w:type="dxa"/>
            <w:shd w:val="clear" w:color="auto" w:fill="auto"/>
            <w:vAlign w:val="center"/>
          </w:tcPr>
          <w:p w14:paraId="050661A9" w14:textId="6435E2F6" w:rsidR="001D3048" w:rsidRPr="002052A9" w:rsidRDefault="001D3048" w:rsidP="00161A24">
            <w:pPr>
              <w:keepNext/>
              <w:widowControl w:val="0"/>
              <w:jc w:val="center"/>
              <w:rPr>
                <w:snapToGrid w:val="0"/>
                <w:color w:val="000000"/>
                <w:sz w:val="22"/>
                <w:szCs w:val="22"/>
              </w:rPr>
            </w:pPr>
            <w:r w:rsidRPr="002052A9">
              <w:rPr>
                <w:color w:val="0000FF"/>
                <w:sz w:val="22"/>
                <w:szCs w:val="22"/>
              </w:rPr>
              <w:t>X,XXX</w:t>
            </w:r>
          </w:p>
        </w:tc>
        <w:tc>
          <w:tcPr>
            <w:tcW w:w="1350" w:type="dxa"/>
            <w:shd w:val="clear" w:color="auto" w:fill="auto"/>
            <w:vAlign w:val="center"/>
          </w:tcPr>
          <w:p w14:paraId="60DD33C2" w14:textId="7159F137" w:rsidR="001D3048" w:rsidRPr="002052A9" w:rsidRDefault="001D3048" w:rsidP="00161A24">
            <w:pPr>
              <w:keepNext/>
              <w:widowControl w:val="0"/>
              <w:jc w:val="center"/>
              <w:rPr>
                <w:snapToGrid w:val="0"/>
                <w:color w:val="000000"/>
                <w:sz w:val="22"/>
                <w:szCs w:val="22"/>
              </w:rPr>
            </w:pPr>
            <w:r w:rsidRPr="002052A9">
              <w:rPr>
                <w:color w:val="0000FF"/>
                <w:sz w:val="22"/>
                <w:szCs w:val="22"/>
              </w:rPr>
              <w:t>X,XXX</w:t>
            </w:r>
          </w:p>
        </w:tc>
      </w:tr>
      <w:tr w:rsidR="000177D5" w:rsidRPr="00993B55" w14:paraId="7F751B5B" w14:textId="77777777" w:rsidTr="00505E9F">
        <w:trPr>
          <w:cantSplit/>
          <w:trHeight w:val="326"/>
        </w:trPr>
        <w:tc>
          <w:tcPr>
            <w:tcW w:w="2430" w:type="dxa"/>
            <w:shd w:val="clear" w:color="auto" w:fill="auto"/>
            <w:vAlign w:val="center"/>
          </w:tcPr>
          <w:p w14:paraId="2743EBF2" w14:textId="4EE6AE9C" w:rsidR="000177D5" w:rsidRPr="002052A9" w:rsidRDefault="000177D5" w:rsidP="00161A24">
            <w:pPr>
              <w:keepNext/>
              <w:widowControl w:val="0"/>
              <w:jc w:val="center"/>
              <w:rPr>
                <w:spacing w:val="-3"/>
                <w:sz w:val="22"/>
                <w:szCs w:val="22"/>
              </w:rPr>
            </w:pPr>
            <w:r w:rsidRPr="002052A9">
              <w:rPr>
                <w:spacing w:val="-3"/>
                <w:sz w:val="22"/>
                <w:szCs w:val="22"/>
              </w:rPr>
              <w:t xml:space="preserve">ERC </w:t>
            </w:r>
            <w:r w:rsidR="001D3048" w:rsidRPr="002052A9">
              <w:rPr>
                <w:color w:val="0000FF"/>
                <w:spacing w:val="-3"/>
                <w:sz w:val="22"/>
                <w:szCs w:val="22"/>
              </w:rPr>
              <w:t>X</w:t>
            </w:r>
            <w:r w:rsidRPr="002052A9">
              <w:rPr>
                <w:color w:val="0000FF"/>
                <w:spacing w:val="-3"/>
                <w:sz w:val="22"/>
                <w:szCs w:val="22"/>
              </w:rPr>
              <w:t>-XXX-1</w:t>
            </w:r>
          </w:p>
        </w:tc>
        <w:tc>
          <w:tcPr>
            <w:tcW w:w="1260" w:type="dxa"/>
            <w:shd w:val="clear" w:color="auto" w:fill="auto"/>
            <w:vAlign w:val="center"/>
          </w:tcPr>
          <w:p w14:paraId="73BF71B3" w14:textId="77777777" w:rsidR="000177D5" w:rsidRPr="002052A9" w:rsidRDefault="000177D5" w:rsidP="00161A24">
            <w:pPr>
              <w:keepNext/>
              <w:widowControl w:val="0"/>
              <w:jc w:val="center"/>
              <w:rPr>
                <w:sz w:val="22"/>
                <w:szCs w:val="22"/>
              </w:rPr>
            </w:pPr>
            <w:r w:rsidRPr="002052A9">
              <w:rPr>
                <w:sz w:val="22"/>
                <w:szCs w:val="22"/>
              </w:rPr>
              <w:t>-</w:t>
            </w:r>
          </w:p>
        </w:tc>
        <w:tc>
          <w:tcPr>
            <w:tcW w:w="1170" w:type="dxa"/>
            <w:shd w:val="clear" w:color="auto" w:fill="auto"/>
            <w:vAlign w:val="center"/>
          </w:tcPr>
          <w:p w14:paraId="1279CCDD" w14:textId="77777777" w:rsidR="000177D5" w:rsidRPr="002052A9" w:rsidRDefault="000177D5" w:rsidP="00161A24">
            <w:pPr>
              <w:keepNext/>
              <w:widowControl w:val="0"/>
              <w:jc w:val="center"/>
              <w:rPr>
                <w:sz w:val="22"/>
                <w:szCs w:val="22"/>
              </w:rPr>
            </w:pPr>
            <w:r w:rsidRPr="002052A9">
              <w:rPr>
                <w:sz w:val="22"/>
                <w:szCs w:val="22"/>
              </w:rPr>
              <w:t>-</w:t>
            </w:r>
          </w:p>
        </w:tc>
        <w:tc>
          <w:tcPr>
            <w:tcW w:w="1260" w:type="dxa"/>
            <w:shd w:val="clear" w:color="auto" w:fill="auto"/>
            <w:vAlign w:val="center"/>
          </w:tcPr>
          <w:p w14:paraId="65B4FAA6" w14:textId="77777777" w:rsidR="000177D5" w:rsidRPr="002052A9" w:rsidRDefault="000177D5" w:rsidP="00161A24">
            <w:pPr>
              <w:keepNext/>
              <w:widowControl w:val="0"/>
              <w:jc w:val="center"/>
              <w:rPr>
                <w:sz w:val="22"/>
                <w:szCs w:val="22"/>
              </w:rPr>
            </w:pPr>
            <w:r w:rsidRPr="002052A9">
              <w:rPr>
                <w:sz w:val="22"/>
                <w:szCs w:val="22"/>
              </w:rPr>
              <w:t>-</w:t>
            </w:r>
          </w:p>
        </w:tc>
        <w:tc>
          <w:tcPr>
            <w:tcW w:w="1170" w:type="dxa"/>
            <w:shd w:val="clear" w:color="auto" w:fill="auto"/>
            <w:vAlign w:val="center"/>
          </w:tcPr>
          <w:p w14:paraId="6B008D44" w14:textId="77777777" w:rsidR="000177D5" w:rsidRPr="002052A9" w:rsidRDefault="000177D5" w:rsidP="00161A24">
            <w:pPr>
              <w:keepNext/>
              <w:widowControl w:val="0"/>
              <w:jc w:val="center"/>
              <w:rPr>
                <w:sz w:val="22"/>
                <w:szCs w:val="22"/>
              </w:rPr>
            </w:pPr>
            <w:r w:rsidRPr="002052A9">
              <w:rPr>
                <w:sz w:val="22"/>
                <w:szCs w:val="22"/>
              </w:rPr>
              <w:t>-</w:t>
            </w:r>
          </w:p>
        </w:tc>
        <w:tc>
          <w:tcPr>
            <w:tcW w:w="1350" w:type="dxa"/>
            <w:shd w:val="clear" w:color="auto" w:fill="auto"/>
            <w:vAlign w:val="center"/>
          </w:tcPr>
          <w:p w14:paraId="0F38572D" w14:textId="5A887D18" w:rsidR="000177D5" w:rsidRPr="002052A9" w:rsidRDefault="001D3048" w:rsidP="00161A24">
            <w:pPr>
              <w:keepNext/>
              <w:widowControl w:val="0"/>
              <w:jc w:val="center"/>
              <w:rPr>
                <w:sz w:val="22"/>
                <w:szCs w:val="22"/>
              </w:rPr>
            </w:pPr>
            <w:r w:rsidRPr="002052A9">
              <w:rPr>
                <w:color w:val="0000FF"/>
                <w:sz w:val="22"/>
                <w:szCs w:val="22"/>
              </w:rPr>
              <w:t>X,XXX</w:t>
            </w:r>
          </w:p>
        </w:tc>
      </w:tr>
      <w:tr w:rsidR="000177D5" w:rsidRPr="00993B55" w14:paraId="03E062E0" w14:textId="77777777" w:rsidTr="00505E9F">
        <w:trPr>
          <w:cantSplit/>
          <w:trHeight w:val="326"/>
        </w:trPr>
        <w:tc>
          <w:tcPr>
            <w:tcW w:w="2430" w:type="dxa"/>
            <w:shd w:val="clear" w:color="auto" w:fill="auto"/>
            <w:vAlign w:val="center"/>
          </w:tcPr>
          <w:p w14:paraId="4AA7733C" w14:textId="6D48EE70" w:rsidR="000177D5" w:rsidRPr="002052A9" w:rsidRDefault="000177D5" w:rsidP="00161A24">
            <w:pPr>
              <w:keepNext/>
              <w:widowControl w:val="0"/>
              <w:jc w:val="center"/>
              <w:rPr>
                <w:spacing w:val="-3"/>
                <w:sz w:val="22"/>
                <w:szCs w:val="22"/>
              </w:rPr>
            </w:pPr>
            <w:r w:rsidRPr="002052A9">
              <w:rPr>
                <w:spacing w:val="-3"/>
                <w:sz w:val="22"/>
                <w:szCs w:val="22"/>
              </w:rPr>
              <w:t xml:space="preserve">ERC </w:t>
            </w:r>
            <w:r w:rsidR="001D3048" w:rsidRPr="002052A9">
              <w:rPr>
                <w:color w:val="0000FF"/>
                <w:spacing w:val="-3"/>
                <w:sz w:val="22"/>
                <w:szCs w:val="22"/>
              </w:rPr>
              <w:t>X</w:t>
            </w:r>
            <w:r w:rsidRPr="002052A9">
              <w:rPr>
                <w:color w:val="0000FF"/>
                <w:spacing w:val="-3"/>
                <w:sz w:val="22"/>
                <w:szCs w:val="22"/>
              </w:rPr>
              <w:t>-XXX-2</w:t>
            </w:r>
          </w:p>
        </w:tc>
        <w:tc>
          <w:tcPr>
            <w:tcW w:w="1260" w:type="dxa"/>
            <w:shd w:val="clear" w:color="auto" w:fill="auto"/>
            <w:vAlign w:val="center"/>
          </w:tcPr>
          <w:p w14:paraId="14FCA455" w14:textId="4867D4C1" w:rsidR="000177D5" w:rsidRPr="002052A9" w:rsidRDefault="001D3048" w:rsidP="00161A24">
            <w:pPr>
              <w:keepNext/>
              <w:widowControl w:val="0"/>
              <w:jc w:val="center"/>
              <w:rPr>
                <w:sz w:val="22"/>
                <w:szCs w:val="22"/>
              </w:rPr>
            </w:pPr>
            <w:r w:rsidRPr="002052A9">
              <w:rPr>
                <w:color w:val="0000FF"/>
                <w:sz w:val="22"/>
                <w:szCs w:val="22"/>
              </w:rPr>
              <w:t>X,XXX</w:t>
            </w:r>
          </w:p>
        </w:tc>
        <w:tc>
          <w:tcPr>
            <w:tcW w:w="1170" w:type="dxa"/>
            <w:shd w:val="clear" w:color="auto" w:fill="auto"/>
            <w:vAlign w:val="center"/>
          </w:tcPr>
          <w:p w14:paraId="3B391B0F" w14:textId="77777777" w:rsidR="000177D5" w:rsidRPr="002052A9" w:rsidRDefault="000177D5" w:rsidP="00161A24">
            <w:pPr>
              <w:keepNext/>
              <w:widowControl w:val="0"/>
              <w:jc w:val="center"/>
              <w:rPr>
                <w:sz w:val="22"/>
                <w:szCs w:val="22"/>
              </w:rPr>
            </w:pPr>
            <w:r w:rsidRPr="002052A9">
              <w:rPr>
                <w:sz w:val="22"/>
                <w:szCs w:val="22"/>
              </w:rPr>
              <w:t>-</w:t>
            </w:r>
          </w:p>
        </w:tc>
        <w:tc>
          <w:tcPr>
            <w:tcW w:w="1260" w:type="dxa"/>
            <w:shd w:val="clear" w:color="auto" w:fill="auto"/>
            <w:vAlign w:val="center"/>
          </w:tcPr>
          <w:p w14:paraId="18CFE18C" w14:textId="77777777" w:rsidR="000177D5" w:rsidRPr="002052A9" w:rsidRDefault="000177D5" w:rsidP="00161A24">
            <w:pPr>
              <w:keepNext/>
              <w:widowControl w:val="0"/>
              <w:jc w:val="center"/>
              <w:rPr>
                <w:sz w:val="22"/>
                <w:szCs w:val="22"/>
              </w:rPr>
            </w:pPr>
            <w:r w:rsidRPr="002052A9">
              <w:rPr>
                <w:sz w:val="22"/>
                <w:szCs w:val="22"/>
              </w:rPr>
              <w:t>-</w:t>
            </w:r>
          </w:p>
        </w:tc>
        <w:tc>
          <w:tcPr>
            <w:tcW w:w="1170" w:type="dxa"/>
            <w:shd w:val="clear" w:color="auto" w:fill="auto"/>
            <w:vAlign w:val="center"/>
          </w:tcPr>
          <w:p w14:paraId="7A0C7C31" w14:textId="77777777" w:rsidR="000177D5" w:rsidRPr="002052A9" w:rsidRDefault="000177D5" w:rsidP="00161A24">
            <w:pPr>
              <w:keepNext/>
              <w:widowControl w:val="0"/>
              <w:jc w:val="center"/>
              <w:rPr>
                <w:sz w:val="22"/>
                <w:szCs w:val="22"/>
              </w:rPr>
            </w:pPr>
            <w:r w:rsidRPr="002052A9">
              <w:rPr>
                <w:sz w:val="22"/>
                <w:szCs w:val="22"/>
              </w:rPr>
              <w:t>-</w:t>
            </w:r>
          </w:p>
        </w:tc>
        <w:tc>
          <w:tcPr>
            <w:tcW w:w="1350" w:type="dxa"/>
            <w:shd w:val="clear" w:color="auto" w:fill="auto"/>
            <w:vAlign w:val="center"/>
          </w:tcPr>
          <w:p w14:paraId="4C0556D1" w14:textId="77777777" w:rsidR="000177D5" w:rsidRPr="002052A9" w:rsidRDefault="000177D5" w:rsidP="00161A24">
            <w:pPr>
              <w:keepNext/>
              <w:widowControl w:val="0"/>
              <w:jc w:val="center"/>
              <w:rPr>
                <w:spacing w:val="-3"/>
                <w:sz w:val="22"/>
                <w:szCs w:val="22"/>
              </w:rPr>
            </w:pPr>
            <w:r w:rsidRPr="002052A9">
              <w:rPr>
                <w:spacing w:val="-3"/>
                <w:sz w:val="22"/>
                <w:szCs w:val="22"/>
              </w:rPr>
              <w:t>-</w:t>
            </w:r>
          </w:p>
        </w:tc>
      </w:tr>
      <w:tr w:rsidR="001D3048" w:rsidRPr="00993B55" w14:paraId="57EBEBA4" w14:textId="77777777" w:rsidTr="00505E9F">
        <w:trPr>
          <w:cantSplit/>
          <w:trHeight w:val="450"/>
        </w:trPr>
        <w:tc>
          <w:tcPr>
            <w:tcW w:w="2430" w:type="dxa"/>
            <w:shd w:val="clear" w:color="auto" w:fill="D9D9D9" w:themeFill="background1" w:themeFillShade="D9"/>
            <w:vAlign w:val="center"/>
          </w:tcPr>
          <w:p w14:paraId="772C1349" w14:textId="77777777" w:rsidR="001D3048" w:rsidRPr="002052A9" w:rsidRDefault="001D3048" w:rsidP="00161A24">
            <w:pPr>
              <w:keepNext/>
              <w:widowControl w:val="0"/>
              <w:jc w:val="center"/>
              <w:rPr>
                <w:b/>
                <w:spacing w:val="-3"/>
                <w:sz w:val="22"/>
                <w:szCs w:val="22"/>
              </w:rPr>
            </w:pPr>
            <w:r w:rsidRPr="002052A9">
              <w:rPr>
                <w:b/>
                <w:snapToGrid w:val="0"/>
                <w:sz w:val="22"/>
                <w:szCs w:val="22"/>
              </w:rPr>
              <w:t>SSPE1</w:t>
            </w:r>
          </w:p>
        </w:tc>
        <w:tc>
          <w:tcPr>
            <w:tcW w:w="1260" w:type="dxa"/>
            <w:shd w:val="clear" w:color="auto" w:fill="D9D9D9" w:themeFill="background1" w:themeFillShade="D9"/>
            <w:vAlign w:val="center"/>
          </w:tcPr>
          <w:p w14:paraId="70ECDDA3" w14:textId="6BF410B1" w:rsidR="001D3048" w:rsidRPr="002052A9" w:rsidRDefault="001D3048" w:rsidP="00161A24">
            <w:pPr>
              <w:keepNext/>
              <w:widowControl w:val="0"/>
              <w:jc w:val="center"/>
              <w:rPr>
                <w:b/>
                <w:sz w:val="22"/>
                <w:szCs w:val="22"/>
              </w:rPr>
            </w:pPr>
            <w:r w:rsidRPr="002052A9">
              <w:rPr>
                <w:b/>
                <w:bCs/>
                <w:color w:val="0000FF"/>
                <w:sz w:val="22"/>
                <w:szCs w:val="22"/>
              </w:rPr>
              <w:t>X,XXX</w:t>
            </w:r>
          </w:p>
        </w:tc>
        <w:tc>
          <w:tcPr>
            <w:tcW w:w="1170" w:type="dxa"/>
            <w:shd w:val="clear" w:color="auto" w:fill="D9D9D9" w:themeFill="background1" w:themeFillShade="D9"/>
            <w:vAlign w:val="center"/>
          </w:tcPr>
          <w:p w14:paraId="49FFBBD0" w14:textId="3435D9A2" w:rsidR="001D3048" w:rsidRPr="002052A9" w:rsidRDefault="001D3048" w:rsidP="00161A24">
            <w:pPr>
              <w:keepNext/>
              <w:widowControl w:val="0"/>
              <w:jc w:val="center"/>
              <w:rPr>
                <w:b/>
                <w:sz w:val="22"/>
                <w:szCs w:val="22"/>
              </w:rPr>
            </w:pPr>
            <w:r w:rsidRPr="002052A9">
              <w:rPr>
                <w:b/>
                <w:bCs/>
                <w:color w:val="0000FF"/>
                <w:sz w:val="22"/>
                <w:szCs w:val="22"/>
              </w:rPr>
              <w:t>X,XXX</w:t>
            </w:r>
          </w:p>
        </w:tc>
        <w:tc>
          <w:tcPr>
            <w:tcW w:w="1260" w:type="dxa"/>
            <w:shd w:val="clear" w:color="auto" w:fill="D9D9D9" w:themeFill="background1" w:themeFillShade="D9"/>
            <w:vAlign w:val="center"/>
          </w:tcPr>
          <w:p w14:paraId="72D4EF4E" w14:textId="2219AAE1" w:rsidR="001D3048" w:rsidRPr="002052A9" w:rsidRDefault="001D3048" w:rsidP="00161A24">
            <w:pPr>
              <w:keepNext/>
              <w:widowControl w:val="0"/>
              <w:jc w:val="center"/>
              <w:rPr>
                <w:b/>
                <w:sz w:val="22"/>
                <w:szCs w:val="22"/>
              </w:rPr>
            </w:pPr>
            <w:r w:rsidRPr="002052A9">
              <w:rPr>
                <w:b/>
                <w:bCs/>
                <w:color w:val="0000FF"/>
                <w:sz w:val="22"/>
                <w:szCs w:val="22"/>
              </w:rPr>
              <w:t>X,XXX</w:t>
            </w:r>
          </w:p>
        </w:tc>
        <w:tc>
          <w:tcPr>
            <w:tcW w:w="1170" w:type="dxa"/>
            <w:shd w:val="clear" w:color="auto" w:fill="D9D9D9" w:themeFill="background1" w:themeFillShade="D9"/>
            <w:vAlign w:val="center"/>
          </w:tcPr>
          <w:p w14:paraId="6DED6DE2" w14:textId="6F177628" w:rsidR="001D3048" w:rsidRPr="002052A9" w:rsidRDefault="001D3048" w:rsidP="00161A24">
            <w:pPr>
              <w:keepNext/>
              <w:widowControl w:val="0"/>
              <w:jc w:val="center"/>
              <w:rPr>
                <w:b/>
                <w:sz w:val="22"/>
                <w:szCs w:val="22"/>
              </w:rPr>
            </w:pPr>
            <w:r w:rsidRPr="002052A9">
              <w:rPr>
                <w:b/>
                <w:bCs/>
                <w:color w:val="0000FF"/>
                <w:sz w:val="22"/>
                <w:szCs w:val="22"/>
              </w:rPr>
              <w:t>X,XXX</w:t>
            </w:r>
          </w:p>
        </w:tc>
        <w:tc>
          <w:tcPr>
            <w:tcW w:w="1350" w:type="dxa"/>
            <w:shd w:val="clear" w:color="auto" w:fill="D9D9D9" w:themeFill="background1" w:themeFillShade="D9"/>
            <w:vAlign w:val="center"/>
          </w:tcPr>
          <w:p w14:paraId="489D5C54" w14:textId="5627E2AB" w:rsidR="001D3048" w:rsidRPr="002052A9" w:rsidRDefault="001D3048" w:rsidP="00161A24">
            <w:pPr>
              <w:keepNext/>
              <w:widowControl w:val="0"/>
              <w:jc w:val="center"/>
              <w:rPr>
                <w:b/>
                <w:spacing w:val="-3"/>
                <w:sz w:val="22"/>
                <w:szCs w:val="22"/>
              </w:rPr>
            </w:pPr>
            <w:r w:rsidRPr="002052A9">
              <w:rPr>
                <w:b/>
                <w:bCs/>
                <w:color w:val="0000FF"/>
                <w:sz w:val="22"/>
                <w:szCs w:val="22"/>
              </w:rPr>
              <w:t>X,XXX</w:t>
            </w:r>
          </w:p>
        </w:tc>
      </w:tr>
    </w:tbl>
    <w:p w14:paraId="10BBC65A" w14:textId="77777777" w:rsidR="000177D5" w:rsidRPr="00993B55" w:rsidRDefault="000177D5" w:rsidP="007A60F3">
      <w:pPr>
        <w:widowControl w:val="0"/>
        <w:autoSpaceDE w:val="0"/>
        <w:autoSpaceDN w:val="0"/>
        <w:adjustRightInd w:val="0"/>
        <w:ind w:left="2250" w:hanging="1530"/>
      </w:pPr>
    </w:p>
    <w:p w14:paraId="0EB52106" w14:textId="77777777" w:rsidR="000177D5" w:rsidRPr="00993B55" w:rsidRDefault="000177D5" w:rsidP="007A60F3">
      <w:pPr>
        <w:widowControl w:val="0"/>
        <w:tabs>
          <w:tab w:val="left" w:pos="2250"/>
        </w:tabs>
        <w:autoSpaceDE w:val="0"/>
        <w:autoSpaceDN w:val="0"/>
        <w:adjustRightInd w:val="0"/>
        <w:ind w:left="720"/>
        <w:rPr>
          <w:i/>
          <w:iCs/>
          <w:color w:val="0000FF"/>
        </w:rPr>
      </w:pPr>
      <w:r w:rsidRPr="00993B55">
        <w:rPr>
          <w:i/>
          <w:iCs/>
          <w:color w:val="0000FF"/>
          <w:u w:val="single"/>
        </w:rPr>
        <w:t>Example (d)</w:t>
      </w:r>
      <w:r w:rsidRPr="00993B55">
        <w:rPr>
          <w:i/>
          <w:iCs/>
          <w:color w:val="0000FF"/>
        </w:rPr>
        <w:t>:</w:t>
      </w:r>
      <w:r w:rsidRPr="00993B55">
        <w:rPr>
          <w:i/>
          <w:iCs/>
          <w:color w:val="0000FF"/>
        </w:rPr>
        <w:tab/>
        <w:t>(For an existing facility – with multiple permit units.)</w:t>
      </w:r>
    </w:p>
    <w:p w14:paraId="55C08ABE" w14:textId="77777777" w:rsidR="000177D5" w:rsidRPr="00993B55" w:rsidRDefault="000177D5" w:rsidP="007A60F3">
      <w:pPr>
        <w:widowControl w:val="0"/>
        <w:ind w:left="720"/>
      </w:pPr>
      <w:r w:rsidRPr="00993B55">
        <w:t xml:space="preserve">The SSPE1 is calculated in </w:t>
      </w:r>
      <w:r w:rsidRPr="00993B55">
        <w:rPr>
          <w:color w:val="0000FF"/>
        </w:rPr>
        <w:t>Appendix XXX</w:t>
      </w:r>
      <w:r w:rsidRPr="00993B55">
        <w:t xml:space="preserve"> and presented in the following table.</w:t>
      </w:r>
    </w:p>
    <w:p w14:paraId="0AE11A2B" w14:textId="77777777" w:rsidR="000177D5" w:rsidRPr="00993B55" w:rsidRDefault="000177D5" w:rsidP="007A60F3">
      <w:pPr>
        <w:widowControl w:val="0"/>
        <w:ind w:left="720"/>
      </w:pPr>
    </w:p>
    <w:tbl>
      <w:tblPr>
        <w:tblW w:w="8650"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244"/>
        <w:gridCol w:w="1244"/>
        <w:gridCol w:w="1244"/>
        <w:gridCol w:w="1244"/>
        <w:gridCol w:w="1244"/>
      </w:tblGrid>
      <w:tr w:rsidR="000177D5" w:rsidRPr="00993B55" w14:paraId="6A47222E" w14:textId="77777777" w:rsidTr="00505E9F">
        <w:trPr>
          <w:cantSplit/>
          <w:trHeight w:val="420"/>
        </w:trPr>
        <w:tc>
          <w:tcPr>
            <w:tcW w:w="8650" w:type="dxa"/>
            <w:gridSpan w:val="6"/>
            <w:shd w:val="clear" w:color="auto" w:fill="D9D9D9" w:themeFill="background1" w:themeFillShade="D9"/>
            <w:vAlign w:val="center"/>
          </w:tcPr>
          <w:p w14:paraId="78B59CA3" w14:textId="77777777" w:rsidR="000177D5" w:rsidRPr="00993B55" w:rsidRDefault="000177D5" w:rsidP="00161A24">
            <w:pPr>
              <w:keepNext/>
              <w:widowControl w:val="0"/>
              <w:jc w:val="center"/>
              <w:rPr>
                <w:b/>
                <w:sz w:val="22"/>
                <w:szCs w:val="22"/>
              </w:rPr>
            </w:pPr>
            <w:r w:rsidRPr="00993B55">
              <w:rPr>
                <w:b/>
                <w:sz w:val="22"/>
                <w:szCs w:val="22"/>
              </w:rPr>
              <w:t>SSPE1 (lb/year)</w:t>
            </w:r>
          </w:p>
        </w:tc>
      </w:tr>
      <w:tr w:rsidR="000177D5" w:rsidRPr="00993B55" w14:paraId="294A300F" w14:textId="77777777" w:rsidTr="00505E9F">
        <w:trPr>
          <w:cantSplit/>
          <w:trHeight w:val="429"/>
        </w:trPr>
        <w:tc>
          <w:tcPr>
            <w:tcW w:w="2430" w:type="dxa"/>
            <w:shd w:val="clear" w:color="auto" w:fill="D9D9D9" w:themeFill="background1" w:themeFillShade="D9"/>
            <w:vAlign w:val="center"/>
          </w:tcPr>
          <w:p w14:paraId="45F74069" w14:textId="77777777" w:rsidR="000177D5" w:rsidRPr="00993B55" w:rsidRDefault="000177D5" w:rsidP="00161A24">
            <w:pPr>
              <w:keepNext/>
              <w:widowControl w:val="0"/>
              <w:jc w:val="center"/>
              <w:rPr>
                <w:spacing w:val="-3"/>
                <w:sz w:val="22"/>
                <w:szCs w:val="22"/>
              </w:rPr>
            </w:pPr>
          </w:p>
        </w:tc>
        <w:tc>
          <w:tcPr>
            <w:tcW w:w="1244" w:type="dxa"/>
            <w:shd w:val="clear" w:color="auto" w:fill="D9D9D9" w:themeFill="background1" w:themeFillShade="D9"/>
            <w:vAlign w:val="center"/>
          </w:tcPr>
          <w:p w14:paraId="396EE618" w14:textId="5D41A64F" w:rsidR="000177D5" w:rsidRPr="00993B55" w:rsidRDefault="000177D5" w:rsidP="00161A24">
            <w:pPr>
              <w:keepNext/>
              <w:widowControl w:val="0"/>
              <w:jc w:val="center"/>
              <w:rPr>
                <w:b/>
                <w:sz w:val="22"/>
                <w:szCs w:val="22"/>
              </w:rPr>
            </w:pPr>
            <w:r w:rsidRPr="00993B55">
              <w:rPr>
                <w:b/>
                <w:sz w:val="22"/>
                <w:szCs w:val="22"/>
              </w:rPr>
              <w:t>NO</w:t>
            </w:r>
            <w:r w:rsidR="00EE2923">
              <w:rPr>
                <w:b/>
                <w:sz w:val="22"/>
                <w:szCs w:val="22"/>
              </w:rPr>
              <w:t>x</w:t>
            </w:r>
          </w:p>
        </w:tc>
        <w:tc>
          <w:tcPr>
            <w:tcW w:w="1244" w:type="dxa"/>
            <w:shd w:val="clear" w:color="auto" w:fill="D9D9D9" w:themeFill="background1" w:themeFillShade="D9"/>
            <w:vAlign w:val="center"/>
          </w:tcPr>
          <w:p w14:paraId="6E7DFA69" w14:textId="05114F6F" w:rsidR="000177D5" w:rsidRPr="00993B55" w:rsidRDefault="000177D5" w:rsidP="00161A24">
            <w:pPr>
              <w:keepNext/>
              <w:widowControl w:val="0"/>
              <w:jc w:val="center"/>
              <w:rPr>
                <w:b/>
                <w:spacing w:val="-3"/>
                <w:sz w:val="22"/>
                <w:szCs w:val="22"/>
              </w:rPr>
            </w:pPr>
            <w:r w:rsidRPr="00993B55">
              <w:rPr>
                <w:b/>
                <w:sz w:val="22"/>
                <w:szCs w:val="22"/>
              </w:rPr>
              <w:t>SO</w:t>
            </w:r>
            <w:r w:rsidR="00EE2923">
              <w:rPr>
                <w:b/>
                <w:sz w:val="22"/>
                <w:szCs w:val="22"/>
              </w:rPr>
              <w:t>x</w:t>
            </w:r>
          </w:p>
        </w:tc>
        <w:tc>
          <w:tcPr>
            <w:tcW w:w="1244" w:type="dxa"/>
            <w:shd w:val="clear" w:color="auto" w:fill="D9D9D9" w:themeFill="background1" w:themeFillShade="D9"/>
            <w:vAlign w:val="center"/>
          </w:tcPr>
          <w:p w14:paraId="71FC8A39" w14:textId="129D5504" w:rsidR="000177D5" w:rsidRPr="00993B55" w:rsidRDefault="000177D5" w:rsidP="00161A24">
            <w:pPr>
              <w:keepNext/>
              <w:widowControl w:val="0"/>
              <w:jc w:val="center"/>
              <w:rPr>
                <w:b/>
                <w:spacing w:val="-3"/>
                <w:sz w:val="22"/>
                <w:szCs w:val="22"/>
              </w:rPr>
            </w:pPr>
            <w:r w:rsidRPr="00993B55">
              <w:rPr>
                <w:b/>
                <w:sz w:val="22"/>
                <w:szCs w:val="22"/>
              </w:rPr>
              <w:t>PM</w:t>
            </w:r>
            <w:r w:rsidR="00EE2923">
              <w:rPr>
                <w:b/>
                <w:sz w:val="22"/>
                <w:szCs w:val="22"/>
              </w:rPr>
              <w:t>10</w:t>
            </w:r>
          </w:p>
        </w:tc>
        <w:tc>
          <w:tcPr>
            <w:tcW w:w="1244" w:type="dxa"/>
            <w:shd w:val="clear" w:color="auto" w:fill="D9D9D9" w:themeFill="background1" w:themeFillShade="D9"/>
            <w:vAlign w:val="center"/>
          </w:tcPr>
          <w:p w14:paraId="004FA51F" w14:textId="77777777" w:rsidR="000177D5" w:rsidRPr="00993B55" w:rsidRDefault="000177D5" w:rsidP="00161A24">
            <w:pPr>
              <w:keepNext/>
              <w:widowControl w:val="0"/>
              <w:jc w:val="center"/>
              <w:rPr>
                <w:b/>
                <w:spacing w:val="-3"/>
                <w:sz w:val="22"/>
                <w:szCs w:val="22"/>
              </w:rPr>
            </w:pPr>
            <w:r w:rsidRPr="00993B55">
              <w:rPr>
                <w:b/>
                <w:sz w:val="22"/>
                <w:szCs w:val="22"/>
              </w:rPr>
              <w:t>CO</w:t>
            </w:r>
          </w:p>
        </w:tc>
        <w:tc>
          <w:tcPr>
            <w:tcW w:w="1244" w:type="dxa"/>
            <w:shd w:val="clear" w:color="auto" w:fill="D9D9D9" w:themeFill="background1" w:themeFillShade="D9"/>
            <w:vAlign w:val="center"/>
          </w:tcPr>
          <w:p w14:paraId="0A7E45D8" w14:textId="77777777" w:rsidR="000177D5" w:rsidRPr="00993B55" w:rsidRDefault="000177D5" w:rsidP="00161A24">
            <w:pPr>
              <w:keepNext/>
              <w:widowControl w:val="0"/>
              <w:jc w:val="center"/>
              <w:rPr>
                <w:b/>
                <w:spacing w:val="-3"/>
                <w:sz w:val="22"/>
                <w:szCs w:val="22"/>
              </w:rPr>
            </w:pPr>
            <w:r w:rsidRPr="00993B55">
              <w:rPr>
                <w:b/>
                <w:sz w:val="22"/>
                <w:szCs w:val="22"/>
              </w:rPr>
              <w:t>VOC</w:t>
            </w:r>
          </w:p>
        </w:tc>
      </w:tr>
      <w:tr w:rsidR="007876F5" w:rsidRPr="00993B55" w14:paraId="51C0ACBC" w14:textId="77777777" w:rsidTr="00505E9F">
        <w:trPr>
          <w:cantSplit/>
          <w:trHeight w:val="429"/>
        </w:trPr>
        <w:tc>
          <w:tcPr>
            <w:tcW w:w="2430" w:type="dxa"/>
            <w:shd w:val="clear" w:color="auto" w:fill="auto"/>
            <w:vAlign w:val="center"/>
          </w:tcPr>
          <w:p w14:paraId="1E228755" w14:textId="77777777" w:rsidR="007876F5" w:rsidRPr="00993B55" w:rsidRDefault="007876F5" w:rsidP="00161A24">
            <w:pPr>
              <w:keepNext/>
              <w:widowControl w:val="0"/>
              <w:jc w:val="center"/>
              <w:rPr>
                <w:spacing w:val="-3"/>
                <w:sz w:val="22"/>
                <w:szCs w:val="22"/>
              </w:rPr>
            </w:pPr>
            <w:r w:rsidRPr="00993B55">
              <w:rPr>
                <w:snapToGrid w:val="0"/>
                <w:color w:val="000000"/>
                <w:sz w:val="22"/>
                <w:szCs w:val="22"/>
              </w:rPr>
              <w:t>SSPE1</w:t>
            </w:r>
          </w:p>
        </w:tc>
        <w:tc>
          <w:tcPr>
            <w:tcW w:w="1244" w:type="dxa"/>
            <w:shd w:val="clear" w:color="auto" w:fill="auto"/>
            <w:vAlign w:val="center"/>
          </w:tcPr>
          <w:p w14:paraId="2DAE94F2" w14:textId="02A92E50" w:rsidR="007876F5" w:rsidRPr="002052A9" w:rsidRDefault="007876F5" w:rsidP="00161A24">
            <w:pPr>
              <w:keepNext/>
              <w:widowControl w:val="0"/>
              <w:jc w:val="center"/>
              <w:rPr>
                <w:sz w:val="22"/>
                <w:szCs w:val="22"/>
              </w:rPr>
            </w:pPr>
            <w:r w:rsidRPr="002052A9">
              <w:rPr>
                <w:color w:val="0000FF"/>
                <w:sz w:val="22"/>
                <w:szCs w:val="22"/>
              </w:rPr>
              <w:t>X,XXX</w:t>
            </w:r>
          </w:p>
        </w:tc>
        <w:tc>
          <w:tcPr>
            <w:tcW w:w="1244" w:type="dxa"/>
            <w:shd w:val="clear" w:color="auto" w:fill="auto"/>
            <w:vAlign w:val="center"/>
          </w:tcPr>
          <w:p w14:paraId="1D94C791" w14:textId="6F409412" w:rsidR="007876F5" w:rsidRPr="002052A9" w:rsidRDefault="007876F5" w:rsidP="00161A24">
            <w:pPr>
              <w:keepNext/>
              <w:widowControl w:val="0"/>
              <w:jc w:val="center"/>
              <w:rPr>
                <w:spacing w:val="-3"/>
                <w:sz w:val="22"/>
                <w:szCs w:val="22"/>
              </w:rPr>
            </w:pPr>
            <w:r w:rsidRPr="002052A9">
              <w:rPr>
                <w:color w:val="0000FF"/>
                <w:sz w:val="22"/>
                <w:szCs w:val="22"/>
              </w:rPr>
              <w:t>X,XXX</w:t>
            </w:r>
          </w:p>
        </w:tc>
        <w:tc>
          <w:tcPr>
            <w:tcW w:w="1244" w:type="dxa"/>
            <w:shd w:val="clear" w:color="auto" w:fill="auto"/>
            <w:vAlign w:val="center"/>
          </w:tcPr>
          <w:p w14:paraId="6FB8D7FB" w14:textId="32B7DD05" w:rsidR="007876F5" w:rsidRPr="002052A9" w:rsidRDefault="007876F5" w:rsidP="00161A24">
            <w:pPr>
              <w:keepNext/>
              <w:widowControl w:val="0"/>
              <w:jc w:val="center"/>
              <w:rPr>
                <w:sz w:val="22"/>
                <w:szCs w:val="22"/>
              </w:rPr>
            </w:pPr>
            <w:r w:rsidRPr="002052A9">
              <w:rPr>
                <w:color w:val="0000FF"/>
                <w:sz w:val="22"/>
                <w:szCs w:val="22"/>
              </w:rPr>
              <w:t>X,XXX</w:t>
            </w:r>
          </w:p>
        </w:tc>
        <w:tc>
          <w:tcPr>
            <w:tcW w:w="1244" w:type="dxa"/>
            <w:shd w:val="clear" w:color="auto" w:fill="auto"/>
            <w:vAlign w:val="center"/>
          </w:tcPr>
          <w:p w14:paraId="2142B9A0" w14:textId="64D6D548" w:rsidR="007876F5" w:rsidRPr="002052A9" w:rsidRDefault="007876F5" w:rsidP="00161A24">
            <w:pPr>
              <w:keepNext/>
              <w:widowControl w:val="0"/>
              <w:jc w:val="center"/>
              <w:rPr>
                <w:sz w:val="22"/>
                <w:szCs w:val="22"/>
              </w:rPr>
            </w:pPr>
            <w:r w:rsidRPr="002052A9">
              <w:rPr>
                <w:color w:val="0000FF"/>
                <w:sz w:val="22"/>
                <w:szCs w:val="22"/>
              </w:rPr>
              <w:t>X,XXX</w:t>
            </w:r>
          </w:p>
        </w:tc>
        <w:tc>
          <w:tcPr>
            <w:tcW w:w="1244" w:type="dxa"/>
            <w:shd w:val="clear" w:color="auto" w:fill="auto"/>
            <w:vAlign w:val="center"/>
          </w:tcPr>
          <w:p w14:paraId="17D7ED8B" w14:textId="2C19AC12" w:rsidR="007876F5" w:rsidRPr="002052A9" w:rsidRDefault="007876F5" w:rsidP="00161A24">
            <w:pPr>
              <w:keepNext/>
              <w:widowControl w:val="0"/>
              <w:jc w:val="center"/>
              <w:rPr>
                <w:sz w:val="22"/>
                <w:szCs w:val="22"/>
              </w:rPr>
            </w:pPr>
            <w:r w:rsidRPr="002052A9">
              <w:rPr>
                <w:color w:val="0000FF"/>
                <w:sz w:val="22"/>
                <w:szCs w:val="22"/>
              </w:rPr>
              <w:t>X,XXX</w:t>
            </w:r>
          </w:p>
        </w:tc>
      </w:tr>
    </w:tbl>
    <w:p w14:paraId="67AF8DD3" w14:textId="77777777" w:rsidR="000177D5" w:rsidRPr="00993B55" w:rsidRDefault="000177D5" w:rsidP="007A60F3">
      <w:pPr>
        <w:widowControl w:val="0"/>
        <w:autoSpaceDE w:val="0"/>
        <w:autoSpaceDN w:val="0"/>
        <w:adjustRightInd w:val="0"/>
        <w:ind w:left="720"/>
        <w:rPr>
          <w:iCs/>
          <w:color w:val="FF0000"/>
        </w:rPr>
      </w:pPr>
    </w:p>
    <w:p w14:paraId="54E0B636" w14:textId="77777777" w:rsidR="000177D5" w:rsidRPr="00993B55" w:rsidRDefault="000177D5" w:rsidP="007A60F3">
      <w:pPr>
        <w:widowControl w:val="0"/>
        <w:autoSpaceDE w:val="0"/>
        <w:autoSpaceDN w:val="0"/>
        <w:adjustRightInd w:val="0"/>
        <w:ind w:left="720"/>
        <w:rPr>
          <w:iCs/>
          <w:color w:val="FF0000"/>
        </w:rPr>
      </w:pPr>
      <w:r w:rsidRPr="00993B55">
        <w:rPr>
          <w:iCs/>
          <w:color w:val="FF0000"/>
        </w:rPr>
        <w:t>(</w:t>
      </w:r>
      <w:r w:rsidRPr="00993B55">
        <w:rPr>
          <w:iCs/>
          <w:color w:val="FF0000"/>
          <w:u w:val="single"/>
        </w:rPr>
        <w:t>Note</w:t>
      </w:r>
      <w:r w:rsidRPr="00993B55">
        <w:rPr>
          <w:iCs/>
          <w:color w:val="FF0000"/>
        </w:rPr>
        <w:t xml:space="preserve">: The table in </w:t>
      </w:r>
      <w:r w:rsidRPr="00993B55">
        <w:rPr>
          <w:b/>
          <w:iCs/>
          <w:color w:val="FF0000"/>
        </w:rPr>
        <w:t>Appendix F</w:t>
      </w:r>
      <w:r w:rsidRPr="00993B55">
        <w:rPr>
          <w:iCs/>
          <w:color w:val="FF0000"/>
        </w:rPr>
        <w:t xml:space="preserve"> should look similar to the table in example (b) or (c) above.)</w:t>
      </w:r>
    </w:p>
    <w:p w14:paraId="4BBB184C" w14:textId="77777777" w:rsidR="000177D5" w:rsidRPr="00993B55" w:rsidRDefault="000177D5" w:rsidP="007A60F3">
      <w:pPr>
        <w:widowControl w:val="0"/>
        <w:autoSpaceDE w:val="0"/>
        <w:autoSpaceDN w:val="0"/>
        <w:adjustRightInd w:val="0"/>
        <w:ind w:left="720"/>
        <w:rPr>
          <w:color w:val="000000"/>
        </w:rPr>
      </w:pPr>
    </w:p>
    <w:p w14:paraId="639FFDEA" w14:textId="77777777" w:rsidR="000177D5" w:rsidRPr="00993B55" w:rsidRDefault="000177D5" w:rsidP="007A60F3">
      <w:pPr>
        <w:widowControl w:val="0"/>
        <w:autoSpaceDE w:val="0"/>
        <w:autoSpaceDN w:val="0"/>
        <w:adjustRightInd w:val="0"/>
        <w:ind w:left="2250" w:hanging="1530"/>
        <w:rPr>
          <w:i/>
          <w:iCs/>
          <w:color w:val="0000FF"/>
        </w:rPr>
      </w:pPr>
      <w:r w:rsidRPr="00993B55">
        <w:rPr>
          <w:i/>
          <w:iCs/>
          <w:color w:val="0000FF"/>
          <w:u w:val="single"/>
        </w:rPr>
        <w:t>Example (e)</w:t>
      </w:r>
      <w:r w:rsidRPr="00993B55">
        <w:rPr>
          <w:i/>
          <w:iCs/>
          <w:color w:val="0000FF"/>
        </w:rPr>
        <w:t>:</w:t>
      </w:r>
      <w:r w:rsidRPr="00993B55">
        <w:rPr>
          <w:i/>
          <w:iCs/>
          <w:color w:val="0000FF"/>
        </w:rPr>
        <w:tab/>
        <w:t>(For an existing facility – with multiple permit units – conceding that the facility is already a Major Source for VOC.)</w:t>
      </w:r>
    </w:p>
    <w:p w14:paraId="0BDCDFD7" w14:textId="77777777" w:rsidR="000177D5" w:rsidRPr="00993B55" w:rsidRDefault="000177D5" w:rsidP="007A60F3">
      <w:pPr>
        <w:widowControl w:val="0"/>
        <w:tabs>
          <w:tab w:val="left" w:pos="1080"/>
        </w:tabs>
        <w:autoSpaceDE w:val="0"/>
        <w:autoSpaceDN w:val="0"/>
        <w:adjustRightInd w:val="0"/>
        <w:ind w:left="720"/>
        <w:rPr>
          <w:color w:val="000000"/>
        </w:rPr>
      </w:pPr>
      <w:r w:rsidRPr="00993B55">
        <w:rPr>
          <w:color w:val="000000"/>
        </w:rPr>
        <w:t>Facility emissions are already above the Offset and Major Source Thresholds for VOC emissions; therefore, SSPE1 calculations are not necessary.</w:t>
      </w:r>
    </w:p>
    <w:p w14:paraId="3383E8D0" w14:textId="77777777" w:rsidR="000177D5" w:rsidRPr="00993B55" w:rsidRDefault="000177D5" w:rsidP="007A60F3">
      <w:pPr>
        <w:widowControl w:val="0"/>
        <w:tabs>
          <w:tab w:val="left" w:pos="1080"/>
        </w:tabs>
        <w:autoSpaceDE w:val="0"/>
        <w:autoSpaceDN w:val="0"/>
        <w:adjustRightInd w:val="0"/>
        <w:ind w:left="720"/>
        <w:rPr>
          <w:color w:val="000000"/>
        </w:rPr>
      </w:pPr>
    </w:p>
    <w:p w14:paraId="668745C2" w14:textId="77777777" w:rsidR="000177D5" w:rsidRPr="00993B55" w:rsidRDefault="000177D5" w:rsidP="007A60F3">
      <w:pPr>
        <w:widowControl w:val="0"/>
        <w:autoSpaceDE w:val="0"/>
        <w:autoSpaceDN w:val="0"/>
        <w:adjustRightInd w:val="0"/>
        <w:ind w:left="720"/>
        <w:rPr>
          <w:i/>
          <w:iCs/>
          <w:color w:val="FF0000"/>
        </w:rPr>
      </w:pPr>
      <w:r w:rsidRPr="00993B55">
        <w:rPr>
          <w:i/>
          <w:iCs/>
          <w:color w:val="FF0000"/>
        </w:rPr>
        <w:t>(</w:t>
      </w:r>
      <w:r w:rsidRPr="00993B55">
        <w:rPr>
          <w:i/>
          <w:iCs/>
          <w:color w:val="FF0000"/>
          <w:u w:val="single"/>
        </w:rPr>
        <w:t>Note</w:t>
      </w:r>
      <w:r w:rsidRPr="00993B55">
        <w:rPr>
          <w:i/>
          <w:iCs/>
          <w:color w:val="FF0000"/>
        </w:rPr>
        <w:t xml:space="preserve">: Please use this example carefully.  If there are increases in emissions of other pollutants, for which the facility is not a Major Source, complete SSPE calculations may be necessary.  </w:t>
      </w:r>
      <w:r w:rsidRPr="00993B55">
        <w:rPr>
          <w:i/>
          <w:iCs/>
          <w:color w:val="FF0000"/>
          <w:u w:val="single"/>
        </w:rPr>
        <w:t>Hint</w:t>
      </w:r>
      <w:r w:rsidRPr="00993B55">
        <w:rPr>
          <w:i/>
          <w:iCs/>
          <w:color w:val="FF0000"/>
        </w:rPr>
        <w:t xml:space="preserve">: The Initial Title V application may be a possible source to determine </w:t>
      </w:r>
      <w:r w:rsidRPr="00993B55">
        <w:rPr>
          <w:i/>
          <w:iCs/>
          <w:color w:val="FF0000"/>
        </w:rPr>
        <w:lastRenderedPageBreak/>
        <w:t>which pollutants the facility is a Major Source for.)</w:t>
      </w:r>
    </w:p>
    <w:p w14:paraId="0D002CE7" w14:textId="4CE73265" w:rsidR="000177D5" w:rsidRPr="00463C39" w:rsidRDefault="000177D5" w:rsidP="007C1ED2">
      <w:pPr>
        <w:pStyle w:val="Heading3"/>
        <w:widowControl w:val="0"/>
        <w:numPr>
          <w:ilvl w:val="0"/>
          <w:numId w:val="3"/>
        </w:numPr>
        <w:tabs>
          <w:tab w:val="clear" w:pos="1224"/>
        </w:tabs>
        <w:spacing w:before="240" w:after="240"/>
        <w:ind w:left="1080"/>
        <w:jc w:val="left"/>
        <w:rPr>
          <w:b/>
          <w:bCs/>
          <w:color w:val="000000"/>
          <w:sz w:val="24"/>
          <w:szCs w:val="24"/>
        </w:rPr>
      </w:pPr>
      <w:r w:rsidRPr="00463C39">
        <w:rPr>
          <w:b/>
          <w:bCs/>
          <w:color w:val="000000"/>
          <w:sz w:val="24"/>
          <w:szCs w:val="24"/>
        </w:rPr>
        <w:t>Post-Project Stationary Source Potential to Emit (SSPE2)</w:t>
      </w:r>
    </w:p>
    <w:p w14:paraId="293C0106" w14:textId="77777777" w:rsidR="000177D5" w:rsidRPr="00993B55" w:rsidRDefault="000177D5" w:rsidP="007A60F3">
      <w:pPr>
        <w:widowControl w:val="0"/>
        <w:autoSpaceDE w:val="0"/>
        <w:autoSpaceDN w:val="0"/>
        <w:adjustRightInd w:val="0"/>
        <w:ind w:left="720"/>
        <w:rPr>
          <w:color w:val="FF0000"/>
        </w:rPr>
      </w:pPr>
      <w:r w:rsidRPr="00993B55">
        <w:rPr>
          <w:color w:val="FF0000"/>
        </w:rPr>
        <w:t>Calculate the SSPE2 for the entire facility.  The SSPE2 is used for Major Source, offsetting, public notice, and BACT purposes.</w:t>
      </w:r>
    </w:p>
    <w:p w14:paraId="7E0002CA" w14:textId="77777777" w:rsidR="000177D5" w:rsidRPr="00993B55" w:rsidRDefault="000177D5" w:rsidP="007A60F3">
      <w:pPr>
        <w:widowControl w:val="0"/>
        <w:autoSpaceDE w:val="0"/>
        <w:autoSpaceDN w:val="0"/>
        <w:adjustRightInd w:val="0"/>
        <w:ind w:left="720"/>
      </w:pPr>
    </w:p>
    <w:p w14:paraId="617807C0" w14:textId="359415F7" w:rsidR="000177D5" w:rsidRPr="00993B55" w:rsidRDefault="000177D5" w:rsidP="007A60F3">
      <w:pPr>
        <w:widowControl w:val="0"/>
        <w:autoSpaceDE w:val="0"/>
        <w:autoSpaceDN w:val="0"/>
        <w:adjustRightInd w:val="0"/>
        <w:ind w:left="720"/>
      </w:pPr>
      <w:r w:rsidRPr="00993B55">
        <w:t>Pursuant to District Rule 2201, the SSPE2 is the PE from all units with valid ATCs or PTOs at the Stationary Source</w:t>
      </w:r>
      <w:r w:rsidR="006346EB">
        <w:t>, except for emissions units proposed to be shut down as part of a Stationary Source Project,</w:t>
      </w:r>
      <w:r w:rsidRPr="00993B55">
        <w:t xml:space="preserve"> and the quantity of ERCs which have been banked since September 19, 1991 for AER that have occurred at the source, and which have not been used on-site</w:t>
      </w:r>
      <w:r w:rsidR="00D27B3A">
        <w:t>, including all ERCs held as certificates and all emission reduction credits sold or transferred</w:t>
      </w:r>
      <w:r w:rsidRPr="00993B55">
        <w:t>.</w:t>
      </w:r>
    </w:p>
    <w:p w14:paraId="54CE4111" w14:textId="77777777" w:rsidR="000177D5" w:rsidRPr="00EE6E5C" w:rsidRDefault="000177D5" w:rsidP="007A60F3">
      <w:pPr>
        <w:widowControl w:val="0"/>
        <w:tabs>
          <w:tab w:val="left" w:pos="2430"/>
        </w:tabs>
        <w:autoSpaceDE w:val="0"/>
        <w:autoSpaceDN w:val="0"/>
        <w:adjustRightInd w:val="0"/>
        <w:ind w:left="720"/>
      </w:pPr>
    </w:p>
    <w:p w14:paraId="07A30DBC" w14:textId="77777777" w:rsidR="000177D5" w:rsidRPr="00993B55" w:rsidRDefault="000177D5" w:rsidP="007A60F3">
      <w:pPr>
        <w:widowControl w:val="0"/>
        <w:tabs>
          <w:tab w:val="left" w:pos="2250"/>
        </w:tabs>
        <w:autoSpaceDE w:val="0"/>
        <w:autoSpaceDN w:val="0"/>
        <w:adjustRightInd w:val="0"/>
        <w:ind w:left="2250" w:hanging="1530"/>
        <w:rPr>
          <w:color w:val="0000FF"/>
        </w:rPr>
      </w:pPr>
      <w:r w:rsidRPr="00993B55">
        <w:rPr>
          <w:i/>
          <w:iCs/>
          <w:color w:val="0000FF"/>
          <w:u w:val="single"/>
        </w:rPr>
        <w:t>Example (a)</w:t>
      </w:r>
      <w:r w:rsidRPr="00993B55">
        <w:rPr>
          <w:i/>
          <w:iCs/>
          <w:color w:val="0000FF"/>
        </w:rPr>
        <w:t>:</w:t>
      </w:r>
      <w:r w:rsidRPr="00993B55">
        <w:rPr>
          <w:i/>
          <w:iCs/>
          <w:color w:val="0000FF"/>
        </w:rPr>
        <w:tab/>
        <w:t xml:space="preserve">(For a facility – with a few permit units and no ERC credits </w:t>
      </w:r>
      <w:r w:rsidRPr="00993B55">
        <w:rPr>
          <w:bCs/>
          <w:i/>
          <w:iCs/>
          <w:color w:val="0000FF"/>
          <w:spacing w:val="-3"/>
        </w:rPr>
        <w:t xml:space="preserve">that have been banked at the source and </w:t>
      </w:r>
      <w:r w:rsidRPr="00993B55">
        <w:rPr>
          <w:i/>
          <w:iCs/>
          <w:color w:val="0000FF"/>
        </w:rPr>
        <w:t>which have not been used on-site.)</w:t>
      </w:r>
    </w:p>
    <w:tbl>
      <w:tblPr>
        <w:tblW w:w="9010"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316"/>
        <w:gridCol w:w="1316"/>
        <w:gridCol w:w="1316"/>
        <w:gridCol w:w="1316"/>
        <w:gridCol w:w="1316"/>
      </w:tblGrid>
      <w:tr w:rsidR="000177D5" w:rsidRPr="00993B55" w14:paraId="1B5D0562" w14:textId="77777777" w:rsidTr="00505E9F">
        <w:trPr>
          <w:cantSplit/>
          <w:trHeight w:val="420"/>
        </w:trPr>
        <w:tc>
          <w:tcPr>
            <w:tcW w:w="9010" w:type="dxa"/>
            <w:gridSpan w:val="6"/>
            <w:shd w:val="clear" w:color="auto" w:fill="D9D9D9" w:themeFill="background1" w:themeFillShade="D9"/>
            <w:vAlign w:val="center"/>
          </w:tcPr>
          <w:p w14:paraId="15528FA2" w14:textId="77777777" w:rsidR="000177D5" w:rsidRPr="002052A9" w:rsidRDefault="000177D5" w:rsidP="00161A24">
            <w:pPr>
              <w:keepNext/>
              <w:widowControl w:val="0"/>
              <w:ind w:right="-108"/>
              <w:jc w:val="center"/>
              <w:rPr>
                <w:b/>
                <w:sz w:val="22"/>
                <w:szCs w:val="22"/>
              </w:rPr>
            </w:pPr>
            <w:r w:rsidRPr="002052A9">
              <w:rPr>
                <w:b/>
                <w:sz w:val="22"/>
                <w:szCs w:val="22"/>
              </w:rPr>
              <w:t>SSPE2 (lb/year)</w:t>
            </w:r>
          </w:p>
        </w:tc>
      </w:tr>
      <w:tr w:rsidR="000177D5" w:rsidRPr="00993B55" w14:paraId="0274659E" w14:textId="77777777" w:rsidTr="00505E9F">
        <w:trPr>
          <w:cantSplit/>
          <w:trHeight w:val="411"/>
        </w:trPr>
        <w:tc>
          <w:tcPr>
            <w:tcW w:w="2430" w:type="dxa"/>
            <w:shd w:val="clear" w:color="auto" w:fill="D9D9D9" w:themeFill="background1" w:themeFillShade="D9"/>
            <w:vAlign w:val="center"/>
          </w:tcPr>
          <w:p w14:paraId="5AA437AC" w14:textId="77777777" w:rsidR="000177D5" w:rsidRPr="00993B55" w:rsidRDefault="000177D5" w:rsidP="00161A24">
            <w:pPr>
              <w:keepNext/>
              <w:widowControl w:val="0"/>
              <w:jc w:val="center"/>
              <w:rPr>
                <w:b/>
                <w:spacing w:val="-3"/>
                <w:sz w:val="22"/>
                <w:szCs w:val="22"/>
              </w:rPr>
            </w:pPr>
            <w:r w:rsidRPr="00993B55">
              <w:rPr>
                <w:b/>
                <w:spacing w:val="-3"/>
                <w:sz w:val="22"/>
                <w:szCs w:val="22"/>
              </w:rPr>
              <w:t>Permit Unit</w:t>
            </w:r>
          </w:p>
        </w:tc>
        <w:tc>
          <w:tcPr>
            <w:tcW w:w="1316" w:type="dxa"/>
            <w:shd w:val="clear" w:color="auto" w:fill="D9D9D9" w:themeFill="background1" w:themeFillShade="D9"/>
            <w:vAlign w:val="center"/>
          </w:tcPr>
          <w:p w14:paraId="68F8AEBA" w14:textId="083855D8" w:rsidR="000177D5" w:rsidRPr="002052A9" w:rsidRDefault="000177D5" w:rsidP="00161A24">
            <w:pPr>
              <w:keepNext/>
              <w:widowControl w:val="0"/>
              <w:jc w:val="center"/>
              <w:rPr>
                <w:b/>
                <w:sz w:val="22"/>
                <w:szCs w:val="22"/>
              </w:rPr>
            </w:pPr>
            <w:r w:rsidRPr="002052A9">
              <w:rPr>
                <w:b/>
                <w:sz w:val="22"/>
                <w:szCs w:val="22"/>
              </w:rPr>
              <w:t>NO</w:t>
            </w:r>
            <w:r w:rsidR="00EE2923" w:rsidRPr="002052A9">
              <w:rPr>
                <w:b/>
                <w:sz w:val="22"/>
                <w:szCs w:val="22"/>
              </w:rPr>
              <w:t>x</w:t>
            </w:r>
          </w:p>
        </w:tc>
        <w:tc>
          <w:tcPr>
            <w:tcW w:w="1316" w:type="dxa"/>
            <w:shd w:val="clear" w:color="auto" w:fill="D9D9D9" w:themeFill="background1" w:themeFillShade="D9"/>
            <w:vAlign w:val="center"/>
          </w:tcPr>
          <w:p w14:paraId="27540F55" w14:textId="73CE9753" w:rsidR="000177D5" w:rsidRPr="002052A9" w:rsidRDefault="000177D5" w:rsidP="00161A24">
            <w:pPr>
              <w:keepNext/>
              <w:widowControl w:val="0"/>
              <w:jc w:val="center"/>
              <w:rPr>
                <w:b/>
                <w:spacing w:val="-3"/>
                <w:sz w:val="22"/>
                <w:szCs w:val="22"/>
              </w:rPr>
            </w:pPr>
            <w:r w:rsidRPr="002052A9">
              <w:rPr>
                <w:b/>
                <w:sz w:val="22"/>
                <w:szCs w:val="22"/>
              </w:rPr>
              <w:t>SO</w:t>
            </w:r>
            <w:r w:rsidR="00EE2923" w:rsidRPr="002052A9">
              <w:rPr>
                <w:b/>
                <w:sz w:val="22"/>
                <w:szCs w:val="22"/>
              </w:rPr>
              <w:t>x</w:t>
            </w:r>
          </w:p>
        </w:tc>
        <w:tc>
          <w:tcPr>
            <w:tcW w:w="1316" w:type="dxa"/>
            <w:shd w:val="clear" w:color="auto" w:fill="D9D9D9" w:themeFill="background1" w:themeFillShade="D9"/>
            <w:vAlign w:val="center"/>
          </w:tcPr>
          <w:p w14:paraId="5EDCE9B9" w14:textId="56C07565" w:rsidR="000177D5" w:rsidRPr="002052A9" w:rsidRDefault="000177D5" w:rsidP="00161A24">
            <w:pPr>
              <w:keepNext/>
              <w:widowControl w:val="0"/>
              <w:jc w:val="center"/>
              <w:rPr>
                <w:b/>
                <w:spacing w:val="-3"/>
                <w:sz w:val="22"/>
                <w:szCs w:val="22"/>
              </w:rPr>
            </w:pPr>
            <w:r w:rsidRPr="002052A9">
              <w:rPr>
                <w:b/>
                <w:sz w:val="22"/>
                <w:szCs w:val="22"/>
              </w:rPr>
              <w:t>PM</w:t>
            </w:r>
            <w:r w:rsidR="00EE2923" w:rsidRPr="002052A9">
              <w:rPr>
                <w:b/>
                <w:sz w:val="22"/>
                <w:szCs w:val="22"/>
              </w:rPr>
              <w:t>10</w:t>
            </w:r>
          </w:p>
        </w:tc>
        <w:tc>
          <w:tcPr>
            <w:tcW w:w="1316" w:type="dxa"/>
            <w:shd w:val="clear" w:color="auto" w:fill="D9D9D9" w:themeFill="background1" w:themeFillShade="D9"/>
            <w:vAlign w:val="center"/>
          </w:tcPr>
          <w:p w14:paraId="5BFF40BD" w14:textId="77777777" w:rsidR="000177D5" w:rsidRPr="002052A9" w:rsidRDefault="000177D5" w:rsidP="00161A24">
            <w:pPr>
              <w:keepNext/>
              <w:widowControl w:val="0"/>
              <w:jc w:val="center"/>
              <w:rPr>
                <w:b/>
                <w:spacing w:val="-3"/>
                <w:sz w:val="22"/>
                <w:szCs w:val="22"/>
              </w:rPr>
            </w:pPr>
            <w:r w:rsidRPr="002052A9">
              <w:rPr>
                <w:b/>
                <w:sz w:val="22"/>
                <w:szCs w:val="22"/>
              </w:rPr>
              <w:t>CO</w:t>
            </w:r>
          </w:p>
        </w:tc>
        <w:tc>
          <w:tcPr>
            <w:tcW w:w="1316" w:type="dxa"/>
            <w:shd w:val="clear" w:color="auto" w:fill="D9D9D9" w:themeFill="background1" w:themeFillShade="D9"/>
            <w:vAlign w:val="center"/>
          </w:tcPr>
          <w:p w14:paraId="6A636707" w14:textId="77777777" w:rsidR="000177D5" w:rsidRPr="002052A9" w:rsidRDefault="000177D5" w:rsidP="00161A24">
            <w:pPr>
              <w:keepNext/>
              <w:widowControl w:val="0"/>
              <w:jc w:val="center"/>
              <w:rPr>
                <w:b/>
                <w:spacing w:val="-3"/>
                <w:sz w:val="22"/>
                <w:szCs w:val="22"/>
              </w:rPr>
            </w:pPr>
            <w:r w:rsidRPr="002052A9">
              <w:rPr>
                <w:b/>
                <w:sz w:val="22"/>
                <w:szCs w:val="22"/>
              </w:rPr>
              <w:t>VOC</w:t>
            </w:r>
          </w:p>
        </w:tc>
      </w:tr>
      <w:tr w:rsidR="007876F5" w:rsidRPr="00993B55" w14:paraId="73059FD5" w14:textId="77777777" w:rsidTr="00505E9F">
        <w:trPr>
          <w:cantSplit/>
          <w:trHeight w:val="339"/>
        </w:trPr>
        <w:tc>
          <w:tcPr>
            <w:tcW w:w="2430" w:type="dxa"/>
            <w:shd w:val="clear" w:color="auto" w:fill="auto"/>
            <w:vAlign w:val="center"/>
          </w:tcPr>
          <w:p w14:paraId="466B0B5B" w14:textId="555C8F05" w:rsidR="007876F5" w:rsidRPr="00993B55" w:rsidRDefault="007876F5" w:rsidP="00161A24">
            <w:pPr>
              <w:keepNext/>
              <w:widowControl w:val="0"/>
              <w:jc w:val="center"/>
              <w:rPr>
                <w:sz w:val="22"/>
                <w:szCs w:val="22"/>
              </w:rPr>
            </w:pPr>
            <w:r w:rsidRPr="001D3048">
              <w:rPr>
                <w:color w:val="0000FF"/>
                <w:sz w:val="22"/>
                <w:szCs w:val="22"/>
              </w:rPr>
              <w:t>X-XXXX-X-X</w:t>
            </w:r>
          </w:p>
        </w:tc>
        <w:tc>
          <w:tcPr>
            <w:tcW w:w="1316" w:type="dxa"/>
            <w:shd w:val="clear" w:color="auto" w:fill="auto"/>
            <w:vAlign w:val="center"/>
          </w:tcPr>
          <w:p w14:paraId="139F7B4E" w14:textId="00BE12B0" w:rsidR="007876F5" w:rsidRPr="002052A9" w:rsidRDefault="007876F5" w:rsidP="00161A24">
            <w:pPr>
              <w:keepNext/>
              <w:widowControl w:val="0"/>
              <w:jc w:val="center"/>
              <w:rPr>
                <w:snapToGrid w:val="0"/>
                <w:color w:val="000000"/>
                <w:sz w:val="22"/>
                <w:szCs w:val="22"/>
              </w:rPr>
            </w:pPr>
            <w:r w:rsidRPr="002052A9">
              <w:rPr>
                <w:color w:val="0000FF"/>
                <w:sz w:val="22"/>
                <w:szCs w:val="22"/>
              </w:rPr>
              <w:t>X,XXX</w:t>
            </w:r>
          </w:p>
        </w:tc>
        <w:tc>
          <w:tcPr>
            <w:tcW w:w="1316" w:type="dxa"/>
            <w:shd w:val="clear" w:color="auto" w:fill="auto"/>
            <w:vAlign w:val="center"/>
          </w:tcPr>
          <w:p w14:paraId="684A1043" w14:textId="1D89A775" w:rsidR="007876F5" w:rsidRPr="002052A9" w:rsidRDefault="007876F5" w:rsidP="00161A24">
            <w:pPr>
              <w:keepNext/>
              <w:widowControl w:val="0"/>
              <w:jc w:val="center"/>
              <w:rPr>
                <w:snapToGrid w:val="0"/>
                <w:color w:val="000000"/>
                <w:sz w:val="22"/>
                <w:szCs w:val="22"/>
              </w:rPr>
            </w:pPr>
            <w:r w:rsidRPr="002052A9">
              <w:rPr>
                <w:color w:val="0000FF"/>
                <w:sz w:val="22"/>
                <w:szCs w:val="22"/>
              </w:rPr>
              <w:t>X,XXX</w:t>
            </w:r>
          </w:p>
        </w:tc>
        <w:tc>
          <w:tcPr>
            <w:tcW w:w="1316" w:type="dxa"/>
            <w:shd w:val="clear" w:color="auto" w:fill="auto"/>
            <w:vAlign w:val="center"/>
          </w:tcPr>
          <w:p w14:paraId="7C5ECBA1" w14:textId="5DB1FCE2" w:rsidR="007876F5" w:rsidRPr="002052A9" w:rsidRDefault="007876F5" w:rsidP="00161A24">
            <w:pPr>
              <w:keepNext/>
              <w:widowControl w:val="0"/>
              <w:jc w:val="center"/>
              <w:rPr>
                <w:snapToGrid w:val="0"/>
                <w:color w:val="000000"/>
                <w:sz w:val="22"/>
                <w:szCs w:val="22"/>
              </w:rPr>
            </w:pPr>
            <w:r w:rsidRPr="002052A9">
              <w:rPr>
                <w:color w:val="0000FF"/>
                <w:sz w:val="22"/>
                <w:szCs w:val="22"/>
              </w:rPr>
              <w:t>X,XXX</w:t>
            </w:r>
          </w:p>
        </w:tc>
        <w:tc>
          <w:tcPr>
            <w:tcW w:w="1316" w:type="dxa"/>
            <w:shd w:val="clear" w:color="auto" w:fill="auto"/>
            <w:vAlign w:val="center"/>
          </w:tcPr>
          <w:p w14:paraId="5BB6D1E7" w14:textId="6763179B" w:rsidR="007876F5" w:rsidRPr="002052A9" w:rsidRDefault="007876F5" w:rsidP="00161A24">
            <w:pPr>
              <w:keepNext/>
              <w:widowControl w:val="0"/>
              <w:jc w:val="center"/>
              <w:rPr>
                <w:snapToGrid w:val="0"/>
                <w:color w:val="000000"/>
                <w:sz w:val="22"/>
                <w:szCs w:val="22"/>
              </w:rPr>
            </w:pPr>
            <w:r w:rsidRPr="002052A9">
              <w:rPr>
                <w:color w:val="0000FF"/>
                <w:sz w:val="22"/>
                <w:szCs w:val="22"/>
              </w:rPr>
              <w:t>X,XXX</w:t>
            </w:r>
          </w:p>
        </w:tc>
        <w:tc>
          <w:tcPr>
            <w:tcW w:w="1316" w:type="dxa"/>
            <w:shd w:val="clear" w:color="auto" w:fill="auto"/>
            <w:vAlign w:val="center"/>
          </w:tcPr>
          <w:p w14:paraId="0F9F72D9" w14:textId="54D03E38" w:rsidR="007876F5" w:rsidRPr="002052A9" w:rsidRDefault="007876F5" w:rsidP="00161A24">
            <w:pPr>
              <w:keepNext/>
              <w:widowControl w:val="0"/>
              <w:jc w:val="center"/>
              <w:rPr>
                <w:spacing w:val="-3"/>
                <w:sz w:val="22"/>
                <w:szCs w:val="22"/>
              </w:rPr>
            </w:pPr>
            <w:r w:rsidRPr="002052A9">
              <w:rPr>
                <w:color w:val="0000FF"/>
                <w:sz w:val="22"/>
                <w:szCs w:val="22"/>
              </w:rPr>
              <w:t>X,XXX</w:t>
            </w:r>
          </w:p>
        </w:tc>
      </w:tr>
      <w:tr w:rsidR="007876F5" w:rsidRPr="00993B55" w14:paraId="705DD754" w14:textId="77777777" w:rsidTr="00505E9F">
        <w:trPr>
          <w:cantSplit/>
          <w:trHeight w:val="336"/>
        </w:trPr>
        <w:tc>
          <w:tcPr>
            <w:tcW w:w="2430" w:type="dxa"/>
            <w:shd w:val="clear" w:color="auto" w:fill="auto"/>
            <w:vAlign w:val="center"/>
          </w:tcPr>
          <w:p w14:paraId="39D1A6A4" w14:textId="31C45F8C" w:rsidR="007876F5" w:rsidRPr="00993B55" w:rsidRDefault="007876F5" w:rsidP="00161A24">
            <w:pPr>
              <w:keepNext/>
              <w:widowControl w:val="0"/>
              <w:jc w:val="center"/>
              <w:rPr>
                <w:sz w:val="22"/>
                <w:szCs w:val="22"/>
              </w:rPr>
            </w:pPr>
            <w:r w:rsidRPr="001D3048">
              <w:rPr>
                <w:color w:val="0000FF"/>
                <w:sz w:val="22"/>
                <w:szCs w:val="22"/>
              </w:rPr>
              <w:t>X-XXXX-X-X</w:t>
            </w:r>
          </w:p>
        </w:tc>
        <w:tc>
          <w:tcPr>
            <w:tcW w:w="1316" w:type="dxa"/>
            <w:shd w:val="clear" w:color="auto" w:fill="auto"/>
            <w:vAlign w:val="center"/>
          </w:tcPr>
          <w:p w14:paraId="3AF2A996" w14:textId="6883737C" w:rsidR="007876F5" w:rsidRPr="002052A9" w:rsidRDefault="007876F5" w:rsidP="00161A24">
            <w:pPr>
              <w:keepNext/>
              <w:widowControl w:val="0"/>
              <w:jc w:val="center"/>
              <w:rPr>
                <w:snapToGrid w:val="0"/>
                <w:color w:val="000000"/>
                <w:sz w:val="22"/>
                <w:szCs w:val="22"/>
              </w:rPr>
            </w:pPr>
            <w:r w:rsidRPr="002052A9">
              <w:rPr>
                <w:color w:val="0000FF"/>
                <w:sz w:val="22"/>
                <w:szCs w:val="22"/>
              </w:rPr>
              <w:t>X,XXX</w:t>
            </w:r>
          </w:p>
        </w:tc>
        <w:tc>
          <w:tcPr>
            <w:tcW w:w="1316" w:type="dxa"/>
            <w:shd w:val="clear" w:color="auto" w:fill="auto"/>
            <w:vAlign w:val="center"/>
          </w:tcPr>
          <w:p w14:paraId="0A60A853" w14:textId="0A79DB14" w:rsidR="007876F5" w:rsidRPr="002052A9" w:rsidRDefault="007876F5" w:rsidP="00161A24">
            <w:pPr>
              <w:keepNext/>
              <w:widowControl w:val="0"/>
              <w:jc w:val="center"/>
              <w:rPr>
                <w:snapToGrid w:val="0"/>
                <w:color w:val="000000"/>
                <w:sz w:val="22"/>
                <w:szCs w:val="22"/>
              </w:rPr>
            </w:pPr>
            <w:r w:rsidRPr="002052A9">
              <w:rPr>
                <w:color w:val="0000FF"/>
                <w:sz w:val="22"/>
                <w:szCs w:val="22"/>
              </w:rPr>
              <w:t>X,XXX</w:t>
            </w:r>
          </w:p>
        </w:tc>
        <w:tc>
          <w:tcPr>
            <w:tcW w:w="1316" w:type="dxa"/>
            <w:shd w:val="clear" w:color="auto" w:fill="auto"/>
            <w:vAlign w:val="center"/>
          </w:tcPr>
          <w:p w14:paraId="392640E9" w14:textId="57CA9D08" w:rsidR="007876F5" w:rsidRPr="002052A9" w:rsidRDefault="007876F5" w:rsidP="00161A24">
            <w:pPr>
              <w:keepNext/>
              <w:widowControl w:val="0"/>
              <w:jc w:val="center"/>
              <w:rPr>
                <w:snapToGrid w:val="0"/>
                <w:color w:val="000000"/>
                <w:sz w:val="22"/>
                <w:szCs w:val="22"/>
              </w:rPr>
            </w:pPr>
            <w:r w:rsidRPr="002052A9">
              <w:rPr>
                <w:color w:val="0000FF"/>
                <w:sz w:val="22"/>
                <w:szCs w:val="22"/>
              </w:rPr>
              <w:t>X,XXX</w:t>
            </w:r>
          </w:p>
        </w:tc>
        <w:tc>
          <w:tcPr>
            <w:tcW w:w="1316" w:type="dxa"/>
            <w:shd w:val="clear" w:color="auto" w:fill="auto"/>
            <w:vAlign w:val="center"/>
          </w:tcPr>
          <w:p w14:paraId="0B94EC6F" w14:textId="302622BA" w:rsidR="007876F5" w:rsidRPr="002052A9" w:rsidRDefault="007876F5" w:rsidP="00161A24">
            <w:pPr>
              <w:keepNext/>
              <w:widowControl w:val="0"/>
              <w:jc w:val="center"/>
              <w:rPr>
                <w:snapToGrid w:val="0"/>
                <w:color w:val="000000"/>
                <w:sz w:val="22"/>
                <w:szCs w:val="22"/>
              </w:rPr>
            </w:pPr>
            <w:r w:rsidRPr="002052A9">
              <w:rPr>
                <w:color w:val="0000FF"/>
                <w:sz w:val="22"/>
                <w:szCs w:val="22"/>
              </w:rPr>
              <w:t>X,XXX</w:t>
            </w:r>
          </w:p>
        </w:tc>
        <w:tc>
          <w:tcPr>
            <w:tcW w:w="1316" w:type="dxa"/>
            <w:shd w:val="clear" w:color="auto" w:fill="auto"/>
            <w:vAlign w:val="center"/>
          </w:tcPr>
          <w:p w14:paraId="6B3F243B" w14:textId="55858A8B" w:rsidR="007876F5" w:rsidRPr="002052A9" w:rsidRDefault="007876F5" w:rsidP="00161A24">
            <w:pPr>
              <w:keepNext/>
              <w:widowControl w:val="0"/>
              <w:jc w:val="center"/>
              <w:rPr>
                <w:spacing w:val="-3"/>
                <w:sz w:val="22"/>
                <w:szCs w:val="22"/>
              </w:rPr>
            </w:pPr>
            <w:r w:rsidRPr="002052A9">
              <w:rPr>
                <w:color w:val="0000FF"/>
                <w:sz w:val="22"/>
                <w:szCs w:val="22"/>
              </w:rPr>
              <w:t>X,XXX</w:t>
            </w:r>
          </w:p>
        </w:tc>
      </w:tr>
      <w:tr w:rsidR="007876F5" w:rsidRPr="00993B55" w14:paraId="4CAA0386" w14:textId="77777777" w:rsidTr="00505E9F">
        <w:trPr>
          <w:cantSplit/>
          <w:trHeight w:val="354"/>
        </w:trPr>
        <w:tc>
          <w:tcPr>
            <w:tcW w:w="2430" w:type="dxa"/>
            <w:shd w:val="clear" w:color="auto" w:fill="auto"/>
            <w:vAlign w:val="center"/>
          </w:tcPr>
          <w:p w14:paraId="5B1AA0EF" w14:textId="2F60B104" w:rsidR="007876F5" w:rsidRPr="00993B55" w:rsidRDefault="007876F5" w:rsidP="00161A24">
            <w:pPr>
              <w:keepNext/>
              <w:widowControl w:val="0"/>
              <w:jc w:val="center"/>
              <w:rPr>
                <w:spacing w:val="-3"/>
                <w:sz w:val="22"/>
                <w:szCs w:val="22"/>
              </w:rPr>
            </w:pPr>
            <w:r w:rsidRPr="007876F5">
              <w:rPr>
                <w:color w:val="0000FF"/>
                <w:sz w:val="22"/>
                <w:szCs w:val="22"/>
              </w:rPr>
              <w:t>X-XXXX-X-X</w:t>
            </w:r>
            <w:r w:rsidRPr="007876F5">
              <w:rPr>
                <w:color w:val="0000FF"/>
                <w:spacing w:val="-3"/>
                <w:sz w:val="22"/>
                <w:szCs w:val="22"/>
              </w:rPr>
              <w:t xml:space="preserve"> (new)</w:t>
            </w:r>
          </w:p>
        </w:tc>
        <w:tc>
          <w:tcPr>
            <w:tcW w:w="1316" w:type="dxa"/>
            <w:shd w:val="clear" w:color="auto" w:fill="auto"/>
            <w:vAlign w:val="center"/>
          </w:tcPr>
          <w:p w14:paraId="279CCE90" w14:textId="78161120" w:rsidR="007876F5" w:rsidRPr="002052A9" w:rsidRDefault="007876F5" w:rsidP="00161A24">
            <w:pPr>
              <w:keepNext/>
              <w:widowControl w:val="0"/>
              <w:jc w:val="center"/>
              <w:rPr>
                <w:sz w:val="22"/>
                <w:szCs w:val="22"/>
              </w:rPr>
            </w:pPr>
            <w:r w:rsidRPr="002052A9">
              <w:rPr>
                <w:color w:val="0000FF"/>
                <w:sz w:val="22"/>
                <w:szCs w:val="22"/>
              </w:rPr>
              <w:t>X,XXX</w:t>
            </w:r>
          </w:p>
        </w:tc>
        <w:tc>
          <w:tcPr>
            <w:tcW w:w="1316" w:type="dxa"/>
            <w:shd w:val="clear" w:color="auto" w:fill="auto"/>
            <w:vAlign w:val="center"/>
          </w:tcPr>
          <w:p w14:paraId="45AD26B4" w14:textId="584C6743" w:rsidR="007876F5" w:rsidRPr="002052A9" w:rsidRDefault="007876F5" w:rsidP="00161A24">
            <w:pPr>
              <w:keepNext/>
              <w:widowControl w:val="0"/>
              <w:jc w:val="center"/>
              <w:rPr>
                <w:sz w:val="22"/>
                <w:szCs w:val="22"/>
              </w:rPr>
            </w:pPr>
            <w:r w:rsidRPr="002052A9">
              <w:rPr>
                <w:color w:val="0000FF"/>
                <w:sz w:val="22"/>
                <w:szCs w:val="22"/>
              </w:rPr>
              <w:t>X,XXX</w:t>
            </w:r>
          </w:p>
        </w:tc>
        <w:tc>
          <w:tcPr>
            <w:tcW w:w="1316" w:type="dxa"/>
            <w:shd w:val="clear" w:color="auto" w:fill="auto"/>
            <w:vAlign w:val="center"/>
          </w:tcPr>
          <w:p w14:paraId="1EB2B0AB" w14:textId="6CEB58DA" w:rsidR="007876F5" w:rsidRPr="002052A9" w:rsidRDefault="007876F5" w:rsidP="00161A24">
            <w:pPr>
              <w:keepNext/>
              <w:widowControl w:val="0"/>
              <w:jc w:val="center"/>
              <w:rPr>
                <w:sz w:val="22"/>
                <w:szCs w:val="22"/>
              </w:rPr>
            </w:pPr>
            <w:r w:rsidRPr="002052A9">
              <w:rPr>
                <w:color w:val="0000FF"/>
                <w:sz w:val="22"/>
                <w:szCs w:val="22"/>
              </w:rPr>
              <w:t>X,XXX</w:t>
            </w:r>
          </w:p>
        </w:tc>
        <w:tc>
          <w:tcPr>
            <w:tcW w:w="1316" w:type="dxa"/>
            <w:shd w:val="clear" w:color="auto" w:fill="auto"/>
            <w:vAlign w:val="center"/>
          </w:tcPr>
          <w:p w14:paraId="48304B77" w14:textId="2F764A8F" w:rsidR="007876F5" w:rsidRPr="002052A9" w:rsidRDefault="007876F5" w:rsidP="00161A24">
            <w:pPr>
              <w:keepNext/>
              <w:widowControl w:val="0"/>
              <w:jc w:val="center"/>
              <w:rPr>
                <w:sz w:val="22"/>
                <w:szCs w:val="22"/>
              </w:rPr>
            </w:pPr>
            <w:r w:rsidRPr="002052A9">
              <w:rPr>
                <w:color w:val="0000FF"/>
                <w:sz w:val="22"/>
                <w:szCs w:val="22"/>
              </w:rPr>
              <w:t>X,XXX</w:t>
            </w:r>
          </w:p>
        </w:tc>
        <w:tc>
          <w:tcPr>
            <w:tcW w:w="1316" w:type="dxa"/>
            <w:shd w:val="clear" w:color="auto" w:fill="auto"/>
            <w:vAlign w:val="center"/>
          </w:tcPr>
          <w:p w14:paraId="7FCBE8AC" w14:textId="5C8E11D6" w:rsidR="007876F5" w:rsidRPr="002052A9" w:rsidRDefault="007876F5" w:rsidP="00161A24">
            <w:pPr>
              <w:keepNext/>
              <w:widowControl w:val="0"/>
              <w:jc w:val="center"/>
              <w:rPr>
                <w:spacing w:val="-3"/>
                <w:sz w:val="22"/>
                <w:szCs w:val="22"/>
              </w:rPr>
            </w:pPr>
            <w:r w:rsidRPr="002052A9">
              <w:rPr>
                <w:color w:val="0000FF"/>
                <w:sz w:val="22"/>
                <w:szCs w:val="22"/>
              </w:rPr>
              <w:t>X,XXX</w:t>
            </w:r>
          </w:p>
        </w:tc>
      </w:tr>
      <w:tr w:rsidR="007876F5" w:rsidRPr="00993B55" w14:paraId="6C786C7A" w14:textId="77777777" w:rsidTr="00505E9F">
        <w:trPr>
          <w:cantSplit/>
          <w:trHeight w:val="432"/>
        </w:trPr>
        <w:tc>
          <w:tcPr>
            <w:tcW w:w="2430" w:type="dxa"/>
            <w:shd w:val="clear" w:color="auto" w:fill="D9D9D9" w:themeFill="background1" w:themeFillShade="D9"/>
            <w:vAlign w:val="center"/>
          </w:tcPr>
          <w:p w14:paraId="3155FB08" w14:textId="77777777" w:rsidR="007876F5" w:rsidRPr="00993B55" w:rsidRDefault="007876F5" w:rsidP="00161A24">
            <w:pPr>
              <w:keepNext/>
              <w:widowControl w:val="0"/>
              <w:jc w:val="center"/>
              <w:rPr>
                <w:b/>
                <w:spacing w:val="-3"/>
                <w:sz w:val="22"/>
                <w:szCs w:val="22"/>
              </w:rPr>
            </w:pPr>
            <w:r w:rsidRPr="00993B55">
              <w:rPr>
                <w:b/>
                <w:snapToGrid w:val="0"/>
                <w:color w:val="000000"/>
                <w:sz w:val="22"/>
                <w:szCs w:val="22"/>
              </w:rPr>
              <w:t>SSPE2</w:t>
            </w:r>
          </w:p>
        </w:tc>
        <w:tc>
          <w:tcPr>
            <w:tcW w:w="1316" w:type="dxa"/>
            <w:shd w:val="clear" w:color="auto" w:fill="D9D9D9" w:themeFill="background1" w:themeFillShade="D9"/>
            <w:vAlign w:val="center"/>
          </w:tcPr>
          <w:p w14:paraId="4A8C2318" w14:textId="72924DE6" w:rsidR="007876F5" w:rsidRPr="002052A9" w:rsidRDefault="007876F5" w:rsidP="00161A24">
            <w:pPr>
              <w:keepNext/>
              <w:widowControl w:val="0"/>
              <w:jc w:val="center"/>
              <w:rPr>
                <w:b/>
                <w:bCs/>
                <w:sz w:val="22"/>
                <w:szCs w:val="22"/>
              </w:rPr>
            </w:pPr>
            <w:r w:rsidRPr="002052A9">
              <w:rPr>
                <w:b/>
                <w:bCs/>
                <w:color w:val="0000FF"/>
                <w:sz w:val="22"/>
                <w:szCs w:val="22"/>
              </w:rPr>
              <w:t>X,XXX</w:t>
            </w:r>
          </w:p>
        </w:tc>
        <w:tc>
          <w:tcPr>
            <w:tcW w:w="1316" w:type="dxa"/>
            <w:shd w:val="clear" w:color="auto" w:fill="D9D9D9" w:themeFill="background1" w:themeFillShade="D9"/>
            <w:vAlign w:val="center"/>
          </w:tcPr>
          <w:p w14:paraId="7D2B2A9A" w14:textId="703FC603" w:rsidR="007876F5" w:rsidRPr="002052A9" w:rsidRDefault="007876F5" w:rsidP="00161A24">
            <w:pPr>
              <w:keepNext/>
              <w:widowControl w:val="0"/>
              <w:jc w:val="center"/>
              <w:rPr>
                <w:b/>
                <w:bCs/>
                <w:sz w:val="22"/>
                <w:szCs w:val="22"/>
              </w:rPr>
            </w:pPr>
            <w:r w:rsidRPr="002052A9">
              <w:rPr>
                <w:b/>
                <w:bCs/>
                <w:color w:val="0000FF"/>
                <w:sz w:val="22"/>
                <w:szCs w:val="22"/>
              </w:rPr>
              <w:t>X,XXX</w:t>
            </w:r>
          </w:p>
        </w:tc>
        <w:tc>
          <w:tcPr>
            <w:tcW w:w="1316" w:type="dxa"/>
            <w:shd w:val="clear" w:color="auto" w:fill="D9D9D9" w:themeFill="background1" w:themeFillShade="D9"/>
            <w:vAlign w:val="center"/>
          </w:tcPr>
          <w:p w14:paraId="7C0E62CF" w14:textId="5FB4C756" w:rsidR="007876F5" w:rsidRPr="002052A9" w:rsidRDefault="007876F5" w:rsidP="00161A24">
            <w:pPr>
              <w:keepNext/>
              <w:widowControl w:val="0"/>
              <w:jc w:val="center"/>
              <w:rPr>
                <w:b/>
                <w:bCs/>
                <w:sz w:val="22"/>
                <w:szCs w:val="22"/>
              </w:rPr>
            </w:pPr>
            <w:r w:rsidRPr="002052A9">
              <w:rPr>
                <w:b/>
                <w:bCs/>
                <w:color w:val="0000FF"/>
                <w:sz w:val="22"/>
                <w:szCs w:val="22"/>
              </w:rPr>
              <w:t>X,XXX</w:t>
            </w:r>
          </w:p>
        </w:tc>
        <w:tc>
          <w:tcPr>
            <w:tcW w:w="1316" w:type="dxa"/>
            <w:shd w:val="clear" w:color="auto" w:fill="D9D9D9" w:themeFill="background1" w:themeFillShade="D9"/>
            <w:vAlign w:val="center"/>
          </w:tcPr>
          <w:p w14:paraId="4EF18B9F" w14:textId="5C106B41" w:rsidR="007876F5" w:rsidRPr="002052A9" w:rsidRDefault="007876F5" w:rsidP="00161A24">
            <w:pPr>
              <w:keepNext/>
              <w:widowControl w:val="0"/>
              <w:jc w:val="center"/>
              <w:rPr>
                <w:b/>
                <w:bCs/>
                <w:sz w:val="22"/>
                <w:szCs w:val="22"/>
              </w:rPr>
            </w:pPr>
            <w:r w:rsidRPr="002052A9">
              <w:rPr>
                <w:b/>
                <w:bCs/>
                <w:color w:val="0000FF"/>
                <w:sz w:val="22"/>
                <w:szCs w:val="22"/>
              </w:rPr>
              <w:t>X,XXX</w:t>
            </w:r>
          </w:p>
        </w:tc>
        <w:tc>
          <w:tcPr>
            <w:tcW w:w="1316" w:type="dxa"/>
            <w:shd w:val="clear" w:color="auto" w:fill="D9D9D9" w:themeFill="background1" w:themeFillShade="D9"/>
            <w:vAlign w:val="center"/>
          </w:tcPr>
          <w:p w14:paraId="2386264F" w14:textId="0B915B71" w:rsidR="007876F5" w:rsidRPr="002052A9" w:rsidRDefault="007876F5" w:rsidP="00161A24">
            <w:pPr>
              <w:keepNext/>
              <w:widowControl w:val="0"/>
              <w:jc w:val="center"/>
              <w:rPr>
                <w:b/>
                <w:bCs/>
                <w:spacing w:val="-3"/>
                <w:sz w:val="22"/>
                <w:szCs w:val="22"/>
              </w:rPr>
            </w:pPr>
            <w:r w:rsidRPr="002052A9">
              <w:rPr>
                <w:b/>
                <w:bCs/>
                <w:color w:val="0000FF"/>
                <w:sz w:val="22"/>
                <w:szCs w:val="22"/>
              </w:rPr>
              <w:t>X,XXX</w:t>
            </w:r>
          </w:p>
        </w:tc>
      </w:tr>
    </w:tbl>
    <w:p w14:paraId="62E684F8" w14:textId="77777777" w:rsidR="000177D5" w:rsidRPr="00993B55" w:rsidRDefault="000177D5" w:rsidP="007A60F3">
      <w:pPr>
        <w:widowControl w:val="0"/>
        <w:autoSpaceDE w:val="0"/>
        <w:autoSpaceDN w:val="0"/>
        <w:adjustRightInd w:val="0"/>
        <w:ind w:left="720"/>
        <w:rPr>
          <w:color w:val="000000"/>
        </w:rPr>
      </w:pPr>
    </w:p>
    <w:p w14:paraId="408819A7" w14:textId="77777777" w:rsidR="000177D5" w:rsidRPr="00993B55" w:rsidRDefault="000177D5" w:rsidP="007A60F3">
      <w:pPr>
        <w:widowControl w:val="0"/>
        <w:autoSpaceDE w:val="0"/>
        <w:autoSpaceDN w:val="0"/>
        <w:adjustRightInd w:val="0"/>
        <w:ind w:left="2250" w:hanging="1530"/>
        <w:rPr>
          <w:i/>
          <w:iCs/>
          <w:color w:val="0000FF"/>
        </w:rPr>
      </w:pPr>
      <w:r w:rsidRPr="00993B55">
        <w:rPr>
          <w:i/>
          <w:iCs/>
          <w:color w:val="0000FF"/>
          <w:u w:val="single"/>
        </w:rPr>
        <w:t>Example (b)</w:t>
      </w:r>
      <w:r w:rsidRPr="00993B55">
        <w:rPr>
          <w:i/>
          <w:iCs/>
          <w:color w:val="0000FF"/>
        </w:rPr>
        <w:t>:</w:t>
      </w:r>
      <w:r w:rsidRPr="00993B55">
        <w:rPr>
          <w:i/>
          <w:iCs/>
          <w:color w:val="0000FF"/>
        </w:rPr>
        <w:tab/>
        <w:t xml:space="preserve">(For a facility – with a few permit units and ERC credits </w:t>
      </w:r>
      <w:r w:rsidRPr="00993B55">
        <w:rPr>
          <w:bCs/>
          <w:i/>
          <w:iCs/>
          <w:color w:val="0000FF"/>
          <w:spacing w:val="-3"/>
        </w:rPr>
        <w:t xml:space="preserve">that have been banked at the source and </w:t>
      </w:r>
      <w:r w:rsidRPr="00993B55">
        <w:rPr>
          <w:i/>
          <w:iCs/>
          <w:color w:val="0000FF"/>
        </w:rPr>
        <w:t>which have not been used on-site.)</w:t>
      </w:r>
    </w:p>
    <w:p w14:paraId="404CE34D" w14:textId="77777777" w:rsidR="000177D5" w:rsidRPr="00993B55" w:rsidRDefault="000177D5" w:rsidP="007A60F3">
      <w:pPr>
        <w:widowControl w:val="0"/>
        <w:ind w:left="720"/>
      </w:pPr>
      <w:r w:rsidRPr="00993B55">
        <w:t xml:space="preserve">The SSPE2 can be calculated by adding the PE2 from all units with valid ATCs or PTOs and the sum of the ERCs </w:t>
      </w:r>
      <w:r w:rsidRPr="00993B55">
        <w:rPr>
          <w:bCs/>
          <w:iCs/>
          <w:spacing w:val="-3"/>
        </w:rPr>
        <w:t>that have been banked at the source and which have not been used on-site (Total</w:t>
      </w:r>
      <w:r w:rsidRPr="00993B55">
        <w:rPr>
          <w:bCs/>
          <w:iCs/>
          <w:spacing w:val="-3"/>
          <w:vertAlign w:val="subscript"/>
        </w:rPr>
        <w:t>ERC</w:t>
      </w:r>
      <w:r w:rsidRPr="00993B55">
        <w:rPr>
          <w:bCs/>
          <w:iCs/>
          <w:spacing w:val="-3"/>
        </w:rPr>
        <w:t>)</w:t>
      </w:r>
      <w:r w:rsidRPr="00993B55">
        <w:t>.</w:t>
      </w:r>
    </w:p>
    <w:p w14:paraId="60B8CD53" w14:textId="77777777" w:rsidR="000177D5" w:rsidRPr="00993B55" w:rsidRDefault="000177D5" w:rsidP="007A60F3">
      <w:pPr>
        <w:widowControl w:val="0"/>
        <w:ind w:left="720"/>
      </w:pPr>
    </w:p>
    <w:p w14:paraId="2CA9C684" w14:textId="77777777" w:rsidR="000177D5" w:rsidRPr="00993B55" w:rsidRDefault="000177D5" w:rsidP="007A60F3">
      <w:pPr>
        <w:widowControl w:val="0"/>
        <w:ind w:left="720"/>
      </w:pPr>
      <w:r w:rsidRPr="00993B55">
        <w:t>SSPE2</w:t>
      </w:r>
      <w:r w:rsidRPr="00993B55">
        <w:rPr>
          <w:vertAlign w:val="subscript"/>
        </w:rPr>
        <w:t>Total</w:t>
      </w:r>
      <w:r w:rsidRPr="00993B55">
        <w:t xml:space="preserve"> = SSPE2</w:t>
      </w:r>
      <w:r w:rsidRPr="00993B55">
        <w:rPr>
          <w:vertAlign w:val="subscript"/>
        </w:rPr>
        <w:t>Permit Unit</w:t>
      </w:r>
      <w:r w:rsidRPr="00993B55">
        <w:t xml:space="preserve"> + Total</w:t>
      </w:r>
      <w:r w:rsidRPr="00993B55">
        <w:rPr>
          <w:vertAlign w:val="subscript"/>
        </w:rPr>
        <w:t>ERC</w:t>
      </w:r>
    </w:p>
    <w:p w14:paraId="083175DF" w14:textId="1FA9D3A4" w:rsidR="000177D5" w:rsidRDefault="000177D5" w:rsidP="007A60F3">
      <w:pPr>
        <w:widowControl w:val="0"/>
        <w:ind w:left="720"/>
      </w:pPr>
    </w:p>
    <w:tbl>
      <w:tblPr>
        <w:tblW w:w="9010"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316"/>
        <w:gridCol w:w="1316"/>
        <w:gridCol w:w="1316"/>
        <w:gridCol w:w="1316"/>
        <w:gridCol w:w="1316"/>
      </w:tblGrid>
      <w:tr w:rsidR="000177D5" w:rsidRPr="00993B55" w14:paraId="10313418" w14:textId="77777777" w:rsidTr="00505E9F">
        <w:trPr>
          <w:cantSplit/>
          <w:trHeight w:val="420"/>
        </w:trPr>
        <w:tc>
          <w:tcPr>
            <w:tcW w:w="9010" w:type="dxa"/>
            <w:gridSpan w:val="6"/>
            <w:shd w:val="clear" w:color="auto" w:fill="D9D9D9" w:themeFill="background1" w:themeFillShade="D9"/>
            <w:vAlign w:val="center"/>
          </w:tcPr>
          <w:p w14:paraId="6C839D2A" w14:textId="77777777" w:rsidR="000177D5" w:rsidRPr="00993B55" w:rsidRDefault="000177D5" w:rsidP="00161A24">
            <w:pPr>
              <w:keepNext/>
              <w:widowControl w:val="0"/>
              <w:jc w:val="center"/>
              <w:rPr>
                <w:b/>
                <w:sz w:val="22"/>
                <w:szCs w:val="22"/>
              </w:rPr>
            </w:pPr>
            <w:r w:rsidRPr="00993B55">
              <w:rPr>
                <w:b/>
                <w:sz w:val="22"/>
                <w:szCs w:val="22"/>
              </w:rPr>
              <w:t>SSPE2 (lb/year)</w:t>
            </w:r>
          </w:p>
        </w:tc>
      </w:tr>
      <w:tr w:rsidR="000177D5" w:rsidRPr="00993B55" w14:paraId="58AD7675" w14:textId="77777777" w:rsidTr="00F23CB8">
        <w:trPr>
          <w:cantSplit/>
          <w:trHeight w:val="420"/>
        </w:trPr>
        <w:tc>
          <w:tcPr>
            <w:tcW w:w="2430" w:type="dxa"/>
            <w:shd w:val="clear" w:color="auto" w:fill="D9D9D9" w:themeFill="background1" w:themeFillShade="D9"/>
            <w:vAlign w:val="center"/>
          </w:tcPr>
          <w:p w14:paraId="4AA83C7B" w14:textId="77777777" w:rsidR="000177D5" w:rsidRPr="00993B55" w:rsidRDefault="000177D5" w:rsidP="00161A24">
            <w:pPr>
              <w:keepNext/>
              <w:widowControl w:val="0"/>
              <w:jc w:val="center"/>
              <w:rPr>
                <w:b/>
                <w:spacing w:val="-3"/>
                <w:sz w:val="22"/>
                <w:szCs w:val="22"/>
              </w:rPr>
            </w:pPr>
            <w:r w:rsidRPr="00993B55">
              <w:rPr>
                <w:b/>
                <w:spacing w:val="-3"/>
                <w:sz w:val="22"/>
                <w:szCs w:val="22"/>
              </w:rPr>
              <w:t>Permit Unit/ERC</w:t>
            </w:r>
          </w:p>
        </w:tc>
        <w:tc>
          <w:tcPr>
            <w:tcW w:w="1316" w:type="dxa"/>
            <w:shd w:val="clear" w:color="auto" w:fill="D9D9D9" w:themeFill="background1" w:themeFillShade="D9"/>
            <w:vAlign w:val="center"/>
          </w:tcPr>
          <w:p w14:paraId="33252AA1" w14:textId="7B052EFE" w:rsidR="000177D5" w:rsidRPr="00993B55" w:rsidRDefault="000177D5" w:rsidP="00161A24">
            <w:pPr>
              <w:keepNext/>
              <w:widowControl w:val="0"/>
              <w:jc w:val="center"/>
              <w:rPr>
                <w:b/>
                <w:sz w:val="22"/>
                <w:szCs w:val="22"/>
              </w:rPr>
            </w:pPr>
            <w:r w:rsidRPr="00993B55">
              <w:rPr>
                <w:b/>
                <w:sz w:val="22"/>
                <w:szCs w:val="22"/>
              </w:rPr>
              <w:t>NO</w:t>
            </w:r>
            <w:r w:rsidR="00EE2923">
              <w:rPr>
                <w:b/>
                <w:sz w:val="22"/>
                <w:szCs w:val="22"/>
              </w:rPr>
              <w:t>x</w:t>
            </w:r>
          </w:p>
        </w:tc>
        <w:tc>
          <w:tcPr>
            <w:tcW w:w="1316" w:type="dxa"/>
            <w:shd w:val="clear" w:color="auto" w:fill="D9D9D9" w:themeFill="background1" w:themeFillShade="D9"/>
            <w:vAlign w:val="center"/>
          </w:tcPr>
          <w:p w14:paraId="33E12434" w14:textId="420C59CA" w:rsidR="000177D5" w:rsidRPr="00993B55" w:rsidRDefault="000177D5" w:rsidP="00161A24">
            <w:pPr>
              <w:keepNext/>
              <w:widowControl w:val="0"/>
              <w:jc w:val="center"/>
              <w:rPr>
                <w:b/>
                <w:spacing w:val="-3"/>
                <w:sz w:val="22"/>
                <w:szCs w:val="22"/>
              </w:rPr>
            </w:pPr>
            <w:r w:rsidRPr="00993B55">
              <w:rPr>
                <w:b/>
                <w:sz w:val="22"/>
                <w:szCs w:val="22"/>
              </w:rPr>
              <w:t>SO</w:t>
            </w:r>
            <w:r w:rsidR="00EE2923">
              <w:rPr>
                <w:b/>
                <w:sz w:val="22"/>
                <w:szCs w:val="22"/>
              </w:rPr>
              <w:t>x</w:t>
            </w:r>
          </w:p>
        </w:tc>
        <w:tc>
          <w:tcPr>
            <w:tcW w:w="1316" w:type="dxa"/>
            <w:shd w:val="clear" w:color="auto" w:fill="D9D9D9" w:themeFill="background1" w:themeFillShade="D9"/>
            <w:vAlign w:val="center"/>
          </w:tcPr>
          <w:p w14:paraId="5F369DD4" w14:textId="22F531A9" w:rsidR="000177D5" w:rsidRPr="00993B55" w:rsidRDefault="000177D5" w:rsidP="00161A24">
            <w:pPr>
              <w:keepNext/>
              <w:widowControl w:val="0"/>
              <w:jc w:val="center"/>
              <w:rPr>
                <w:b/>
                <w:spacing w:val="-3"/>
                <w:sz w:val="22"/>
                <w:szCs w:val="22"/>
              </w:rPr>
            </w:pPr>
            <w:r w:rsidRPr="00993B55">
              <w:rPr>
                <w:b/>
                <w:sz w:val="22"/>
                <w:szCs w:val="22"/>
              </w:rPr>
              <w:t>PM</w:t>
            </w:r>
            <w:r w:rsidR="00EE2923">
              <w:rPr>
                <w:b/>
                <w:sz w:val="22"/>
                <w:szCs w:val="22"/>
              </w:rPr>
              <w:t>10</w:t>
            </w:r>
          </w:p>
        </w:tc>
        <w:tc>
          <w:tcPr>
            <w:tcW w:w="1316" w:type="dxa"/>
            <w:shd w:val="clear" w:color="auto" w:fill="D9D9D9" w:themeFill="background1" w:themeFillShade="D9"/>
            <w:vAlign w:val="center"/>
          </w:tcPr>
          <w:p w14:paraId="4D51BE08" w14:textId="77777777" w:rsidR="000177D5" w:rsidRPr="00993B55" w:rsidRDefault="000177D5" w:rsidP="00161A24">
            <w:pPr>
              <w:keepNext/>
              <w:widowControl w:val="0"/>
              <w:jc w:val="center"/>
              <w:rPr>
                <w:b/>
                <w:spacing w:val="-3"/>
                <w:sz w:val="22"/>
                <w:szCs w:val="22"/>
              </w:rPr>
            </w:pPr>
            <w:r w:rsidRPr="00993B55">
              <w:rPr>
                <w:b/>
                <w:sz w:val="22"/>
                <w:szCs w:val="22"/>
              </w:rPr>
              <w:t>CO</w:t>
            </w:r>
          </w:p>
        </w:tc>
        <w:tc>
          <w:tcPr>
            <w:tcW w:w="1316" w:type="dxa"/>
            <w:shd w:val="clear" w:color="auto" w:fill="D9D9D9" w:themeFill="background1" w:themeFillShade="D9"/>
            <w:vAlign w:val="center"/>
          </w:tcPr>
          <w:p w14:paraId="53F427F3" w14:textId="77777777" w:rsidR="000177D5" w:rsidRPr="00993B55" w:rsidRDefault="000177D5" w:rsidP="00161A24">
            <w:pPr>
              <w:keepNext/>
              <w:widowControl w:val="0"/>
              <w:jc w:val="center"/>
              <w:rPr>
                <w:b/>
                <w:spacing w:val="-3"/>
                <w:sz w:val="22"/>
                <w:szCs w:val="22"/>
              </w:rPr>
            </w:pPr>
            <w:r w:rsidRPr="00993B55">
              <w:rPr>
                <w:b/>
                <w:sz w:val="22"/>
                <w:szCs w:val="22"/>
              </w:rPr>
              <w:t>VOC</w:t>
            </w:r>
          </w:p>
        </w:tc>
      </w:tr>
      <w:tr w:rsidR="00F44948" w:rsidRPr="00993B55" w14:paraId="3E74BF55" w14:textId="77777777" w:rsidTr="00F23CB8">
        <w:trPr>
          <w:cantSplit/>
          <w:trHeight w:val="156"/>
        </w:trPr>
        <w:tc>
          <w:tcPr>
            <w:tcW w:w="2430" w:type="dxa"/>
            <w:shd w:val="clear" w:color="auto" w:fill="auto"/>
            <w:vAlign w:val="center"/>
          </w:tcPr>
          <w:p w14:paraId="11A656E6" w14:textId="56B94E7A" w:rsidR="00F44948" w:rsidRPr="00E05055" w:rsidRDefault="00F44948" w:rsidP="00161A24">
            <w:pPr>
              <w:keepNext/>
              <w:widowControl w:val="0"/>
              <w:jc w:val="center"/>
              <w:rPr>
                <w:color w:val="0000FF"/>
                <w:sz w:val="22"/>
                <w:szCs w:val="22"/>
              </w:rPr>
            </w:pPr>
            <w:r w:rsidRPr="00E05055">
              <w:rPr>
                <w:color w:val="0000FF"/>
                <w:sz w:val="22"/>
                <w:szCs w:val="22"/>
              </w:rPr>
              <w:t>X-XXXX-</w:t>
            </w:r>
            <w:r>
              <w:rPr>
                <w:color w:val="0000FF"/>
                <w:sz w:val="22"/>
                <w:szCs w:val="22"/>
              </w:rPr>
              <w:t>X</w:t>
            </w:r>
            <w:r w:rsidRPr="00E05055">
              <w:rPr>
                <w:color w:val="0000FF"/>
                <w:sz w:val="22"/>
                <w:szCs w:val="22"/>
              </w:rPr>
              <w:t>-</w:t>
            </w:r>
            <w:r>
              <w:rPr>
                <w:color w:val="0000FF"/>
                <w:sz w:val="22"/>
                <w:szCs w:val="22"/>
              </w:rPr>
              <w:t>X</w:t>
            </w:r>
          </w:p>
        </w:tc>
        <w:tc>
          <w:tcPr>
            <w:tcW w:w="1316" w:type="dxa"/>
            <w:shd w:val="clear" w:color="auto" w:fill="auto"/>
            <w:vAlign w:val="center"/>
          </w:tcPr>
          <w:p w14:paraId="35607AB7" w14:textId="0D4A654D" w:rsidR="00F44948" w:rsidRPr="002052A9" w:rsidRDefault="00F44948" w:rsidP="00161A24">
            <w:pPr>
              <w:keepNext/>
              <w:widowControl w:val="0"/>
              <w:jc w:val="center"/>
              <w:rPr>
                <w:snapToGrid w:val="0"/>
                <w:color w:val="000000"/>
                <w:sz w:val="22"/>
                <w:szCs w:val="22"/>
              </w:rPr>
            </w:pPr>
            <w:r w:rsidRPr="002052A9">
              <w:rPr>
                <w:color w:val="0000FF"/>
                <w:sz w:val="22"/>
                <w:szCs w:val="22"/>
              </w:rPr>
              <w:t>X,XXX</w:t>
            </w:r>
          </w:p>
        </w:tc>
        <w:tc>
          <w:tcPr>
            <w:tcW w:w="1316" w:type="dxa"/>
            <w:shd w:val="clear" w:color="auto" w:fill="auto"/>
            <w:vAlign w:val="center"/>
          </w:tcPr>
          <w:p w14:paraId="51508B0E" w14:textId="439B3BF3" w:rsidR="00F44948" w:rsidRPr="002052A9" w:rsidRDefault="00F44948" w:rsidP="00161A24">
            <w:pPr>
              <w:keepNext/>
              <w:widowControl w:val="0"/>
              <w:jc w:val="center"/>
              <w:rPr>
                <w:snapToGrid w:val="0"/>
                <w:color w:val="000000"/>
                <w:sz w:val="22"/>
                <w:szCs w:val="22"/>
              </w:rPr>
            </w:pPr>
            <w:r w:rsidRPr="002052A9">
              <w:rPr>
                <w:color w:val="0000FF"/>
                <w:sz w:val="22"/>
                <w:szCs w:val="22"/>
              </w:rPr>
              <w:t>X,XXX</w:t>
            </w:r>
          </w:p>
        </w:tc>
        <w:tc>
          <w:tcPr>
            <w:tcW w:w="1316" w:type="dxa"/>
            <w:shd w:val="clear" w:color="auto" w:fill="auto"/>
            <w:vAlign w:val="center"/>
          </w:tcPr>
          <w:p w14:paraId="19F38A5B" w14:textId="7F1AE79A" w:rsidR="00F44948" w:rsidRPr="002052A9" w:rsidRDefault="00F44948" w:rsidP="00161A24">
            <w:pPr>
              <w:keepNext/>
              <w:widowControl w:val="0"/>
              <w:jc w:val="center"/>
              <w:rPr>
                <w:snapToGrid w:val="0"/>
                <w:color w:val="000000"/>
                <w:sz w:val="22"/>
                <w:szCs w:val="22"/>
              </w:rPr>
            </w:pPr>
            <w:r w:rsidRPr="002052A9">
              <w:rPr>
                <w:color w:val="0000FF"/>
                <w:sz w:val="22"/>
                <w:szCs w:val="22"/>
              </w:rPr>
              <w:t>X,XXX</w:t>
            </w:r>
          </w:p>
        </w:tc>
        <w:tc>
          <w:tcPr>
            <w:tcW w:w="1316" w:type="dxa"/>
            <w:shd w:val="clear" w:color="auto" w:fill="auto"/>
            <w:vAlign w:val="center"/>
          </w:tcPr>
          <w:p w14:paraId="2F0F789C" w14:textId="5596521E" w:rsidR="00F44948" w:rsidRPr="002052A9" w:rsidRDefault="00F44948" w:rsidP="00161A24">
            <w:pPr>
              <w:keepNext/>
              <w:widowControl w:val="0"/>
              <w:jc w:val="center"/>
              <w:rPr>
                <w:snapToGrid w:val="0"/>
                <w:color w:val="000000"/>
                <w:sz w:val="22"/>
                <w:szCs w:val="22"/>
              </w:rPr>
            </w:pPr>
            <w:r w:rsidRPr="002052A9">
              <w:rPr>
                <w:color w:val="0000FF"/>
                <w:sz w:val="22"/>
                <w:szCs w:val="22"/>
              </w:rPr>
              <w:t>X,XXX</w:t>
            </w:r>
          </w:p>
        </w:tc>
        <w:tc>
          <w:tcPr>
            <w:tcW w:w="1316" w:type="dxa"/>
            <w:shd w:val="clear" w:color="auto" w:fill="auto"/>
            <w:vAlign w:val="center"/>
          </w:tcPr>
          <w:p w14:paraId="7F92D14F" w14:textId="6038D145" w:rsidR="00F44948" w:rsidRPr="002052A9" w:rsidRDefault="00F44948" w:rsidP="00161A24">
            <w:pPr>
              <w:keepNext/>
              <w:widowControl w:val="0"/>
              <w:jc w:val="center"/>
              <w:rPr>
                <w:spacing w:val="-3"/>
                <w:sz w:val="22"/>
                <w:szCs w:val="22"/>
              </w:rPr>
            </w:pPr>
            <w:r w:rsidRPr="002052A9">
              <w:rPr>
                <w:color w:val="0000FF"/>
                <w:sz w:val="22"/>
                <w:szCs w:val="22"/>
              </w:rPr>
              <w:t>X,XXX</w:t>
            </w:r>
          </w:p>
        </w:tc>
      </w:tr>
      <w:tr w:rsidR="00F44948" w:rsidRPr="00993B55" w14:paraId="0B322490" w14:textId="77777777" w:rsidTr="00F23CB8">
        <w:trPr>
          <w:cantSplit/>
          <w:trHeight w:val="156"/>
        </w:trPr>
        <w:tc>
          <w:tcPr>
            <w:tcW w:w="2430" w:type="dxa"/>
            <w:shd w:val="clear" w:color="auto" w:fill="auto"/>
            <w:vAlign w:val="center"/>
          </w:tcPr>
          <w:p w14:paraId="1FDCEEA1" w14:textId="3AB080F0" w:rsidR="00F44948" w:rsidRPr="00E05055" w:rsidRDefault="00F44948" w:rsidP="00161A24">
            <w:pPr>
              <w:keepNext/>
              <w:widowControl w:val="0"/>
              <w:jc w:val="center"/>
              <w:rPr>
                <w:color w:val="0000FF"/>
                <w:sz w:val="22"/>
                <w:szCs w:val="22"/>
              </w:rPr>
            </w:pPr>
            <w:r>
              <w:rPr>
                <w:color w:val="0000FF"/>
                <w:sz w:val="22"/>
                <w:szCs w:val="22"/>
              </w:rPr>
              <w:t>X</w:t>
            </w:r>
            <w:r w:rsidRPr="00E05055">
              <w:rPr>
                <w:color w:val="0000FF"/>
                <w:sz w:val="22"/>
                <w:szCs w:val="22"/>
              </w:rPr>
              <w:t>-XXXX-</w:t>
            </w:r>
            <w:r>
              <w:rPr>
                <w:color w:val="0000FF"/>
                <w:sz w:val="22"/>
                <w:szCs w:val="22"/>
              </w:rPr>
              <w:t>X</w:t>
            </w:r>
            <w:r w:rsidRPr="00E05055">
              <w:rPr>
                <w:color w:val="0000FF"/>
                <w:sz w:val="22"/>
                <w:szCs w:val="22"/>
              </w:rPr>
              <w:t>-</w:t>
            </w:r>
            <w:r>
              <w:rPr>
                <w:color w:val="0000FF"/>
                <w:sz w:val="22"/>
                <w:szCs w:val="22"/>
              </w:rPr>
              <w:t>X</w:t>
            </w:r>
          </w:p>
        </w:tc>
        <w:tc>
          <w:tcPr>
            <w:tcW w:w="1316" w:type="dxa"/>
            <w:shd w:val="clear" w:color="auto" w:fill="auto"/>
            <w:vAlign w:val="center"/>
          </w:tcPr>
          <w:p w14:paraId="79BB6CA7" w14:textId="52714CC6" w:rsidR="00F44948" w:rsidRPr="002052A9" w:rsidRDefault="00F44948" w:rsidP="00161A24">
            <w:pPr>
              <w:keepNext/>
              <w:widowControl w:val="0"/>
              <w:jc w:val="center"/>
              <w:rPr>
                <w:snapToGrid w:val="0"/>
                <w:color w:val="000000"/>
                <w:sz w:val="22"/>
                <w:szCs w:val="22"/>
              </w:rPr>
            </w:pPr>
            <w:r w:rsidRPr="002052A9">
              <w:rPr>
                <w:color w:val="0000FF"/>
                <w:sz w:val="22"/>
                <w:szCs w:val="22"/>
              </w:rPr>
              <w:t>X,XXX</w:t>
            </w:r>
          </w:p>
        </w:tc>
        <w:tc>
          <w:tcPr>
            <w:tcW w:w="1316" w:type="dxa"/>
            <w:shd w:val="clear" w:color="auto" w:fill="auto"/>
            <w:vAlign w:val="center"/>
          </w:tcPr>
          <w:p w14:paraId="26443E87" w14:textId="5E234BF6" w:rsidR="00F44948" w:rsidRPr="002052A9" w:rsidRDefault="00F44948" w:rsidP="00161A24">
            <w:pPr>
              <w:keepNext/>
              <w:widowControl w:val="0"/>
              <w:jc w:val="center"/>
              <w:rPr>
                <w:snapToGrid w:val="0"/>
                <w:color w:val="000000"/>
                <w:sz w:val="22"/>
                <w:szCs w:val="22"/>
              </w:rPr>
            </w:pPr>
            <w:r w:rsidRPr="002052A9">
              <w:rPr>
                <w:color w:val="0000FF"/>
                <w:sz w:val="22"/>
                <w:szCs w:val="22"/>
              </w:rPr>
              <w:t>X,XXX</w:t>
            </w:r>
          </w:p>
        </w:tc>
        <w:tc>
          <w:tcPr>
            <w:tcW w:w="1316" w:type="dxa"/>
            <w:shd w:val="clear" w:color="auto" w:fill="auto"/>
            <w:vAlign w:val="center"/>
          </w:tcPr>
          <w:p w14:paraId="231F7E43" w14:textId="4B09D96D" w:rsidR="00F44948" w:rsidRPr="002052A9" w:rsidRDefault="00F44948" w:rsidP="00161A24">
            <w:pPr>
              <w:keepNext/>
              <w:widowControl w:val="0"/>
              <w:jc w:val="center"/>
              <w:rPr>
                <w:snapToGrid w:val="0"/>
                <w:color w:val="000000"/>
                <w:sz w:val="22"/>
                <w:szCs w:val="22"/>
              </w:rPr>
            </w:pPr>
            <w:r w:rsidRPr="002052A9">
              <w:rPr>
                <w:color w:val="0000FF"/>
                <w:sz w:val="22"/>
                <w:szCs w:val="22"/>
              </w:rPr>
              <w:t>X,XXX</w:t>
            </w:r>
          </w:p>
        </w:tc>
        <w:tc>
          <w:tcPr>
            <w:tcW w:w="1316" w:type="dxa"/>
            <w:shd w:val="clear" w:color="auto" w:fill="auto"/>
            <w:vAlign w:val="center"/>
          </w:tcPr>
          <w:p w14:paraId="0A3B932E" w14:textId="5F3D9E65" w:rsidR="00F44948" w:rsidRPr="002052A9" w:rsidRDefault="00F44948" w:rsidP="00161A24">
            <w:pPr>
              <w:keepNext/>
              <w:widowControl w:val="0"/>
              <w:jc w:val="center"/>
              <w:rPr>
                <w:snapToGrid w:val="0"/>
                <w:color w:val="000000"/>
                <w:sz w:val="22"/>
                <w:szCs w:val="22"/>
              </w:rPr>
            </w:pPr>
            <w:r w:rsidRPr="002052A9">
              <w:rPr>
                <w:color w:val="0000FF"/>
                <w:sz w:val="22"/>
                <w:szCs w:val="22"/>
              </w:rPr>
              <w:t>X,XXX</w:t>
            </w:r>
          </w:p>
        </w:tc>
        <w:tc>
          <w:tcPr>
            <w:tcW w:w="1316" w:type="dxa"/>
            <w:shd w:val="clear" w:color="auto" w:fill="auto"/>
            <w:vAlign w:val="center"/>
          </w:tcPr>
          <w:p w14:paraId="2A8A0016" w14:textId="4480F8A5" w:rsidR="00F44948" w:rsidRPr="002052A9" w:rsidRDefault="00F44948" w:rsidP="00161A24">
            <w:pPr>
              <w:keepNext/>
              <w:widowControl w:val="0"/>
              <w:jc w:val="center"/>
              <w:rPr>
                <w:snapToGrid w:val="0"/>
                <w:color w:val="000000"/>
                <w:sz w:val="22"/>
                <w:szCs w:val="22"/>
              </w:rPr>
            </w:pPr>
            <w:r w:rsidRPr="002052A9">
              <w:rPr>
                <w:color w:val="0000FF"/>
                <w:sz w:val="22"/>
                <w:szCs w:val="22"/>
              </w:rPr>
              <w:t>X,XXX</w:t>
            </w:r>
          </w:p>
        </w:tc>
      </w:tr>
      <w:tr w:rsidR="000177D5" w:rsidRPr="00993B55" w14:paraId="44810131" w14:textId="77777777" w:rsidTr="00F23CB8">
        <w:trPr>
          <w:cantSplit/>
          <w:trHeight w:val="156"/>
        </w:trPr>
        <w:tc>
          <w:tcPr>
            <w:tcW w:w="2430" w:type="dxa"/>
            <w:shd w:val="clear" w:color="auto" w:fill="auto"/>
            <w:vAlign w:val="center"/>
          </w:tcPr>
          <w:p w14:paraId="1C6204D2" w14:textId="1B9FA557" w:rsidR="000177D5" w:rsidRPr="00E05055" w:rsidRDefault="000177D5" w:rsidP="00161A24">
            <w:pPr>
              <w:keepNext/>
              <w:widowControl w:val="0"/>
              <w:jc w:val="center"/>
              <w:rPr>
                <w:color w:val="0000FF"/>
                <w:spacing w:val="-3"/>
                <w:sz w:val="22"/>
                <w:szCs w:val="22"/>
              </w:rPr>
            </w:pPr>
            <w:r w:rsidRPr="00E05055">
              <w:rPr>
                <w:spacing w:val="-3"/>
                <w:sz w:val="22"/>
                <w:szCs w:val="22"/>
              </w:rPr>
              <w:t>ERC</w:t>
            </w:r>
            <w:r w:rsidRPr="00E05055">
              <w:rPr>
                <w:color w:val="0000FF"/>
                <w:spacing w:val="-3"/>
                <w:sz w:val="22"/>
                <w:szCs w:val="22"/>
              </w:rPr>
              <w:t xml:space="preserve"> </w:t>
            </w:r>
            <w:r w:rsidR="00F44948">
              <w:rPr>
                <w:color w:val="0000FF"/>
                <w:spacing w:val="-3"/>
                <w:sz w:val="22"/>
                <w:szCs w:val="22"/>
              </w:rPr>
              <w:t>X</w:t>
            </w:r>
            <w:r w:rsidRPr="00E05055">
              <w:rPr>
                <w:color w:val="0000FF"/>
                <w:spacing w:val="-3"/>
                <w:sz w:val="22"/>
                <w:szCs w:val="22"/>
              </w:rPr>
              <w:t>-XXX-1</w:t>
            </w:r>
          </w:p>
        </w:tc>
        <w:tc>
          <w:tcPr>
            <w:tcW w:w="1316" w:type="dxa"/>
            <w:shd w:val="clear" w:color="auto" w:fill="auto"/>
            <w:vAlign w:val="center"/>
          </w:tcPr>
          <w:p w14:paraId="775FB198" w14:textId="77777777" w:rsidR="000177D5" w:rsidRPr="002052A9" w:rsidRDefault="000177D5" w:rsidP="00161A24">
            <w:pPr>
              <w:keepNext/>
              <w:widowControl w:val="0"/>
              <w:jc w:val="center"/>
              <w:rPr>
                <w:sz w:val="22"/>
                <w:szCs w:val="22"/>
              </w:rPr>
            </w:pPr>
            <w:r w:rsidRPr="002052A9">
              <w:rPr>
                <w:sz w:val="22"/>
                <w:szCs w:val="22"/>
              </w:rPr>
              <w:t>-</w:t>
            </w:r>
          </w:p>
        </w:tc>
        <w:tc>
          <w:tcPr>
            <w:tcW w:w="1316" w:type="dxa"/>
            <w:shd w:val="clear" w:color="auto" w:fill="auto"/>
            <w:vAlign w:val="center"/>
          </w:tcPr>
          <w:p w14:paraId="2D2D1519" w14:textId="77777777" w:rsidR="000177D5" w:rsidRPr="002052A9" w:rsidRDefault="000177D5" w:rsidP="00161A24">
            <w:pPr>
              <w:keepNext/>
              <w:widowControl w:val="0"/>
              <w:jc w:val="center"/>
              <w:rPr>
                <w:sz w:val="22"/>
                <w:szCs w:val="22"/>
              </w:rPr>
            </w:pPr>
            <w:r w:rsidRPr="002052A9">
              <w:rPr>
                <w:sz w:val="22"/>
                <w:szCs w:val="22"/>
              </w:rPr>
              <w:t>-</w:t>
            </w:r>
          </w:p>
        </w:tc>
        <w:tc>
          <w:tcPr>
            <w:tcW w:w="1316" w:type="dxa"/>
            <w:shd w:val="clear" w:color="auto" w:fill="auto"/>
            <w:vAlign w:val="center"/>
          </w:tcPr>
          <w:p w14:paraId="358F23BE" w14:textId="77777777" w:rsidR="000177D5" w:rsidRPr="002052A9" w:rsidRDefault="000177D5" w:rsidP="00161A24">
            <w:pPr>
              <w:keepNext/>
              <w:widowControl w:val="0"/>
              <w:jc w:val="center"/>
              <w:rPr>
                <w:sz w:val="22"/>
                <w:szCs w:val="22"/>
              </w:rPr>
            </w:pPr>
            <w:r w:rsidRPr="002052A9">
              <w:rPr>
                <w:sz w:val="22"/>
                <w:szCs w:val="22"/>
              </w:rPr>
              <w:t>-</w:t>
            </w:r>
          </w:p>
        </w:tc>
        <w:tc>
          <w:tcPr>
            <w:tcW w:w="1316" w:type="dxa"/>
            <w:shd w:val="clear" w:color="auto" w:fill="auto"/>
            <w:vAlign w:val="center"/>
          </w:tcPr>
          <w:p w14:paraId="4F5B0AB0" w14:textId="77777777" w:rsidR="000177D5" w:rsidRPr="002052A9" w:rsidRDefault="000177D5" w:rsidP="00161A24">
            <w:pPr>
              <w:keepNext/>
              <w:widowControl w:val="0"/>
              <w:jc w:val="center"/>
              <w:rPr>
                <w:sz w:val="22"/>
                <w:szCs w:val="22"/>
              </w:rPr>
            </w:pPr>
            <w:r w:rsidRPr="002052A9">
              <w:rPr>
                <w:sz w:val="22"/>
                <w:szCs w:val="22"/>
              </w:rPr>
              <w:t>-</w:t>
            </w:r>
          </w:p>
        </w:tc>
        <w:tc>
          <w:tcPr>
            <w:tcW w:w="1316" w:type="dxa"/>
            <w:shd w:val="clear" w:color="auto" w:fill="auto"/>
            <w:vAlign w:val="center"/>
          </w:tcPr>
          <w:p w14:paraId="72B5D388" w14:textId="2DE36E71" w:rsidR="000177D5" w:rsidRPr="002052A9" w:rsidRDefault="003F3117" w:rsidP="00161A24">
            <w:pPr>
              <w:keepNext/>
              <w:widowControl w:val="0"/>
              <w:jc w:val="center"/>
              <w:rPr>
                <w:sz w:val="22"/>
                <w:szCs w:val="22"/>
              </w:rPr>
            </w:pPr>
            <w:r w:rsidRPr="002052A9">
              <w:rPr>
                <w:color w:val="0000FF"/>
                <w:sz w:val="22"/>
                <w:szCs w:val="22"/>
              </w:rPr>
              <w:t>X,XXX</w:t>
            </w:r>
          </w:p>
        </w:tc>
      </w:tr>
      <w:tr w:rsidR="000177D5" w:rsidRPr="00993B55" w14:paraId="0D1E26D2" w14:textId="77777777" w:rsidTr="00F23CB8">
        <w:trPr>
          <w:cantSplit/>
          <w:trHeight w:val="156"/>
        </w:trPr>
        <w:tc>
          <w:tcPr>
            <w:tcW w:w="2430" w:type="dxa"/>
            <w:shd w:val="clear" w:color="auto" w:fill="auto"/>
            <w:vAlign w:val="center"/>
          </w:tcPr>
          <w:p w14:paraId="24178726" w14:textId="7194FFC6" w:rsidR="000177D5" w:rsidRPr="00E05055" w:rsidRDefault="000177D5" w:rsidP="00161A24">
            <w:pPr>
              <w:keepNext/>
              <w:widowControl w:val="0"/>
              <w:jc w:val="center"/>
              <w:rPr>
                <w:color w:val="0000FF"/>
                <w:spacing w:val="-3"/>
                <w:sz w:val="22"/>
                <w:szCs w:val="22"/>
              </w:rPr>
            </w:pPr>
            <w:r w:rsidRPr="00E05055">
              <w:rPr>
                <w:spacing w:val="-3"/>
                <w:sz w:val="22"/>
                <w:szCs w:val="22"/>
              </w:rPr>
              <w:t>ERC</w:t>
            </w:r>
            <w:r w:rsidRPr="00E05055">
              <w:rPr>
                <w:color w:val="0000FF"/>
                <w:spacing w:val="-3"/>
                <w:sz w:val="22"/>
                <w:szCs w:val="22"/>
              </w:rPr>
              <w:t xml:space="preserve"> </w:t>
            </w:r>
            <w:r w:rsidR="00F44948">
              <w:rPr>
                <w:color w:val="0000FF"/>
                <w:spacing w:val="-3"/>
                <w:sz w:val="22"/>
                <w:szCs w:val="22"/>
              </w:rPr>
              <w:t>X</w:t>
            </w:r>
            <w:r w:rsidRPr="00E05055">
              <w:rPr>
                <w:color w:val="0000FF"/>
                <w:spacing w:val="-3"/>
                <w:sz w:val="22"/>
                <w:szCs w:val="22"/>
              </w:rPr>
              <w:t>-XXX-2</w:t>
            </w:r>
          </w:p>
        </w:tc>
        <w:tc>
          <w:tcPr>
            <w:tcW w:w="1316" w:type="dxa"/>
            <w:shd w:val="clear" w:color="auto" w:fill="auto"/>
            <w:vAlign w:val="center"/>
          </w:tcPr>
          <w:p w14:paraId="35A8882F" w14:textId="70FC828E" w:rsidR="000177D5" w:rsidRPr="002052A9" w:rsidRDefault="003F3117" w:rsidP="00161A24">
            <w:pPr>
              <w:keepNext/>
              <w:widowControl w:val="0"/>
              <w:jc w:val="center"/>
              <w:rPr>
                <w:sz w:val="22"/>
                <w:szCs w:val="22"/>
              </w:rPr>
            </w:pPr>
            <w:r w:rsidRPr="002052A9">
              <w:rPr>
                <w:color w:val="0000FF"/>
                <w:sz w:val="22"/>
                <w:szCs w:val="22"/>
              </w:rPr>
              <w:t>X,XXX</w:t>
            </w:r>
          </w:p>
        </w:tc>
        <w:tc>
          <w:tcPr>
            <w:tcW w:w="1316" w:type="dxa"/>
            <w:shd w:val="clear" w:color="auto" w:fill="auto"/>
            <w:vAlign w:val="center"/>
          </w:tcPr>
          <w:p w14:paraId="1D7D4293" w14:textId="77777777" w:rsidR="000177D5" w:rsidRPr="002052A9" w:rsidRDefault="000177D5" w:rsidP="00161A24">
            <w:pPr>
              <w:keepNext/>
              <w:widowControl w:val="0"/>
              <w:jc w:val="center"/>
              <w:rPr>
                <w:sz w:val="22"/>
                <w:szCs w:val="22"/>
              </w:rPr>
            </w:pPr>
            <w:r w:rsidRPr="002052A9">
              <w:rPr>
                <w:sz w:val="22"/>
                <w:szCs w:val="22"/>
              </w:rPr>
              <w:t>-</w:t>
            </w:r>
          </w:p>
        </w:tc>
        <w:tc>
          <w:tcPr>
            <w:tcW w:w="1316" w:type="dxa"/>
            <w:shd w:val="clear" w:color="auto" w:fill="auto"/>
            <w:vAlign w:val="center"/>
          </w:tcPr>
          <w:p w14:paraId="696FD086" w14:textId="77777777" w:rsidR="000177D5" w:rsidRPr="002052A9" w:rsidRDefault="000177D5" w:rsidP="00161A24">
            <w:pPr>
              <w:keepNext/>
              <w:widowControl w:val="0"/>
              <w:jc w:val="center"/>
              <w:rPr>
                <w:sz w:val="22"/>
                <w:szCs w:val="22"/>
              </w:rPr>
            </w:pPr>
            <w:r w:rsidRPr="002052A9">
              <w:rPr>
                <w:sz w:val="22"/>
                <w:szCs w:val="22"/>
              </w:rPr>
              <w:t>-</w:t>
            </w:r>
          </w:p>
        </w:tc>
        <w:tc>
          <w:tcPr>
            <w:tcW w:w="1316" w:type="dxa"/>
            <w:shd w:val="clear" w:color="auto" w:fill="auto"/>
            <w:vAlign w:val="center"/>
          </w:tcPr>
          <w:p w14:paraId="019F9DB1" w14:textId="77777777" w:rsidR="000177D5" w:rsidRPr="002052A9" w:rsidRDefault="000177D5" w:rsidP="00161A24">
            <w:pPr>
              <w:keepNext/>
              <w:widowControl w:val="0"/>
              <w:jc w:val="center"/>
              <w:rPr>
                <w:sz w:val="22"/>
                <w:szCs w:val="22"/>
              </w:rPr>
            </w:pPr>
            <w:r w:rsidRPr="002052A9">
              <w:rPr>
                <w:sz w:val="22"/>
                <w:szCs w:val="22"/>
              </w:rPr>
              <w:t>-</w:t>
            </w:r>
          </w:p>
        </w:tc>
        <w:tc>
          <w:tcPr>
            <w:tcW w:w="1316" w:type="dxa"/>
            <w:shd w:val="clear" w:color="auto" w:fill="auto"/>
            <w:vAlign w:val="center"/>
          </w:tcPr>
          <w:p w14:paraId="63715030" w14:textId="77777777" w:rsidR="000177D5" w:rsidRPr="002052A9" w:rsidRDefault="000177D5" w:rsidP="00161A24">
            <w:pPr>
              <w:keepNext/>
              <w:widowControl w:val="0"/>
              <w:jc w:val="center"/>
              <w:rPr>
                <w:spacing w:val="-3"/>
                <w:sz w:val="22"/>
                <w:szCs w:val="22"/>
              </w:rPr>
            </w:pPr>
            <w:r w:rsidRPr="002052A9">
              <w:rPr>
                <w:spacing w:val="-3"/>
                <w:sz w:val="22"/>
                <w:szCs w:val="22"/>
              </w:rPr>
              <w:t>-</w:t>
            </w:r>
          </w:p>
        </w:tc>
      </w:tr>
      <w:tr w:rsidR="003F3117" w:rsidRPr="00993B55" w14:paraId="491B71D3" w14:textId="77777777" w:rsidTr="00F23CB8">
        <w:trPr>
          <w:cantSplit/>
          <w:trHeight w:val="396"/>
        </w:trPr>
        <w:tc>
          <w:tcPr>
            <w:tcW w:w="2430" w:type="dxa"/>
            <w:shd w:val="clear" w:color="auto" w:fill="D9D9D9" w:themeFill="background1" w:themeFillShade="D9"/>
            <w:vAlign w:val="center"/>
          </w:tcPr>
          <w:p w14:paraId="348E418C" w14:textId="77777777" w:rsidR="003F3117" w:rsidRPr="00993B55" w:rsidRDefault="003F3117" w:rsidP="00161A24">
            <w:pPr>
              <w:keepNext/>
              <w:widowControl w:val="0"/>
              <w:jc w:val="center"/>
              <w:rPr>
                <w:b/>
                <w:spacing w:val="-3"/>
                <w:sz w:val="22"/>
                <w:szCs w:val="22"/>
              </w:rPr>
            </w:pPr>
            <w:r w:rsidRPr="00993B55">
              <w:rPr>
                <w:b/>
                <w:snapToGrid w:val="0"/>
                <w:color w:val="000000"/>
                <w:sz w:val="22"/>
                <w:szCs w:val="22"/>
              </w:rPr>
              <w:t>SSPE2</w:t>
            </w:r>
          </w:p>
        </w:tc>
        <w:tc>
          <w:tcPr>
            <w:tcW w:w="1316" w:type="dxa"/>
            <w:shd w:val="clear" w:color="auto" w:fill="D9D9D9" w:themeFill="background1" w:themeFillShade="D9"/>
            <w:vAlign w:val="center"/>
          </w:tcPr>
          <w:p w14:paraId="5075699B" w14:textId="530AC5E2" w:rsidR="003F3117" w:rsidRPr="003F3117" w:rsidRDefault="003F3117" w:rsidP="00161A24">
            <w:pPr>
              <w:keepNext/>
              <w:widowControl w:val="0"/>
              <w:jc w:val="center"/>
              <w:rPr>
                <w:b/>
                <w:bCs/>
                <w:color w:val="0000FF"/>
                <w:sz w:val="22"/>
                <w:szCs w:val="22"/>
              </w:rPr>
            </w:pPr>
            <w:r w:rsidRPr="003F3117">
              <w:rPr>
                <w:color w:val="0000FF"/>
                <w:sz w:val="22"/>
                <w:szCs w:val="22"/>
              </w:rPr>
              <w:t>X,XXX</w:t>
            </w:r>
          </w:p>
        </w:tc>
        <w:tc>
          <w:tcPr>
            <w:tcW w:w="1316" w:type="dxa"/>
            <w:shd w:val="clear" w:color="auto" w:fill="D9D9D9" w:themeFill="background1" w:themeFillShade="D9"/>
            <w:vAlign w:val="center"/>
          </w:tcPr>
          <w:p w14:paraId="43613FAB" w14:textId="0D166D45" w:rsidR="003F3117" w:rsidRPr="003F3117" w:rsidRDefault="003F3117" w:rsidP="00161A24">
            <w:pPr>
              <w:keepNext/>
              <w:widowControl w:val="0"/>
              <w:jc w:val="center"/>
              <w:rPr>
                <w:b/>
                <w:bCs/>
                <w:color w:val="0000FF"/>
                <w:sz w:val="22"/>
                <w:szCs w:val="22"/>
              </w:rPr>
            </w:pPr>
            <w:r w:rsidRPr="003F3117">
              <w:rPr>
                <w:color w:val="0000FF"/>
                <w:sz w:val="22"/>
                <w:szCs w:val="22"/>
              </w:rPr>
              <w:t>X,XXX</w:t>
            </w:r>
          </w:p>
        </w:tc>
        <w:tc>
          <w:tcPr>
            <w:tcW w:w="1316" w:type="dxa"/>
            <w:shd w:val="clear" w:color="auto" w:fill="D9D9D9" w:themeFill="background1" w:themeFillShade="D9"/>
            <w:vAlign w:val="center"/>
          </w:tcPr>
          <w:p w14:paraId="04D44D3B" w14:textId="04700FED" w:rsidR="003F3117" w:rsidRPr="003F3117" w:rsidRDefault="003F3117" w:rsidP="00161A24">
            <w:pPr>
              <w:keepNext/>
              <w:widowControl w:val="0"/>
              <w:jc w:val="center"/>
              <w:rPr>
                <w:b/>
                <w:bCs/>
                <w:color w:val="0000FF"/>
                <w:sz w:val="22"/>
                <w:szCs w:val="22"/>
              </w:rPr>
            </w:pPr>
            <w:r w:rsidRPr="003F3117">
              <w:rPr>
                <w:color w:val="0000FF"/>
                <w:sz w:val="22"/>
                <w:szCs w:val="22"/>
              </w:rPr>
              <w:t>X,XXX</w:t>
            </w:r>
          </w:p>
        </w:tc>
        <w:tc>
          <w:tcPr>
            <w:tcW w:w="1316" w:type="dxa"/>
            <w:shd w:val="clear" w:color="auto" w:fill="D9D9D9" w:themeFill="background1" w:themeFillShade="D9"/>
            <w:vAlign w:val="center"/>
          </w:tcPr>
          <w:p w14:paraId="5FA37632" w14:textId="095E97EB" w:rsidR="003F3117" w:rsidRPr="003F3117" w:rsidRDefault="003F3117" w:rsidP="00161A24">
            <w:pPr>
              <w:keepNext/>
              <w:widowControl w:val="0"/>
              <w:jc w:val="center"/>
              <w:rPr>
                <w:b/>
                <w:bCs/>
                <w:color w:val="0000FF"/>
                <w:sz w:val="22"/>
                <w:szCs w:val="22"/>
              </w:rPr>
            </w:pPr>
            <w:r w:rsidRPr="003F3117">
              <w:rPr>
                <w:color w:val="0000FF"/>
                <w:sz w:val="22"/>
                <w:szCs w:val="22"/>
              </w:rPr>
              <w:t>X,XXX</w:t>
            </w:r>
          </w:p>
        </w:tc>
        <w:tc>
          <w:tcPr>
            <w:tcW w:w="1316" w:type="dxa"/>
            <w:shd w:val="clear" w:color="auto" w:fill="D9D9D9" w:themeFill="background1" w:themeFillShade="D9"/>
            <w:vAlign w:val="center"/>
          </w:tcPr>
          <w:p w14:paraId="1CFA4AFC" w14:textId="71BD8B40" w:rsidR="003F3117" w:rsidRPr="003F3117" w:rsidRDefault="003F3117" w:rsidP="00161A24">
            <w:pPr>
              <w:keepNext/>
              <w:widowControl w:val="0"/>
              <w:jc w:val="center"/>
              <w:rPr>
                <w:b/>
                <w:bCs/>
                <w:color w:val="0000FF"/>
                <w:spacing w:val="-3"/>
                <w:sz w:val="22"/>
                <w:szCs w:val="22"/>
              </w:rPr>
            </w:pPr>
            <w:r w:rsidRPr="003F3117">
              <w:rPr>
                <w:color w:val="0000FF"/>
                <w:sz w:val="22"/>
                <w:szCs w:val="22"/>
              </w:rPr>
              <w:t>X,XXX</w:t>
            </w:r>
          </w:p>
        </w:tc>
      </w:tr>
    </w:tbl>
    <w:p w14:paraId="3CEA820C" w14:textId="77777777" w:rsidR="000177D5" w:rsidRPr="00993B55" w:rsidRDefault="000177D5" w:rsidP="007A60F3">
      <w:pPr>
        <w:widowControl w:val="0"/>
        <w:autoSpaceDE w:val="0"/>
        <w:autoSpaceDN w:val="0"/>
        <w:adjustRightInd w:val="0"/>
        <w:ind w:left="2250" w:hanging="1530"/>
      </w:pPr>
    </w:p>
    <w:p w14:paraId="0B8BCA66" w14:textId="77777777" w:rsidR="000177D5" w:rsidRPr="00993B55" w:rsidRDefault="000177D5" w:rsidP="007A60F3">
      <w:pPr>
        <w:widowControl w:val="0"/>
        <w:tabs>
          <w:tab w:val="left" w:pos="2250"/>
        </w:tabs>
        <w:autoSpaceDE w:val="0"/>
        <w:autoSpaceDN w:val="0"/>
        <w:adjustRightInd w:val="0"/>
        <w:ind w:left="720"/>
        <w:rPr>
          <w:i/>
          <w:iCs/>
          <w:color w:val="0000FF"/>
        </w:rPr>
      </w:pPr>
      <w:r w:rsidRPr="00993B55">
        <w:rPr>
          <w:i/>
          <w:iCs/>
          <w:color w:val="0000FF"/>
          <w:u w:val="single"/>
        </w:rPr>
        <w:t>Example (c)</w:t>
      </w:r>
      <w:r w:rsidRPr="00993B55">
        <w:rPr>
          <w:i/>
          <w:iCs/>
          <w:color w:val="0000FF"/>
        </w:rPr>
        <w:t>:</w:t>
      </w:r>
      <w:r w:rsidRPr="00993B55">
        <w:rPr>
          <w:i/>
          <w:iCs/>
          <w:color w:val="0000FF"/>
        </w:rPr>
        <w:tab/>
        <w:t>(For a facility – with multiple permit units.)</w:t>
      </w:r>
    </w:p>
    <w:p w14:paraId="0CE05BD6" w14:textId="77777777" w:rsidR="000177D5" w:rsidRPr="00993B55" w:rsidRDefault="000177D5" w:rsidP="007A60F3">
      <w:pPr>
        <w:widowControl w:val="0"/>
        <w:ind w:left="720"/>
      </w:pPr>
      <w:r w:rsidRPr="00993B55">
        <w:t>The SSPE2 is calculated in Appendix G and presented in the following table.</w:t>
      </w:r>
    </w:p>
    <w:p w14:paraId="162FDDBD" w14:textId="77777777" w:rsidR="000177D5" w:rsidRPr="00993B55" w:rsidRDefault="000177D5" w:rsidP="007A60F3">
      <w:pPr>
        <w:widowControl w:val="0"/>
        <w:ind w:left="720"/>
      </w:pPr>
    </w:p>
    <w:tbl>
      <w:tblPr>
        <w:tblW w:w="9010"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316"/>
        <w:gridCol w:w="1316"/>
        <w:gridCol w:w="1316"/>
        <w:gridCol w:w="1316"/>
        <w:gridCol w:w="1316"/>
      </w:tblGrid>
      <w:tr w:rsidR="000177D5" w:rsidRPr="00993B55" w14:paraId="33C60CF5" w14:textId="77777777" w:rsidTr="00F23CB8">
        <w:trPr>
          <w:cantSplit/>
          <w:trHeight w:val="384"/>
        </w:trPr>
        <w:tc>
          <w:tcPr>
            <w:tcW w:w="9010" w:type="dxa"/>
            <w:gridSpan w:val="6"/>
            <w:shd w:val="clear" w:color="auto" w:fill="D9D9D9" w:themeFill="background1" w:themeFillShade="D9"/>
            <w:vAlign w:val="center"/>
          </w:tcPr>
          <w:p w14:paraId="455A4997" w14:textId="77777777" w:rsidR="000177D5" w:rsidRPr="00993B55" w:rsidRDefault="000177D5" w:rsidP="00161A24">
            <w:pPr>
              <w:keepNext/>
              <w:widowControl w:val="0"/>
              <w:tabs>
                <w:tab w:val="center" w:pos="4212"/>
              </w:tabs>
              <w:jc w:val="center"/>
              <w:rPr>
                <w:b/>
                <w:sz w:val="22"/>
                <w:szCs w:val="22"/>
              </w:rPr>
            </w:pPr>
            <w:r w:rsidRPr="00993B55">
              <w:rPr>
                <w:sz w:val="22"/>
                <w:szCs w:val="22"/>
              </w:rPr>
              <w:lastRenderedPageBreak/>
              <w:br w:type="page"/>
            </w:r>
            <w:r w:rsidRPr="00993B55">
              <w:rPr>
                <w:sz w:val="22"/>
                <w:szCs w:val="22"/>
              </w:rPr>
              <w:br w:type="page"/>
            </w:r>
            <w:r w:rsidRPr="00993B55">
              <w:rPr>
                <w:sz w:val="22"/>
                <w:szCs w:val="22"/>
              </w:rPr>
              <w:br w:type="page"/>
            </w:r>
            <w:r w:rsidRPr="00993B55">
              <w:rPr>
                <w:sz w:val="22"/>
                <w:szCs w:val="22"/>
              </w:rPr>
              <w:br w:type="page"/>
            </w:r>
            <w:r w:rsidRPr="00993B55">
              <w:rPr>
                <w:b/>
                <w:sz w:val="22"/>
                <w:szCs w:val="22"/>
              </w:rPr>
              <w:t>SSPE2 (lb/year)</w:t>
            </w:r>
          </w:p>
        </w:tc>
      </w:tr>
      <w:tr w:rsidR="000177D5" w:rsidRPr="00993B55" w14:paraId="73ECA465" w14:textId="77777777" w:rsidTr="00F23CB8">
        <w:trPr>
          <w:cantSplit/>
          <w:trHeight w:val="411"/>
        </w:trPr>
        <w:tc>
          <w:tcPr>
            <w:tcW w:w="2430" w:type="dxa"/>
            <w:shd w:val="clear" w:color="auto" w:fill="D9D9D9" w:themeFill="background1" w:themeFillShade="D9"/>
            <w:vAlign w:val="center"/>
          </w:tcPr>
          <w:p w14:paraId="4FEBEA72" w14:textId="77777777" w:rsidR="000177D5" w:rsidRPr="00993B55" w:rsidRDefault="000177D5" w:rsidP="00161A24">
            <w:pPr>
              <w:keepNext/>
              <w:widowControl w:val="0"/>
              <w:jc w:val="center"/>
              <w:rPr>
                <w:spacing w:val="-3"/>
                <w:sz w:val="22"/>
                <w:szCs w:val="22"/>
              </w:rPr>
            </w:pPr>
          </w:p>
        </w:tc>
        <w:tc>
          <w:tcPr>
            <w:tcW w:w="1316" w:type="dxa"/>
            <w:shd w:val="clear" w:color="auto" w:fill="D9D9D9" w:themeFill="background1" w:themeFillShade="D9"/>
            <w:vAlign w:val="center"/>
          </w:tcPr>
          <w:p w14:paraId="288DF048" w14:textId="25D65257" w:rsidR="000177D5" w:rsidRPr="00993B55" w:rsidRDefault="000177D5" w:rsidP="00161A24">
            <w:pPr>
              <w:keepNext/>
              <w:widowControl w:val="0"/>
              <w:jc w:val="center"/>
              <w:rPr>
                <w:b/>
                <w:sz w:val="22"/>
                <w:szCs w:val="22"/>
              </w:rPr>
            </w:pPr>
            <w:r w:rsidRPr="00993B55">
              <w:rPr>
                <w:b/>
                <w:sz w:val="22"/>
                <w:szCs w:val="22"/>
              </w:rPr>
              <w:t>NO</w:t>
            </w:r>
            <w:r w:rsidR="00EE2923">
              <w:rPr>
                <w:b/>
                <w:sz w:val="22"/>
                <w:szCs w:val="22"/>
              </w:rPr>
              <w:t>x</w:t>
            </w:r>
          </w:p>
        </w:tc>
        <w:tc>
          <w:tcPr>
            <w:tcW w:w="1316" w:type="dxa"/>
            <w:shd w:val="clear" w:color="auto" w:fill="D9D9D9" w:themeFill="background1" w:themeFillShade="D9"/>
            <w:vAlign w:val="center"/>
          </w:tcPr>
          <w:p w14:paraId="6847BDF7" w14:textId="70E63E71" w:rsidR="000177D5" w:rsidRPr="00993B55" w:rsidRDefault="000177D5" w:rsidP="00161A24">
            <w:pPr>
              <w:keepNext/>
              <w:widowControl w:val="0"/>
              <w:jc w:val="center"/>
              <w:rPr>
                <w:b/>
                <w:spacing w:val="-3"/>
                <w:sz w:val="22"/>
                <w:szCs w:val="22"/>
              </w:rPr>
            </w:pPr>
            <w:r w:rsidRPr="00993B55">
              <w:rPr>
                <w:b/>
                <w:sz w:val="22"/>
                <w:szCs w:val="22"/>
              </w:rPr>
              <w:t>SO</w:t>
            </w:r>
            <w:r w:rsidR="00EE2923">
              <w:rPr>
                <w:b/>
                <w:sz w:val="22"/>
                <w:szCs w:val="22"/>
              </w:rPr>
              <w:t>x</w:t>
            </w:r>
          </w:p>
        </w:tc>
        <w:tc>
          <w:tcPr>
            <w:tcW w:w="1316" w:type="dxa"/>
            <w:shd w:val="clear" w:color="auto" w:fill="D9D9D9" w:themeFill="background1" w:themeFillShade="D9"/>
            <w:vAlign w:val="center"/>
          </w:tcPr>
          <w:p w14:paraId="234F9555" w14:textId="563FE086" w:rsidR="000177D5" w:rsidRPr="00993B55" w:rsidRDefault="000177D5" w:rsidP="00161A24">
            <w:pPr>
              <w:keepNext/>
              <w:widowControl w:val="0"/>
              <w:jc w:val="center"/>
              <w:rPr>
                <w:b/>
                <w:spacing w:val="-3"/>
                <w:sz w:val="22"/>
                <w:szCs w:val="22"/>
              </w:rPr>
            </w:pPr>
            <w:r w:rsidRPr="00993B55">
              <w:rPr>
                <w:b/>
                <w:sz w:val="22"/>
                <w:szCs w:val="22"/>
              </w:rPr>
              <w:t>PM</w:t>
            </w:r>
            <w:r w:rsidR="00EE2923">
              <w:rPr>
                <w:b/>
                <w:sz w:val="22"/>
                <w:szCs w:val="22"/>
              </w:rPr>
              <w:t>10</w:t>
            </w:r>
          </w:p>
        </w:tc>
        <w:tc>
          <w:tcPr>
            <w:tcW w:w="1316" w:type="dxa"/>
            <w:shd w:val="clear" w:color="auto" w:fill="D9D9D9" w:themeFill="background1" w:themeFillShade="D9"/>
            <w:vAlign w:val="center"/>
          </w:tcPr>
          <w:p w14:paraId="3F20A73C" w14:textId="77777777" w:rsidR="000177D5" w:rsidRPr="00993B55" w:rsidRDefault="000177D5" w:rsidP="00161A24">
            <w:pPr>
              <w:keepNext/>
              <w:widowControl w:val="0"/>
              <w:jc w:val="center"/>
              <w:rPr>
                <w:b/>
                <w:spacing w:val="-3"/>
                <w:sz w:val="22"/>
                <w:szCs w:val="22"/>
              </w:rPr>
            </w:pPr>
            <w:r w:rsidRPr="00993B55">
              <w:rPr>
                <w:b/>
                <w:sz w:val="22"/>
                <w:szCs w:val="22"/>
              </w:rPr>
              <w:t>CO</w:t>
            </w:r>
          </w:p>
        </w:tc>
        <w:tc>
          <w:tcPr>
            <w:tcW w:w="1316" w:type="dxa"/>
            <w:shd w:val="clear" w:color="auto" w:fill="D9D9D9" w:themeFill="background1" w:themeFillShade="D9"/>
            <w:vAlign w:val="center"/>
          </w:tcPr>
          <w:p w14:paraId="62BC7BF7" w14:textId="77777777" w:rsidR="000177D5" w:rsidRPr="00993B55" w:rsidRDefault="000177D5" w:rsidP="00161A24">
            <w:pPr>
              <w:keepNext/>
              <w:widowControl w:val="0"/>
              <w:jc w:val="center"/>
              <w:rPr>
                <w:b/>
                <w:spacing w:val="-3"/>
                <w:sz w:val="22"/>
                <w:szCs w:val="22"/>
              </w:rPr>
            </w:pPr>
            <w:r w:rsidRPr="00993B55">
              <w:rPr>
                <w:b/>
                <w:sz w:val="22"/>
                <w:szCs w:val="22"/>
              </w:rPr>
              <w:t>VOC</w:t>
            </w:r>
          </w:p>
        </w:tc>
      </w:tr>
      <w:tr w:rsidR="003F3117" w:rsidRPr="00993B55" w14:paraId="44319101" w14:textId="77777777" w:rsidTr="00F23CB8">
        <w:trPr>
          <w:cantSplit/>
          <w:trHeight w:val="384"/>
        </w:trPr>
        <w:tc>
          <w:tcPr>
            <w:tcW w:w="2430" w:type="dxa"/>
            <w:shd w:val="clear" w:color="auto" w:fill="auto"/>
            <w:vAlign w:val="center"/>
          </w:tcPr>
          <w:p w14:paraId="586BA596" w14:textId="77777777" w:rsidR="003F3117" w:rsidRPr="00993B55" w:rsidRDefault="003F3117" w:rsidP="00161A24">
            <w:pPr>
              <w:keepNext/>
              <w:widowControl w:val="0"/>
              <w:jc w:val="center"/>
              <w:rPr>
                <w:spacing w:val="-3"/>
                <w:sz w:val="22"/>
                <w:szCs w:val="22"/>
              </w:rPr>
            </w:pPr>
            <w:r w:rsidRPr="00993B55">
              <w:rPr>
                <w:sz w:val="22"/>
                <w:szCs w:val="22"/>
              </w:rPr>
              <w:t>SSPE2</w:t>
            </w:r>
          </w:p>
        </w:tc>
        <w:tc>
          <w:tcPr>
            <w:tcW w:w="1316" w:type="dxa"/>
            <w:shd w:val="clear" w:color="auto" w:fill="auto"/>
            <w:vAlign w:val="center"/>
          </w:tcPr>
          <w:p w14:paraId="34BC3EBD" w14:textId="3DF5C870" w:rsidR="003F3117" w:rsidRPr="00993B55" w:rsidRDefault="003F3117" w:rsidP="00161A24">
            <w:pPr>
              <w:keepNext/>
              <w:widowControl w:val="0"/>
              <w:jc w:val="center"/>
              <w:rPr>
                <w:sz w:val="22"/>
                <w:szCs w:val="22"/>
              </w:rPr>
            </w:pPr>
            <w:r w:rsidRPr="002052A9">
              <w:rPr>
                <w:color w:val="0000FF"/>
                <w:sz w:val="22"/>
                <w:szCs w:val="22"/>
              </w:rPr>
              <w:t>X,XXX</w:t>
            </w:r>
          </w:p>
        </w:tc>
        <w:tc>
          <w:tcPr>
            <w:tcW w:w="1316" w:type="dxa"/>
            <w:shd w:val="clear" w:color="auto" w:fill="auto"/>
            <w:vAlign w:val="center"/>
          </w:tcPr>
          <w:p w14:paraId="34BFAAEF" w14:textId="2C429DD9" w:rsidR="003F3117" w:rsidRPr="00993B55" w:rsidRDefault="003F3117" w:rsidP="00161A24">
            <w:pPr>
              <w:keepNext/>
              <w:widowControl w:val="0"/>
              <w:jc w:val="center"/>
              <w:rPr>
                <w:spacing w:val="-3"/>
                <w:sz w:val="22"/>
                <w:szCs w:val="22"/>
              </w:rPr>
            </w:pPr>
            <w:r w:rsidRPr="002052A9">
              <w:rPr>
                <w:color w:val="0000FF"/>
                <w:sz w:val="22"/>
                <w:szCs w:val="22"/>
              </w:rPr>
              <w:t>X,XXX</w:t>
            </w:r>
          </w:p>
        </w:tc>
        <w:tc>
          <w:tcPr>
            <w:tcW w:w="1316" w:type="dxa"/>
            <w:shd w:val="clear" w:color="auto" w:fill="auto"/>
            <w:vAlign w:val="center"/>
          </w:tcPr>
          <w:p w14:paraId="380D573C" w14:textId="453F8083" w:rsidR="003F3117" w:rsidRPr="00993B55" w:rsidRDefault="003F3117" w:rsidP="00161A24">
            <w:pPr>
              <w:keepNext/>
              <w:widowControl w:val="0"/>
              <w:jc w:val="center"/>
              <w:rPr>
                <w:sz w:val="22"/>
                <w:szCs w:val="22"/>
              </w:rPr>
            </w:pPr>
            <w:r w:rsidRPr="002052A9">
              <w:rPr>
                <w:color w:val="0000FF"/>
                <w:sz w:val="22"/>
                <w:szCs w:val="22"/>
              </w:rPr>
              <w:t>X,XXX</w:t>
            </w:r>
          </w:p>
        </w:tc>
        <w:tc>
          <w:tcPr>
            <w:tcW w:w="1316" w:type="dxa"/>
            <w:shd w:val="clear" w:color="auto" w:fill="auto"/>
            <w:vAlign w:val="center"/>
          </w:tcPr>
          <w:p w14:paraId="72D86C6A" w14:textId="0AAC83EF" w:rsidR="003F3117" w:rsidRPr="00993B55" w:rsidRDefault="003F3117" w:rsidP="00161A24">
            <w:pPr>
              <w:keepNext/>
              <w:widowControl w:val="0"/>
              <w:jc w:val="center"/>
              <w:rPr>
                <w:sz w:val="22"/>
                <w:szCs w:val="22"/>
              </w:rPr>
            </w:pPr>
            <w:r w:rsidRPr="002052A9">
              <w:rPr>
                <w:color w:val="0000FF"/>
                <w:sz w:val="22"/>
                <w:szCs w:val="22"/>
              </w:rPr>
              <w:t>X,XXX</w:t>
            </w:r>
          </w:p>
        </w:tc>
        <w:tc>
          <w:tcPr>
            <w:tcW w:w="1316" w:type="dxa"/>
            <w:shd w:val="clear" w:color="auto" w:fill="auto"/>
            <w:vAlign w:val="center"/>
          </w:tcPr>
          <w:p w14:paraId="73C4139E" w14:textId="2D2EEB7A" w:rsidR="003F3117" w:rsidRPr="00993B55" w:rsidRDefault="003F3117" w:rsidP="00161A24">
            <w:pPr>
              <w:keepNext/>
              <w:widowControl w:val="0"/>
              <w:jc w:val="center"/>
              <w:rPr>
                <w:sz w:val="22"/>
                <w:szCs w:val="22"/>
              </w:rPr>
            </w:pPr>
            <w:r w:rsidRPr="002052A9">
              <w:rPr>
                <w:color w:val="0000FF"/>
                <w:sz w:val="22"/>
                <w:szCs w:val="22"/>
              </w:rPr>
              <w:t>X,XXX</w:t>
            </w:r>
          </w:p>
        </w:tc>
      </w:tr>
    </w:tbl>
    <w:p w14:paraId="3C94AFE6" w14:textId="77777777" w:rsidR="000177D5" w:rsidRPr="00993B55" w:rsidRDefault="000177D5" w:rsidP="007A60F3">
      <w:pPr>
        <w:widowControl w:val="0"/>
        <w:autoSpaceDE w:val="0"/>
        <w:autoSpaceDN w:val="0"/>
        <w:adjustRightInd w:val="0"/>
        <w:ind w:left="720"/>
        <w:rPr>
          <w:i/>
          <w:iCs/>
          <w:color w:val="FF0000"/>
        </w:rPr>
      </w:pPr>
      <w:r w:rsidRPr="00993B55">
        <w:rPr>
          <w:i/>
          <w:iCs/>
          <w:color w:val="FF0000"/>
        </w:rPr>
        <w:t>(</w:t>
      </w:r>
      <w:r w:rsidRPr="00993B55">
        <w:rPr>
          <w:i/>
          <w:iCs/>
          <w:color w:val="FF0000"/>
          <w:u w:val="single"/>
        </w:rPr>
        <w:t>Note</w:t>
      </w:r>
      <w:r w:rsidRPr="00993B55">
        <w:rPr>
          <w:i/>
          <w:iCs/>
          <w:color w:val="FF0000"/>
        </w:rPr>
        <w:t xml:space="preserve">: The table in </w:t>
      </w:r>
      <w:r w:rsidRPr="00993B55">
        <w:rPr>
          <w:b/>
          <w:i/>
          <w:iCs/>
          <w:color w:val="FF0000"/>
        </w:rPr>
        <w:t xml:space="preserve">Appendix G </w:t>
      </w:r>
      <w:r w:rsidRPr="00993B55">
        <w:rPr>
          <w:i/>
          <w:iCs/>
          <w:color w:val="FF0000"/>
        </w:rPr>
        <w:t>should look similar to the table in example (a) or (b) above.)</w:t>
      </w:r>
    </w:p>
    <w:p w14:paraId="2F2CF0E8" w14:textId="77777777" w:rsidR="000177D5" w:rsidRPr="00993B55" w:rsidRDefault="000177D5" w:rsidP="007A60F3">
      <w:pPr>
        <w:widowControl w:val="0"/>
        <w:autoSpaceDE w:val="0"/>
        <w:autoSpaceDN w:val="0"/>
        <w:adjustRightInd w:val="0"/>
        <w:ind w:left="720"/>
        <w:rPr>
          <w:color w:val="000000"/>
        </w:rPr>
      </w:pPr>
    </w:p>
    <w:p w14:paraId="6A22D2C3" w14:textId="77777777" w:rsidR="000177D5" w:rsidRPr="00993B55" w:rsidRDefault="000177D5" w:rsidP="007A60F3">
      <w:pPr>
        <w:widowControl w:val="0"/>
        <w:autoSpaceDE w:val="0"/>
        <w:autoSpaceDN w:val="0"/>
        <w:adjustRightInd w:val="0"/>
        <w:ind w:left="2250" w:hanging="1530"/>
        <w:rPr>
          <w:i/>
          <w:iCs/>
          <w:color w:val="0000FF"/>
        </w:rPr>
      </w:pPr>
      <w:r w:rsidRPr="00993B55">
        <w:rPr>
          <w:i/>
          <w:iCs/>
          <w:color w:val="0000FF"/>
          <w:u w:val="single"/>
        </w:rPr>
        <w:t>Example (d)</w:t>
      </w:r>
      <w:r w:rsidRPr="00993B55">
        <w:rPr>
          <w:i/>
          <w:iCs/>
          <w:color w:val="0000FF"/>
        </w:rPr>
        <w:t>:</w:t>
      </w:r>
      <w:r w:rsidRPr="00993B55">
        <w:rPr>
          <w:i/>
          <w:iCs/>
          <w:color w:val="0000FF"/>
        </w:rPr>
        <w:tab/>
        <w:t>(For an existing facility – with multiple permit units – conceding that the facility is already a Major Source for VOC.)</w:t>
      </w:r>
    </w:p>
    <w:p w14:paraId="54FC84EA" w14:textId="77777777" w:rsidR="000177D5" w:rsidRPr="00993B55" w:rsidRDefault="000177D5" w:rsidP="007A60F3">
      <w:pPr>
        <w:widowControl w:val="0"/>
        <w:tabs>
          <w:tab w:val="left" w:pos="1080"/>
        </w:tabs>
        <w:autoSpaceDE w:val="0"/>
        <w:autoSpaceDN w:val="0"/>
        <w:adjustRightInd w:val="0"/>
        <w:ind w:left="720"/>
        <w:rPr>
          <w:color w:val="000000"/>
        </w:rPr>
      </w:pPr>
      <w:r w:rsidRPr="00993B55">
        <w:rPr>
          <w:color w:val="000000"/>
        </w:rPr>
        <w:t>Since facility emissions are already above the Offset and Major Source Thresholds for VOC emissions, SSPE2 calculations are not necessary.</w:t>
      </w:r>
    </w:p>
    <w:p w14:paraId="3DEBE6C7" w14:textId="39C46081" w:rsidR="000177D5" w:rsidRPr="00463C39" w:rsidRDefault="000177D5" w:rsidP="007C1ED2">
      <w:pPr>
        <w:pStyle w:val="Heading3"/>
        <w:widowControl w:val="0"/>
        <w:numPr>
          <w:ilvl w:val="0"/>
          <w:numId w:val="3"/>
        </w:numPr>
        <w:tabs>
          <w:tab w:val="clear" w:pos="1224"/>
        </w:tabs>
        <w:spacing w:before="240" w:after="240"/>
        <w:ind w:left="1080"/>
        <w:jc w:val="left"/>
        <w:rPr>
          <w:b/>
          <w:bCs/>
          <w:color w:val="000000"/>
          <w:sz w:val="24"/>
          <w:szCs w:val="24"/>
        </w:rPr>
      </w:pPr>
      <w:r w:rsidRPr="00463C39">
        <w:rPr>
          <w:b/>
          <w:bCs/>
          <w:color w:val="000000"/>
          <w:sz w:val="24"/>
          <w:szCs w:val="24"/>
        </w:rPr>
        <w:t>Major Source Determination</w:t>
      </w:r>
    </w:p>
    <w:p w14:paraId="2FCF7FA5" w14:textId="77777777" w:rsidR="000177D5" w:rsidRPr="00993B55" w:rsidRDefault="000177D5" w:rsidP="00F744FE">
      <w:pPr>
        <w:keepNext/>
        <w:widowControl w:val="0"/>
        <w:spacing w:after="240"/>
        <w:ind w:left="720"/>
        <w:rPr>
          <w:b/>
          <w:u w:val="single"/>
        </w:rPr>
      </w:pPr>
      <w:r w:rsidRPr="00993B55">
        <w:rPr>
          <w:b/>
          <w:u w:val="single"/>
        </w:rPr>
        <w:t>Rule 2201 Major Source Determination:</w:t>
      </w:r>
    </w:p>
    <w:p w14:paraId="074B2897" w14:textId="77777777" w:rsidR="000177D5" w:rsidRPr="00993B55" w:rsidRDefault="000177D5" w:rsidP="007A60F3">
      <w:pPr>
        <w:widowControl w:val="0"/>
        <w:ind w:left="720"/>
        <w:rPr>
          <w:color w:val="FF0000"/>
        </w:rPr>
      </w:pPr>
      <w:r w:rsidRPr="00993B55">
        <w:rPr>
          <w:color w:val="FF0000"/>
        </w:rPr>
        <w:t>Identify if the source will be a Major Source for Rule 2201 (post project).</w:t>
      </w:r>
    </w:p>
    <w:p w14:paraId="6960E41F" w14:textId="0AC20B55" w:rsidR="000177D5" w:rsidRDefault="000177D5" w:rsidP="007A60F3">
      <w:pPr>
        <w:widowControl w:val="0"/>
        <w:ind w:left="720"/>
      </w:pPr>
    </w:p>
    <w:p w14:paraId="30F92DC3" w14:textId="2EC5C8E2" w:rsidR="0088068C" w:rsidRPr="0088068C" w:rsidRDefault="0088068C" w:rsidP="00B456FD">
      <w:pPr>
        <w:ind w:left="720"/>
        <w:rPr>
          <w:color w:val="FF0000"/>
        </w:rPr>
      </w:pPr>
      <w:r>
        <w:rPr>
          <w:color w:val="FF0000"/>
        </w:rPr>
        <w:t xml:space="preserve">If </w:t>
      </w:r>
      <w:r w:rsidR="007D44E6">
        <w:rPr>
          <w:color w:val="FF0000"/>
        </w:rPr>
        <w:t>necessary</w:t>
      </w:r>
      <w:r>
        <w:rPr>
          <w:color w:val="FF0000"/>
        </w:rPr>
        <w:t xml:space="preserve"> t</w:t>
      </w:r>
      <w:r w:rsidRPr="009F5E52">
        <w:rPr>
          <w:color w:val="FF0000"/>
        </w:rPr>
        <w:t xml:space="preserve">o </w:t>
      </w:r>
      <w:r w:rsidRPr="0088068C">
        <w:rPr>
          <w:color w:val="FF0000"/>
        </w:rPr>
        <w:t xml:space="preserve">determine the weight fraction of </w:t>
      </w:r>
      <w:r w:rsidRPr="0088068C">
        <w:rPr>
          <w:bCs/>
          <w:color w:val="FF0000"/>
        </w:rPr>
        <w:t xml:space="preserve">PM2.5 emissions emitted from each process, </w:t>
      </w:r>
      <w:r w:rsidR="007D44E6">
        <w:rPr>
          <w:bCs/>
          <w:color w:val="FF0000"/>
        </w:rPr>
        <w:t>please discuss with your Supervisor</w:t>
      </w:r>
      <w:r w:rsidRPr="0088068C">
        <w:rPr>
          <w:bCs/>
          <w:i/>
          <w:iCs/>
          <w:color w:val="FF0000"/>
        </w:rPr>
        <w:t>.</w:t>
      </w:r>
    </w:p>
    <w:p w14:paraId="4D2F771B" w14:textId="77777777" w:rsidR="0088068C" w:rsidRPr="0088068C" w:rsidRDefault="0088068C" w:rsidP="007A60F3">
      <w:pPr>
        <w:widowControl w:val="0"/>
        <w:ind w:left="720"/>
      </w:pPr>
    </w:p>
    <w:p w14:paraId="451C6D1A" w14:textId="235A8713" w:rsidR="000177D5" w:rsidRPr="00993B55" w:rsidRDefault="000177D5" w:rsidP="007A60F3">
      <w:pPr>
        <w:widowControl w:val="0"/>
        <w:ind w:left="720"/>
        <w:rPr>
          <w:bCs/>
          <w:iCs/>
        </w:rPr>
      </w:pPr>
      <w:r w:rsidRPr="0088068C">
        <w:rPr>
          <w:bCs/>
          <w:iCs/>
        </w:rPr>
        <w:t>Pursuant to District Rule</w:t>
      </w:r>
      <w:r w:rsidRPr="00993B55">
        <w:rPr>
          <w:bCs/>
          <w:iCs/>
        </w:rPr>
        <w:t xml:space="preserve"> 2201, a Major Source is a stationary source with a SSPE2 equal to or exceeding one or more of the following threshold values.  For the purposes of determining major source status</w:t>
      </w:r>
      <w:r w:rsidR="00DD16A7">
        <w:rPr>
          <w:bCs/>
          <w:iCs/>
        </w:rPr>
        <w:t>,</w:t>
      </w:r>
      <w:r w:rsidRPr="00993B55">
        <w:rPr>
          <w:bCs/>
          <w:iCs/>
        </w:rPr>
        <w:t xml:space="preserve"> the following shall </w:t>
      </w:r>
      <w:r w:rsidR="00F35C54">
        <w:rPr>
          <w:bCs/>
          <w:iCs/>
        </w:rPr>
        <w:t>NOT</w:t>
      </w:r>
      <w:r w:rsidRPr="00993B55">
        <w:rPr>
          <w:bCs/>
          <w:iCs/>
        </w:rPr>
        <w:t xml:space="preserve"> be included:</w:t>
      </w:r>
    </w:p>
    <w:p w14:paraId="6E92513D" w14:textId="16FACE37" w:rsidR="000177D5" w:rsidRPr="00993B55" w:rsidRDefault="000177D5" w:rsidP="007A60F3">
      <w:pPr>
        <w:pStyle w:val="ListParagraph"/>
        <w:widowControl w:val="0"/>
        <w:numPr>
          <w:ilvl w:val="0"/>
          <w:numId w:val="16"/>
        </w:numPr>
        <w:rPr>
          <w:bCs/>
          <w:iCs/>
        </w:rPr>
      </w:pPr>
      <w:r w:rsidRPr="00993B55">
        <w:rPr>
          <w:bCs/>
          <w:iCs/>
        </w:rPr>
        <w:t>any ERCs associated with the stationary source</w:t>
      </w:r>
    </w:p>
    <w:p w14:paraId="7E438658" w14:textId="77777777" w:rsidR="000177D5" w:rsidRPr="00993B55" w:rsidRDefault="000177D5" w:rsidP="007A60F3">
      <w:pPr>
        <w:pStyle w:val="ListParagraph"/>
        <w:widowControl w:val="0"/>
        <w:numPr>
          <w:ilvl w:val="0"/>
          <w:numId w:val="16"/>
        </w:numPr>
        <w:rPr>
          <w:bCs/>
          <w:iCs/>
        </w:rPr>
      </w:pPr>
      <w:r w:rsidRPr="00993B55">
        <w:rPr>
          <w:bCs/>
          <w:iCs/>
        </w:rPr>
        <w:t xml:space="preserve">Emissions from non-road IC engines (i.e. IC engines at a particular site at the facility for less than 12 months), </w:t>
      </w:r>
      <w:r w:rsidRPr="00993B55">
        <w:t>pursuant to the Clean Air Act, Title 3, Section 302, US Codes 7602(j) and (z)</w:t>
      </w:r>
    </w:p>
    <w:p w14:paraId="4E278A0A" w14:textId="7453AEB5" w:rsidR="000177D5" w:rsidRPr="00993B55" w:rsidRDefault="000177D5" w:rsidP="007A60F3">
      <w:pPr>
        <w:pStyle w:val="ListParagraph"/>
        <w:widowControl w:val="0"/>
        <w:numPr>
          <w:ilvl w:val="0"/>
          <w:numId w:val="16"/>
        </w:numPr>
        <w:rPr>
          <w:bCs/>
          <w:iCs/>
        </w:rPr>
      </w:pPr>
      <w:r w:rsidRPr="00993B55">
        <w:rPr>
          <w:bCs/>
          <w:iCs/>
        </w:rPr>
        <w:t xml:space="preserve">Fugitive emissions, except for the specific source categories specified in 40 CFR </w:t>
      </w:r>
      <w:r w:rsidR="00BA3F1D">
        <w:rPr>
          <w:bCs/>
          <w:iCs/>
        </w:rPr>
        <w:t>51.165</w:t>
      </w:r>
    </w:p>
    <w:p w14:paraId="5DE78C8E" w14:textId="77777777" w:rsidR="000177D5" w:rsidRPr="00993B55" w:rsidRDefault="000177D5" w:rsidP="007A60F3">
      <w:pPr>
        <w:pStyle w:val="ListParagraph"/>
        <w:widowControl w:val="0"/>
        <w:ind w:left="1440"/>
        <w:rPr>
          <w:bCs/>
          <w:iCs/>
        </w:rPr>
      </w:pPr>
    </w:p>
    <w:p w14:paraId="17080525" w14:textId="77777777" w:rsidR="000177D5" w:rsidRPr="00993B55" w:rsidRDefault="000177D5" w:rsidP="007A60F3">
      <w:pPr>
        <w:widowControl w:val="0"/>
        <w:ind w:left="720"/>
        <w:rPr>
          <w:b/>
          <w:bCs/>
          <w:iCs/>
          <w:color w:val="0000FF"/>
          <w:spacing w:val="-3"/>
        </w:rPr>
      </w:pPr>
      <w:r w:rsidRPr="00993B55">
        <w:rPr>
          <w:b/>
          <w:i/>
          <w:iCs/>
          <w:color w:val="0000FF"/>
          <w:u w:val="single"/>
        </w:rPr>
        <w:t>Example (a)</w:t>
      </w:r>
      <w:r w:rsidRPr="00993B55">
        <w:rPr>
          <w:b/>
          <w:i/>
          <w:iCs/>
          <w:color w:val="0000FF"/>
        </w:rPr>
        <w:t>:</w:t>
      </w:r>
      <w:r w:rsidRPr="00993B55">
        <w:rPr>
          <w:b/>
          <w:i/>
          <w:iCs/>
          <w:color w:val="0000FF"/>
        </w:rPr>
        <w:tab/>
        <w:t>(For a post project Non-Major Source.)</w:t>
      </w:r>
    </w:p>
    <w:tbl>
      <w:tblPr>
        <w:tblW w:w="9462"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0"/>
        <w:gridCol w:w="1110"/>
        <w:gridCol w:w="1110"/>
        <w:gridCol w:w="1111"/>
        <w:gridCol w:w="1110"/>
        <w:gridCol w:w="1110"/>
        <w:gridCol w:w="1111"/>
      </w:tblGrid>
      <w:tr w:rsidR="000177D5" w:rsidRPr="00993B55" w14:paraId="57DD9B9D" w14:textId="77777777" w:rsidTr="0028653F">
        <w:trPr>
          <w:cantSplit/>
          <w:trHeight w:val="492"/>
        </w:trPr>
        <w:tc>
          <w:tcPr>
            <w:tcW w:w="9462" w:type="dxa"/>
            <w:gridSpan w:val="7"/>
            <w:shd w:val="clear" w:color="auto" w:fill="D9D9D9" w:themeFill="background1" w:themeFillShade="D9"/>
            <w:vAlign w:val="center"/>
          </w:tcPr>
          <w:p w14:paraId="64DB9B31" w14:textId="5A0F956C" w:rsidR="000177D5" w:rsidRPr="00993B55" w:rsidRDefault="000177D5" w:rsidP="00F81BDB">
            <w:pPr>
              <w:keepNext/>
              <w:widowControl w:val="0"/>
              <w:jc w:val="center"/>
              <w:rPr>
                <w:b/>
                <w:sz w:val="22"/>
                <w:szCs w:val="22"/>
              </w:rPr>
            </w:pPr>
            <w:r w:rsidRPr="00993B55">
              <w:rPr>
                <w:b/>
                <w:sz w:val="22"/>
                <w:szCs w:val="22"/>
              </w:rPr>
              <w:t>Rule 2201 Major Source Determination</w:t>
            </w:r>
            <w:r w:rsidR="00695174">
              <w:rPr>
                <w:b/>
                <w:sz w:val="22"/>
                <w:szCs w:val="22"/>
              </w:rPr>
              <w:t xml:space="preserve"> </w:t>
            </w:r>
            <w:r w:rsidRPr="00993B55">
              <w:rPr>
                <w:b/>
                <w:sz w:val="22"/>
                <w:szCs w:val="22"/>
              </w:rPr>
              <w:t>(lb/year)</w:t>
            </w:r>
          </w:p>
        </w:tc>
      </w:tr>
      <w:tr w:rsidR="000177D5" w:rsidRPr="00993B55" w14:paraId="34F075B1" w14:textId="77777777" w:rsidTr="00E9157E">
        <w:trPr>
          <w:trHeight w:val="438"/>
        </w:trPr>
        <w:tc>
          <w:tcPr>
            <w:tcW w:w="2800" w:type="dxa"/>
            <w:shd w:val="clear" w:color="auto" w:fill="D9D9D9" w:themeFill="background1" w:themeFillShade="D9"/>
            <w:vAlign w:val="center"/>
          </w:tcPr>
          <w:p w14:paraId="6BA7B6B1" w14:textId="77777777" w:rsidR="000177D5" w:rsidRPr="00993B55" w:rsidRDefault="000177D5" w:rsidP="00F81BDB">
            <w:pPr>
              <w:keepNext/>
              <w:widowControl w:val="0"/>
              <w:jc w:val="center"/>
              <w:rPr>
                <w:sz w:val="22"/>
                <w:szCs w:val="22"/>
              </w:rPr>
            </w:pPr>
          </w:p>
        </w:tc>
        <w:tc>
          <w:tcPr>
            <w:tcW w:w="1110" w:type="dxa"/>
            <w:shd w:val="clear" w:color="auto" w:fill="D9D9D9" w:themeFill="background1" w:themeFillShade="D9"/>
            <w:vAlign w:val="center"/>
          </w:tcPr>
          <w:p w14:paraId="1C188A48" w14:textId="04C35F85" w:rsidR="000177D5" w:rsidRPr="00993B55" w:rsidRDefault="000177D5" w:rsidP="00F81BDB">
            <w:pPr>
              <w:keepNext/>
              <w:widowControl w:val="0"/>
              <w:jc w:val="center"/>
              <w:rPr>
                <w:b/>
                <w:sz w:val="22"/>
                <w:szCs w:val="22"/>
              </w:rPr>
            </w:pPr>
            <w:r w:rsidRPr="00993B55">
              <w:rPr>
                <w:b/>
                <w:sz w:val="22"/>
                <w:szCs w:val="22"/>
              </w:rPr>
              <w:t>NO</w:t>
            </w:r>
            <w:r w:rsidR="00EE2923">
              <w:rPr>
                <w:b/>
                <w:sz w:val="22"/>
                <w:szCs w:val="22"/>
              </w:rPr>
              <w:t>x</w:t>
            </w:r>
          </w:p>
        </w:tc>
        <w:tc>
          <w:tcPr>
            <w:tcW w:w="1110" w:type="dxa"/>
            <w:shd w:val="clear" w:color="auto" w:fill="D9D9D9" w:themeFill="background1" w:themeFillShade="D9"/>
            <w:vAlign w:val="center"/>
          </w:tcPr>
          <w:p w14:paraId="747DA7DF" w14:textId="16E3F575" w:rsidR="000177D5" w:rsidRPr="00993B55" w:rsidRDefault="000177D5" w:rsidP="00F81BDB">
            <w:pPr>
              <w:keepNext/>
              <w:widowControl w:val="0"/>
              <w:jc w:val="center"/>
              <w:rPr>
                <w:b/>
                <w:sz w:val="22"/>
                <w:szCs w:val="22"/>
              </w:rPr>
            </w:pPr>
            <w:r w:rsidRPr="00993B55">
              <w:rPr>
                <w:b/>
                <w:sz w:val="22"/>
                <w:szCs w:val="22"/>
              </w:rPr>
              <w:t>SO</w:t>
            </w:r>
            <w:r w:rsidR="00EE2923">
              <w:rPr>
                <w:b/>
                <w:sz w:val="22"/>
                <w:szCs w:val="22"/>
              </w:rPr>
              <w:t>x</w:t>
            </w:r>
          </w:p>
        </w:tc>
        <w:tc>
          <w:tcPr>
            <w:tcW w:w="1111" w:type="dxa"/>
            <w:shd w:val="clear" w:color="auto" w:fill="D9D9D9" w:themeFill="background1" w:themeFillShade="D9"/>
            <w:vAlign w:val="center"/>
          </w:tcPr>
          <w:p w14:paraId="139E0D4D" w14:textId="2D130A80" w:rsidR="000177D5" w:rsidRPr="00993B55" w:rsidRDefault="000177D5" w:rsidP="00F81BDB">
            <w:pPr>
              <w:keepNext/>
              <w:widowControl w:val="0"/>
              <w:jc w:val="center"/>
              <w:rPr>
                <w:b/>
                <w:sz w:val="22"/>
                <w:szCs w:val="22"/>
              </w:rPr>
            </w:pPr>
            <w:r w:rsidRPr="00993B55">
              <w:rPr>
                <w:b/>
                <w:sz w:val="22"/>
                <w:szCs w:val="22"/>
              </w:rPr>
              <w:t>PM</w:t>
            </w:r>
            <w:r w:rsidR="00EE2923">
              <w:rPr>
                <w:b/>
                <w:sz w:val="22"/>
                <w:szCs w:val="22"/>
              </w:rPr>
              <w:t>10</w:t>
            </w:r>
          </w:p>
        </w:tc>
        <w:tc>
          <w:tcPr>
            <w:tcW w:w="1110" w:type="dxa"/>
            <w:shd w:val="clear" w:color="auto" w:fill="D9D9D9" w:themeFill="background1" w:themeFillShade="D9"/>
            <w:vAlign w:val="center"/>
          </w:tcPr>
          <w:p w14:paraId="3170FD0B" w14:textId="5CDAD6C6" w:rsidR="000177D5" w:rsidRPr="00993B55" w:rsidRDefault="000177D5" w:rsidP="00F81BDB">
            <w:pPr>
              <w:keepNext/>
              <w:widowControl w:val="0"/>
              <w:jc w:val="center"/>
              <w:rPr>
                <w:b/>
                <w:sz w:val="22"/>
                <w:szCs w:val="22"/>
              </w:rPr>
            </w:pPr>
            <w:r w:rsidRPr="00993B55">
              <w:rPr>
                <w:b/>
                <w:sz w:val="22"/>
                <w:szCs w:val="22"/>
              </w:rPr>
              <w:t>PM</w:t>
            </w:r>
            <w:r w:rsidR="00EE2923">
              <w:rPr>
                <w:b/>
                <w:sz w:val="22"/>
                <w:szCs w:val="22"/>
              </w:rPr>
              <w:t>2.5</w:t>
            </w:r>
          </w:p>
        </w:tc>
        <w:tc>
          <w:tcPr>
            <w:tcW w:w="1110" w:type="dxa"/>
            <w:shd w:val="clear" w:color="auto" w:fill="D9D9D9" w:themeFill="background1" w:themeFillShade="D9"/>
            <w:vAlign w:val="center"/>
          </w:tcPr>
          <w:p w14:paraId="56A86011" w14:textId="77777777" w:rsidR="000177D5" w:rsidRPr="00993B55" w:rsidRDefault="000177D5" w:rsidP="00F81BDB">
            <w:pPr>
              <w:keepNext/>
              <w:widowControl w:val="0"/>
              <w:jc w:val="center"/>
              <w:rPr>
                <w:b/>
                <w:sz w:val="22"/>
                <w:szCs w:val="22"/>
              </w:rPr>
            </w:pPr>
            <w:r w:rsidRPr="00993B55">
              <w:rPr>
                <w:b/>
                <w:sz w:val="22"/>
                <w:szCs w:val="22"/>
              </w:rPr>
              <w:t>CO</w:t>
            </w:r>
          </w:p>
        </w:tc>
        <w:tc>
          <w:tcPr>
            <w:tcW w:w="1111" w:type="dxa"/>
            <w:shd w:val="clear" w:color="auto" w:fill="D9D9D9" w:themeFill="background1" w:themeFillShade="D9"/>
            <w:vAlign w:val="center"/>
          </w:tcPr>
          <w:p w14:paraId="147A5A8C" w14:textId="77777777" w:rsidR="000177D5" w:rsidRPr="00993B55" w:rsidRDefault="000177D5" w:rsidP="00F81BDB">
            <w:pPr>
              <w:keepNext/>
              <w:widowControl w:val="0"/>
              <w:jc w:val="center"/>
              <w:rPr>
                <w:b/>
                <w:sz w:val="22"/>
                <w:szCs w:val="22"/>
              </w:rPr>
            </w:pPr>
            <w:r w:rsidRPr="00993B55">
              <w:rPr>
                <w:b/>
                <w:sz w:val="22"/>
                <w:szCs w:val="22"/>
              </w:rPr>
              <w:t>VOC</w:t>
            </w:r>
          </w:p>
        </w:tc>
      </w:tr>
      <w:tr w:rsidR="003F3117" w:rsidRPr="00993B55" w14:paraId="11D1BEE5" w14:textId="77777777" w:rsidTr="00E9157E">
        <w:trPr>
          <w:trHeight w:val="393"/>
        </w:trPr>
        <w:tc>
          <w:tcPr>
            <w:tcW w:w="2800" w:type="dxa"/>
            <w:shd w:val="clear" w:color="auto" w:fill="auto"/>
            <w:vAlign w:val="center"/>
          </w:tcPr>
          <w:p w14:paraId="07DFD00F" w14:textId="77777777" w:rsidR="003F3117" w:rsidRPr="00993B55" w:rsidRDefault="003F3117" w:rsidP="00F81BDB">
            <w:pPr>
              <w:keepNext/>
              <w:widowControl w:val="0"/>
              <w:jc w:val="center"/>
              <w:rPr>
                <w:sz w:val="22"/>
                <w:szCs w:val="22"/>
              </w:rPr>
            </w:pPr>
            <w:r w:rsidRPr="00993B55">
              <w:rPr>
                <w:snapToGrid w:val="0"/>
                <w:color w:val="000000"/>
                <w:sz w:val="22"/>
                <w:szCs w:val="22"/>
              </w:rPr>
              <w:t>SSPE1</w:t>
            </w:r>
          </w:p>
        </w:tc>
        <w:tc>
          <w:tcPr>
            <w:tcW w:w="1110" w:type="dxa"/>
            <w:shd w:val="clear" w:color="auto" w:fill="auto"/>
            <w:vAlign w:val="center"/>
          </w:tcPr>
          <w:p w14:paraId="303D913D" w14:textId="06534866" w:rsidR="003F3117" w:rsidRPr="00DF39AC" w:rsidRDefault="003F3117" w:rsidP="00F81BDB">
            <w:pPr>
              <w:keepNext/>
              <w:widowControl w:val="0"/>
              <w:jc w:val="center"/>
              <w:rPr>
                <w:color w:val="0000FF"/>
                <w:sz w:val="22"/>
                <w:szCs w:val="22"/>
              </w:rPr>
            </w:pPr>
            <w:r w:rsidRPr="002052A9">
              <w:rPr>
                <w:color w:val="0000FF"/>
                <w:sz w:val="22"/>
                <w:szCs w:val="22"/>
              </w:rPr>
              <w:t>X,XXX</w:t>
            </w:r>
          </w:p>
        </w:tc>
        <w:tc>
          <w:tcPr>
            <w:tcW w:w="1110" w:type="dxa"/>
            <w:shd w:val="clear" w:color="auto" w:fill="auto"/>
            <w:vAlign w:val="center"/>
          </w:tcPr>
          <w:p w14:paraId="44F99711" w14:textId="44D822C1" w:rsidR="003F3117" w:rsidRPr="00DF39AC" w:rsidRDefault="003F3117" w:rsidP="00F81BDB">
            <w:pPr>
              <w:keepNext/>
              <w:widowControl w:val="0"/>
              <w:jc w:val="center"/>
              <w:rPr>
                <w:color w:val="0000FF"/>
                <w:sz w:val="22"/>
                <w:szCs w:val="22"/>
              </w:rPr>
            </w:pPr>
            <w:r w:rsidRPr="002052A9">
              <w:rPr>
                <w:color w:val="0000FF"/>
                <w:sz w:val="22"/>
                <w:szCs w:val="22"/>
              </w:rPr>
              <w:t>X,XXX</w:t>
            </w:r>
          </w:p>
        </w:tc>
        <w:tc>
          <w:tcPr>
            <w:tcW w:w="1111" w:type="dxa"/>
            <w:shd w:val="clear" w:color="auto" w:fill="auto"/>
            <w:vAlign w:val="center"/>
          </w:tcPr>
          <w:p w14:paraId="36255313" w14:textId="294626DE" w:rsidR="003F3117" w:rsidRPr="00DF39AC" w:rsidRDefault="003F3117" w:rsidP="00F81BDB">
            <w:pPr>
              <w:keepNext/>
              <w:widowControl w:val="0"/>
              <w:jc w:val="center"/>
              <w:rPr>
                <w:color w:val="0000FF"/>
                <w:sz w:val="22"/>
                <w:szCs w:val="22"/>
              </w:rPr>
            </w:pPr>
            <w:r w:rsidRPr="002052A9">
              <w:rPr>
                <w:color w:val="0000FF"/>
                <w:sz w:val="22"/>
                <w:szCs w:val="22"/>
              </w:rPr>
              <w:t>X,XXX</w:t>
            </w:r>
          </w:p>
        </w:tc>
        <w:tc>
          <w:tcPr>
            <w:tcW w:w="1110" w:type="dxa"/>
            <w:vAlign w:val="center"/>
          </w:tcPr>
          <w:p w14:paraId="50F0C8F5" w14:textId="5B4EB8EE" w:rsidR="003F3117" w:rsidRPr="00DF39AC" w:rsidRDefault="003F3117" w:rsidP="00F81BDB">
            <w:pPr>
              <w:keepNext/>
              <w:widowControl w:val="0"/>
              <w:jc w:val="center"/>
              <w:rPr>
                <w:color w:val="0000FF"/>
                <w:sz w:val="22"/>
                <w:szCs w:val="22"/>
              </w:rPr>
            </w:pPr>
            <w:r w:rsidRPr="002052A9">
              <w:rPr>
                <w:color w:val="0000FF"/>
                <w:sz w:val="22"/>
                <w:szCs w:val="22"/>
              </w:rPr>
              <w:t>X,XXX</w:t>
            </w:r>
          </w:p>
        </w:tc>
        <w:tc>
          <w:tcPr>
            <w:tcW w:w="1110" w:type="dxa"/>
            <w:shd w:val="clear" w:color="auto" w:fill="auto"/>
            <w:vAlign w:val="center"/>
          </w:tcPr>
          <w:p w14:paraId="405A3CAA" w14:textId="4A2FAE05" w:rsidR="003F3117" w:rsidRPr="00DF39AC" w:rsidRDefault="003F3117" w:rsidP="00F81BDB">
            <w:pPr>
              <w:keepNext/>
              <w:widowControl w:val="0"/>
              <w:jc w:val="center"/>
              <w:rPr>
                <w:color w:val="0000FF"/>
                <w:sz w:val="22"/>
                <w:szCs w:val="22"/>
              </w:rPr>
            </w:pPr>
            <w:r w:rsidRPr="002052A9">
              <w:rPr>
                <w:color w:val="0000FF"/>
                <w:sz w:val="22"/>
                <w:szCs w:val="22"/>
              </w:rPr>
              <w:t>X,XXX</w:t>
            </w:r>
          </w:p>
        </w:tc>
        <w:tc>
          <w:tcPr>
            <w:tcW w:w="1111" w:type="dxa"/>
            <w:shd w:val="clear" w:color="auto" w:fill="auto"/>
            <w:vAlign w:val="center"/>
          </w:tcPr>
          <w:p w14:paraId="60D6218B" w14:textId="5ED33B03" w:rsidR="003F3117" w:rsidRPr="00DF39AC" w:rsidRDefault="003F3117" w:rsidP="00F81BDB">
            <w:pPr>
              <w:keepNext/>
              <w:widowControl w:val="0"/>
              <w:jc w:val="center"/>
              <w:rPr>
                <w:color w:val="0000FF"/>
                <w:sz w:val="22"/>
                <w:szCs w:val="22"/>
              </w:rPr>
            </w:pPr>
            <w:r w:rsidRPr="002052A9">
              <w:rPr>
                <w:color w:val="0000FF"/>
                <w:sz w:val="22"/>
                <w:szCs w:val="22"/>
              </w:rPr>
              <w:t>X,XXX</w:t>
            </w:r>
          </w:p>
        </w:tc>
      </w:tr>
      <w:tr w:rsidR="003F3117" w:rsidRPr="00993B55" w14:paraId="4B5DA881" w14:textId="77777777" w:rsidTr="00E9157E">
        <w:trPr>
          <w:trHeight w:val="359"/>
        </w:trPr>
        <w:tc>
          <w:tcPr>
            <w:tcW w:w="2800" w:type="dxa"/>
            <w:shd w:val="clear" w:color="auto" w:fill="auto"/>
            <w:vAlign w:val="center"/>
          </w:tcPr>
          <w:p w14:paraId="36951229" w14:textId="77777777" w:rsidR="003F3117" w:rsidRPr="00993B55" w:rsidRDefault="003F3117" w:rsidP="00F81BDB">
            <w:pPr>
              <w:keepNext/>
              <w:widowControl w:val="0"/>
              <w:jc w:val="center"/>
              <w:rPr>
                <w:snapToGrid w:val="0"/>
                <w:color w:val="000000"/>
                <w:sz w:val="22"/>
                <w:szCs w:val="22"/>
              </w:rPr>
            </w:pPr>
            <w:r w:rsidRPr="00993B55">
              <w:rPr>
                <w:snapToGrid w:val="0"/>
                <w:color w:val="000000"/>
                <w:sz w:val="22"/>
                <w:szCs w:val="22"/>
              </w:rPr>
              <w:t>SSPE2</w:t>
            </w:r>
          </w:p>
        </w:tc>
        <w:tc>
          <w:tcPr>
            <w:tcW w:w="1110" w:type="dxa"/>
            <w:shd w:val="clear" w:color="auto" w:fill="auto"/>
            <w:vAlign w:val="center"/>
          </w:tcPr>
          <w:p w14:paraId="0FE686DD" w14:textId="3AC8D9A6" w:rsidR="003F3117" w:rsidRPr="00DF39AC" w:rsidRDefault="003F3117" w:rsidP="00F81BDB">
            <w:pPr>
              <w:keepNext/>
              <w:widowControl w:val="0"/>
              <w:jc w:val="center"/>
              <w:rPr>
                <w:color w:val="0000FF"/>
                <w:sz w:val="22"/>
                <w:szCs w:val="22"/>
              </w:rPr>
            </w:pPr>
            <w:r w:rsidRPr="002052A9">
              <w:rPr>
                <w:color w:val="0000FF"/>
                <w:sz w:val="22"/>
                <w:szCs w:val="22"/>
              </w:rPr>
              <w:t>X,XXX</w:t>
            </w:r>
          </w:p>
        </w:tc>
        <w:tc>
          <w:tcPr>
            <w:tcW w:w="1110" w:type="dxa"/>
            <w:shd w:val="clear" w:color="auto" w:fill="auto"/>
            <w:vAlign w:val="center"/>
          </w:tcPr>
          <w:p w14:paraId="19D08934" w14:textId="6855CF98" w:rsidR="003F3117" w:rsidRPr="00DF39AC" w:rsidRDefault="003F3117" w:rsidP="00F81BDB">
            <w:pPr>
              <w:keepNext/>
              <w:widowControl w:val="0"/>
              <w:jc w:val="center"/>
              <w:rPr>
                <w:color w:val="0000FF"/>
                <w:sz w:val="22"/>
                <w:szCs w:val="22"/>
              </w:rPr>
            </w:pPr>
            <w:r w:rsidRPr="002052A9">
              <w:rPr>
                <w:color w:val="0000FF"/>
                <w:sz w:val="22"/>
                <w:szCs w:val="22"/>
              </w:rPr>
              <w:t>X,XXX</w:t>
            </w:r>
          </w:p>
        </w:tc>
        <w:tc>
          <w:tcPr>
            <w:tcW w:w="1111" w:type="dxa"/>
            <w:shd w:val="clear" w:color="auto" w:fill="auto"/>
            <w:vAlign w:val="center"/>
          </w:tcPr>
          <w:p w14:paraId="702C5D37" w14:textId="7A4F3021" w:rsidR="003F3117" w:rsidRPr="00DF39AC" w:rsidRDefault="003F3117" w:rsidP="00F81BDB">
            <w:pPr>
              <w:keepNext/>
              <w:widowControl w:val="0"/>
              <w:jc w:val="center"/>
              <w:rPr>
                <w:color w:val="0000FF"/>
                <w:sz w:val="22"/>
                <w:szCs w:val="22"/>
              </w:rPr>
            </w:pPr>
            <w:r w:rsidRPr="002052A9">
              <w:rPr>
                <w:color w:val="0000FF"/>
                <w:sz w:val="22"/>
                <w:szCs w:val="22"/>
              </w:rPr>
              <w:t>X,XXX</w:t>
            </w:r>
          </w:p>
        </w:tc>
        <w:tc>
          <w:tcPr>
            <w:tcW w:w="1110" w:type="dxa"/>
            <w:vAlign w:val="center"/>
          </w:tcPr>
          <w:p w14:paraId="7100F233" w14:textId="6AA8B1F5" w:rsidR="003F3117" w:rsidRPr="00DF39AC" w:rsidRDefault="003F3117" w:rsidP="00F81BDB">
            <w:pPr>
              <w:keepNext/>
              <w:widowControl w:val="0"/>
              <w:jc w:val="center"/>
              <w:rPr>
                <w:color w:val="0000FF"/>
                <w:sz w:val="22"/>
                <w:szCs w:val="22"/>
              </w:rPr>
            </w:pPr>
            <w:r w:rsidRPr="002052A9">
              <w:rPr>
                <w:color w:val="0000FF"/>
                <w:sz w:val="22"/>
                <w:szCs w:val="22"/>
              </w:rPr>
              <w:t>X,XXX</w:t>
            </w:r>
          </w:p>
        </w:tc>
        <w:tc>
          <w:tcPr>
            <w:tcW w:w="1110" w:type="dxa"/>
            <w:shd w:val="clear" w:color="auto" w:fill="auto"/>
            <w:vAlign w:val="center"/>
          </w:tcPr>
          <w:p w14:paraId="4C588C08" w14:textId="32E77406" w:rsidR="003F3117" w:rsidRPr="00DF39AC" w:rsidRDefault="003F3117" w:rsidP="00F81BDB">
            <w:pPr>
              <w:keepNext/>
              <w:widowControl w:val="0"/>
              <w:jc w:val="center"/>
              <w:rPr>
                <w:color w:val="0000FF"/>
                <w:sz w:val="22"/>
                <w:szCs w:val="22"/>
              </w:rPr>
            </w:pPr>
            <w:r w:rsidRPr="002052A9">
              <w:rPr>
                <w:color w:val="0000FF"/>
                <w:sz w:val="22"/>
                <w:szCs w:val="22"/>
              </w:rPr>
              <w:t>X,XXX</w:t>
            </w:r>
          </w:p>
        </w:tc>
        <w:tc>
          <w:tcPr>
            <w:tcW w:w="1111" w:type="dxa"/>
            <w:shd w:val="clear" w:color="auto" w:fill="auto"/>
            <w:vAlign w:val="center"/>
          </w:tcPr>
          <w:p w14:paraId="7C00F255" w14:textId="555ED7FE" w:rsidR="003F3117" w:rsidRPr="00DF39AC" w:rsidRDefault="003F3117" w:rsidP="00F81BDB">
            <w:pPr>
              <w:keepNext/>
              <w:widowControl w:val="0"/>
              <w:jc w:val="center"/>
              <w:rPr>
                <w:color w:val="0000FF"/>
                <w:sz w:val="22"/>
                <w:szCs w:val="22"/>
              </w:rPr>
            </w:pPr>
            <w:r w:rsidRPr="002052A9">
              <w:rPr>
                <w:color w:val="0000FF"/>
                <w:sz w:val="22"/>
                <w:szCs w:val="22"/>
              </w:rPr>
              <w:t>X,XXX</w:t>
            </w:r>
          </w:p>
        </w:tc>
      </w:tr>
      <w:tr w:rsidR="000177D5" w:rsidRPr="00993B55" w14:paraId="5F3BF8A2" w14:textId="77777777" w:rsidTr="00E9157E">
        <w:trPr>
          <w:trHeight w:val="449"/>
        </w:trPr>
        <w:tc>
          <w:tcPr>
            <w:tcW w:w="2800" w:type="dxa"/>
            <w:shd w:val="clear" w:color="auto" w:fill="auto"/>
            <w:vAlign w:val="center"/>
          </w:tcPr>
          <w:p w14:paraId="63163FFE" w14:textId="77777777" w:rsidR="000177D5" w:rsidRPr="00993B55" w:rsidRDefault="000177D5" w:rsidP="00F81BDB">
            <w:pPr>
              <w:keepNext/>
              <w:widowControl w:val="0"/>
              <w:jc w:val="center"/>
              <w:rPr>
                <w:sz w:val="22"/>
                <w:szCs w:val="22"/>
              </w:rPr>
            </w:pPr>
            <w:r w:rsidRPr="00993B55">
              <w:rPr>
                <w:sz w:val="22"/>
                <w:szCs w:val="22"/>
              </w:rPr>
              <w:t>Major Source Threshold</w:t>
            </w:r>
          </w:p>
        </w:tc>
        <w:tc>
          <w:tcPr>
            <w:tcW w:w="1110" w:type="dxa"/>
            <w:shd w:val="clear" w:color="auto" w:fill="auto"/>
            <w:vAlign w:val="center"/>
          </w:tcPr>
          <w:p w14:paraId="67A1D906" w14:textId="77777777" w:rsidR="000177D5" w:rsidRPr="00993B55" w:rsidRDefault="000177D5" w:rsidP="00F81BDB">
            <w:pPr>
              <w:keepNext/>
              <w:widowControl w:val="0"/>
              <w:jc w:val="center"/>
              <w:rPr>
                <w:sz w:val="22"/>
                <w:szCs w:val="22"/>
              </w:rPr>
            </w:pPr>
            <w:r w:rsidRPr="00993B55">
              <w:rPr>
                <w:sz w:val="22"/>
                <w:szCs w:val="22"/>
              </w:rPr>
              <w:t>20,000</w:t>
            </w:r>
          </w:p>
        </w:tc>
        <w:tc>
          <w:tcPr>
            <w:tcW w:w="1110" w:type="dxa"/>
            <w:shd w:val="clear" w:color="auto" w:fill="auto"/>
            <w:vAlign w:val="center"/>
          </w:tcPr>
          <w:p w14:paraId="470FAEA5" w14:textId="77777777" w:rsidR="000177D5" w:rsidRPr="00993B55" w:rsidRDefault="000177D5" w:rsidP="00F81BDB">
            <w:pPr>
              <w:keepNext/>
              <w:widowControl w:val="0"/>
              <w:jc w:val="center"/>
              <w:rPr>
                <w:sz w:val="22"/>
                <w:szCs w:val="22"/>
              </w:rPr>
            </w:pPr>
            <w:r w:rsidRPr="00993B55">
              <w:rPr>
                <w:sz w:val="22"/>
                <w:szCs w:val="22"/>
              </w:rPr>
              <w:t>140,000</w:t>
            </w:r>
          </w:p>
        </w:tc>
        <w:tc>
          <w:tcPr>
            <w:tcW w:w="1111" w:type="dxa"/>
            <w:shd w:val="clear" w:color="auto" w:fill="auto"/>
            <w:vAlign w:val="center"/>
          </w:tcPr>
          <w:p w14:paraId="3FABC642" w14:textId="77777777" w:rsidR="000177D5" w:rsidRPr="00993B55" w:rsidRDefault="000177D5" w:rsidP="00F81BDB">
            <w:pPr>
              <w:keepNext/>
              <w:widowControl w:val="0"/>
              <w:jc w:val="center"/>
              <w:rPr>
                <w:sz w:val="22"/>
                <w:szCs w:val="22"/>
              </w:rPr>
            </w:pPr>
            <w:r w:rsidRPr="00993B55">
              <w:rPr>
                <w:sz w:val="22"/>
                <w:szCs w:val="22"/>
              </w:rPr>
              <w:t>140,000</w:t>
            </w:r>
          </w:p>
        </w:tc>
        <w:tc>
          <w:tcPr>
            <w:tcW w:w="1110" w:type="dxa"/>
            <w:vAlign w:val="center"/>
          </w:tcPr>
          <w:p w14:paraId="3BE1B568" w14:textId="77777777" w:rsidR="000177D5" w:rsidRPr="00993B55" w:rsidRDefault="000177D5" w:rsidP="00F81BDB">
            <w:pPr>
              <w:keepNext/>
              <w:widowControl w:val="0"/>
              <w:jc w:val="center"/>
              <w:rPr>
                <w:sz w:val="22"/>
                <w:szCs w:val="22"/>
              </w:rPr>
            </w:pPr>
            <w:r w:rsidRPr="00993B55">
              <w:rPr>
                <w:sz w:val="22"/>
                <w:szCs w:val="22"/>
              </w:rPr>
              <w:t>140,000</w:t>
            </w:r>
          </w:p>
        </w:tc>
        <w:tc>
          <w:tcPr>
            <w:tcW w:w="1110" w:type="dxa"/>
            <w:shd w:val="clear" w:color="auto" w:fill="auto"/>
            <w:vAlign w:val="center"/>
          </w:tcPr>
          <w:p w14:paraId="5CF9320B" w14:textId="77777777" w:rsidR="000177D5" w:rsidRPr="00993B55" w:rsidRDefault="000177D5" w:rsidP="00F81BDB">
            <w:pPr>
              <w:keepNext/>
              <w:widowControl w:val="0"/>
              <w:jc w:val="center"/>
              <w:rPr>
                <w:sz w:val="22"/>
                <w:szCs w:val="22"/>
              </w:rPr>
            </w:pPr>
            <w:r w:rsidRPr="00993B55">
              <w:rPr>
                <w:sz w:val="22"/>
                <w:szCs w:val="22"/>
              </w:rPr>
              <w:t>200,000</w:t>
            </w:r>
          </w:p>
        </w:tc>
        <w:tc>
          <w:tcPr>
            <w:tcW w:w="1111" w:type="dxa"/>
            <w:shd w:val="clear" w:color="auto" w:fill="auto"/>
            <w:vAlign w:val="center"/>
          </w:tcPr>
          <w:p w14:paraId="5F01B2FA" w14:textId="77777777" w:rsidR="000177D5" w:rsidRPr="00993B55" w:rsidRDefault="000177D5" w:rsidP="00F81BDB">
            <w:pPr>
              <w:keepNext/>
              <w:widowControl w:val="0"/>
              <w:jc w:val="center"/>
              <w:rPr>
                <w:sz w:val="22"/>
                <w:szCs w:val="22"/>
              </w:rPr>
            </w:pPr>
            <w:r w:rsidRPr="00993B55">
              <w:rPr>
                <w:sz w:val="22"/>
                <w:szCs w:val="22"/>
              </w:rPr>
              <w:t>20,000</w:t>
            </w:r>
          </w:p>
        </w:tc>
      </w:tr>
      <w:tr w:rsidR="000177D5" w:rsidRPr="00993B55" w14:paraId="7836C42A" w14:textId="77777777" w:rsidTr="00E9157E">
        <w:trPr>
          <w:trHeight w:val="504"/>
        </w:trPr>
        <w:tc>
          <w:tcPr>
            <w:tcW w:w="2800" w:type="dxa"/>
            <w:shd w:val="clear" w:color="auto" w:fill="D9D9D9" w:themeFill="background1" w:themeFillShade="D9"/>
            <w:vAlign w:val="center"/>
          </w:tcPr>
          <w:p w14:paraId="1ABE5A90" w14:textId="77777777" w:rsidR="000177D5" w:rsidRPr="00505E9F" w:rsidRDefault="000177D5" w:rsidP="00F81BDB">
            <w:pPr>
              <w:keepNext/>
              <w:widowControl w:val="0"/>
              <w:jc w:val="center"/>
              <w:rPr>
                <w:b/>
                <w:bCs/>
                <w:sz w:val="22"/>
                <w:szCs w:val="22"/>
              </w:rPr>
            </w:pPr>
            <w:r w:rsidRPr="00505E9F">
              <w:rPr>
                <w:b/>
                <w:bCs/>
                <w:sz w:val="22"/>
                <w:szCs w:val="22"/>
              </w:rPr>
              <w:t>Major Source?</w:t>
            </w:r>
          </w:p>
        </w:tc>
        <w:tc>
          <w:tcPr>
            <w:tcW w:w="1110" w:type="dxa"/>
            <w:shd w:val="clear" w:color="auto" w:fill="D9D9D9" w:themeFill="background1" w:themeFillShade="D9"/>
            <w:vAlign w:val="center"/>
          </w:tcPr>
          <w:p w14:paraId="13A4F585" w14:textId="77777777" w:rsidR="000177D5" w:rsidRPr="00505E9F" w:rsidRDefault="000177D5" w:rsidP="00F81BDB">
            <w:pPr>
              <w:keepNext/>
              <w:widowControl w:val="0"/>
              <w:jc w:val="center"/>
              <w:rPr>
                <w:b/>
                <w:bCs/>
                <w:color w:val="0000FF"/>
                <w:sz w:val="22"/>
                <w:szCs w:val="22"/>
              </w:rPr>
            </w:pPr>
            <w:r w:rsidRPr="00505E9F">
              <w:rPr>
                <w:b/>
                <w:bCs/>
                <w:color w:val="0000FF"/>
                <w:sz w:val="22"/>
                <w:szCs w:val="22"/>
              </w:rPr>
              <w:t>No</w:t>
            </w:r>
          </w:p>
        </w:tc>
        <w:tc>
          <w:tcPr>
            <w:tcW w:w="1110" w:type="dxa"/>
            <w:shd w:val="clear" w:color="auto" w:fill="D9D9D9" w:themeFill="background1" w:themeFillShade="D9"/>
            <w:vAlign w:val="center"/>
          </w:tcPr>
          <w:p w14:paraId="3A6BB36D" w14:textId="77777777" w:rsidR="000177D5" w:rsidRPr="00505E9F" w:rsidRDefault="000177D5" w:rsidP="00F81BDB">
            <w:pPr>
              <w:keepNext/>
              <w:widowControl w:val="0"/>
              <w:jc w:val="center"/>
              <w:rPr>
                <w:b/>
                <w:bCs/>
                <w:color w:val="0000FF"/>
                <w:sz w:val="22"/>
                <w:szCs w:val="22"/>
              </w:rPr>
            </w:pPr>
            <w:r w:rsidRPr="00505E9F">
              <w:rPr>
                <w:b/>
                <w:bCs/>
                <w:color w:val="0000FF"/>
                <w:sz w:val="22"/>
                <w:szCs w:val="22"/>
              </w:rPr>
              <w:t>No</w:t>
            </w:r>
          </w:p>
        </w:tc>
        <w:tc>
          <w:tcPr>
            <w:tcW w:w="1111" w:type="dxa"/>
            <w:shd w:val="clear" w:color="auto" w:fill="D9D9D9" w:themeFill="background1" w:themeFillShade="D9"/>
            <w:vAlign w:val="center"/>
          </w:tcPr>
          <w:p w14:paraId="50CF3AB5" w14:textId="77777777" w:rsidR="000177D5" w:rsidRPr="00505E9F" w:rsidRDefault="000177D5" w:rsidP="00F81BDB">
            <w:pPr>
              <w:keepNext/>
              <w:widowControl w:val="0"/>
              <w:jc w:val="center"/>
              <w:rPr>
                <w:b/>
                <w:bCs/>
                <w:color w:val="0000FF"/>
                <w:sz w:val="22"/>
                <w:szCs w:val="22"/>
              </w:rPr>
            </w:pPr>
            <w:r w:rsidRPr="00505E9F">
              <w:rPr>
                <w:b/>
                <w:bCs/>
                <w:color w:val="0000FF"/>
                <w:sz w:val="22"/>
                <w:szCs w:val="22"/>
              </w:rPr>
              <w:t>No</w:t>
            </w:r>
          </w:p>
        </w:tc>
        <w:tc>
          <w:tcPr>
            <w:tcW w:w="1110" w:type="dxa"/>
            <w:shd w:val="clear" w:color="auto" w:fill="D9D9D9" w:themeFill="background1" w:themeFillShade="D9"/>
            <w:vAlign w:val="center"/>
          </w:tcPr>
          <w:p w14:paraId="390C10FD" w14:textId="77777777" w:rsidR="000177D5" w:rsidRPr="00505E9F" w:rsidRDefault="000177D5" w:rsidP="00F81BDB">
            <w:pPr>
              <w:keepNext/>
              <w:widowControl w:val="0"/>
              <w:jc w:val="center"/>
              <w:rPr>
                <w:b/>
                <w:bCs/>
                <w:color w:val="0000FF"/>
                <w:sz w:val="22"/>
                <w:szCs w:val="22"/>
              </w:rPr>
            </w:pPr>
            <w:r w:rsidRPr="00505E9F">
              <w:rPr>
                <w:b/>
                <w:bCs/>
                <w:color w:val="0000FF"/>
                <w:sz w:val="22"/>
                <w:szCs w:val="22"/>
              </w:rPr>
              <w:t>No</w:t>
            </w:r>
          </w:p>
        </w:tc>
        <w:tc>
          <w:tcPr>
            <w:tcW w:w="1110" w:type="dxa"/>
            <w:shd w:val="clear" w:color="auto" w:fill="D9D9D9" w:themeFill="background1" w:themeFillShade="D9"/>
            <w:vAlign w:val="center"/>
          </w:tcPr>
          <w:p w14:paraId="1EF48E95" w14:textId="77777777" w:rsidR="000177D5" w:rsidRPr="00505E9F" w:rsidRDefault="000177D5" w:rsidP="00F81BDB">
            <w:pPr>
              <w:keepNext/>
              <w:widowControl w:val="0"/>
              <w:jc w:val="center"/>
              <w:rPr>
                <w:b/>
                <w:bCs/>
                <w:color w:val="0000FF"/>
                <w:sz w:val="22"/>
                <w:szCs w:val="22"/>
              </w:rPr>
            </w:pPr>
            <w:r w:rsidRPr="00505E9F">
              <w:rPr>
                <w:b/>
                <w:bCs/>
                <w:color w:val="0000FF"/>
                <w:sz w:val="22"/>
                <w:szCs w:val="22"/>
              </w:rPr>
              <w:t>No</w:t>
            </w:r>
          </w:p>
        </w:tc>
        <w:tc>
          <w:tcPr>
            <w:tcW w:w="1111" w:type="dxa"/>
            <w:shd w:val="clear" w:color="auto" w:fill="D9D9D9" w:themeFill="background1" w:themeFillShade="D9"/>
            <w:vAlign w:val="center"/>
          </w:tcPr>
          <w:p w14:paraId="270EA759" w14:textId="77777777" w:rsidR="000177D5" w:rsidRPr="00505E9F" w:rsidRDefault="000177D5" w:rsidP="00F81BDB">
            <w:pPr>
              <w:keepNext/>
              <w:widowControl w:val="0"/>
              <w:jc w:val="center"/>
              <w:rPr>
                <w:b/>
                <w:bCs/>
                <w:color w:val="0000FF"/>
                <w:sz w:val="22"/>
                <w:szCs w:val="22"/>
              </w:rPr>
            </w:pPr>
            <w:r w:rsidRPr="00505E9F">
              <w:rPr>
                <w:b/>
                <w:bCs/>
                <w:color w:val="0000FF"/>
                <w:sz w:val="22"/>
                <w:szCs w:val="22"/>
              </w:rPr>
              <w:t>No</w:t>
            </w:r>
          </w:p>
        </w:tc>
      </w:tr>
    </w:tbl>
    <w:p w14:paraId="6810805B" w14:textId="77777777" w:rsidR="000177D5" w:rsidRPr="00993B55" w:rsidRDefault="000177D5" w:rsidP="007A60F3">
      <w:pPr>
        <w:widowControl w:val="0"/>
        <w:autoSpaceDE w:val="0"/>
        <w:autoSpaceDN w:val="0"/>
        <w:adjustRightInd w:val="0"/>
        <w:ind w:left="720"/>
        <w:rPr>
          <w:color w:val="000000"/>
        </w:rPr>
      </w:pPr>
      <w:r w:rsidRPr="00993B55">
        <w:rPr>
          <w:color w:val="000000"/>
        </w:rPr>
        <w:tab/>
        <w:t>Note: PM2.5 assumed to be equal to PM10</w:t>
      </w:r>
    </w:p>
    <w:p w14:paraId="5C192210" w14:textId="77777777" w:rsidR="000177D5" w:rsidRPr="00993B55" w:rsidRDefault="000177D5" w:rsidP="007A60F3">
      <w:pPr>
        <w:widowControl w:val="0"/>
        <w:autoSpaceDE w:val="0"/>
        <w:autoSpaceDN w:val="0"/>
        <w:adjustRightInd w:val="0"/>
        <w:ind w:left="720"/>
        <w:rPr>
          <w:color w:val="000000"/>
        </w:rPr>
      </w:pPr>
    </w:p>
    <w:p w14:paraId="4B3C9515" w14:textId="77777777" w:rsidR="000177D5" w:rsidRPr="00993B55" w:rsidRDefault="000177D5" w:rsidP="007A60F3">
      <w:pPr>
        <w:widowControl w:val="0"/>
        <w:autoSpaceDE w:val="0"/>
        <w:autoSpaceDN w:val="0"/>
        <w:adjustRightInd w:val="0"/>
        <w:ind w:left="720"/>
        <w:rPr>
          <w:color w:val="000000"/>
        </w:rPr>
      </w:pPr>
      <w:r w:rsidRPr="00993B55">
        <w:rPr>
          <w:color w:val="000000"/>
        </w:rPr>
        <w:t>As seen in the table above, the facility is not an existing Major Source and is not becoming a Major Source as a result of this project.</w:t>
      </w:r>
    </w:p>
    <w:p w14:paraId="46BF0A5A" w14:textId="77777777" w:rsidR="00AC073E" w:rsidRPr="00993B55" w:rsidRDefault="00AC073E" w:rsidP="007A60F3">
      <w:pPr>
        <w:widowControl w:val="0"/>
        <w:autoSpaceDE w:val="0"/>
        <w:autoSpaceDN w:val="0"/>
        <w:adjustRightInd w:val="0"/>
        <w:ind w:left="720"/>
        <w:rPr>
          <w:color w:val="000000"/>
        </w:rPr>
      </w:pPr>
    </w:p>
    <w:p w14:paraId="45AB40AA" w14:textId="77777777" w:rsidR="000177D5" w:rsidRPr="00993B55" w:rsidRDefault="000177D5" w:rsidP="007A60F3">
      <w:pPr>
        <w:widowControl w:val="0"/>
        <w:tabs>
          <w:tab w:val="left" w:pos="2250"/>
        </w:tabs>
        <w:ind w:left="720" w:right="-360"/>
        <w:rPr>
          <w:b/>
          <w:bCs/>
          <w:iCs/>
          <w:color w:val="0000FF"/>
          <w:spacing w:val="-3"/>
        </w:rPr>
      </w:pPr>
      <w:r w:rsidRPr="00993B55">
        <w:rPr>
          <w:b/>
          <w:i/>
          <w:iCs/>
          <w:color w:val="0000FF"/>
          <w:u w:val="single"/>
        </w:rPr>
        <w:t>Example (b)</w:t>
      </w:r>
      <w:r w:rsidRPr="00993B55">
        <w:rPr>
          <w:b/>
          <w:i/>
          <w:iCs/>
          <w:color w:val="0000FF"/>
        </w:rPr>
        <w:t>:</w:t>
      </w:r>
      <w:r w:rsidRPr="00993B55">
        <w:rPr>
          <w:b/>
          <w:i/>
          <w:iCs/>
          <w:color w:val="0000FF"/>
        </w:rPr>
        <w:tab/>
        <w:t>(For a post project Major Source: minor source becoming Major Source.)</w:t>
      </w:r>
    </w:p>
    <w:tbl>
      <w:tblPr>
        <w:tblW w:w="9460"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0"/>
        <w:gridCol w:w="1110"/>
        <w:gridCol w:w="1110"/>
        <w:gridCol w:w="1110"/>
        <w:gridCol w:w="1110"/>
        <w:gridCol w:w="1110"/>
        <w:gridCol w:w="1110"/>
      </w:tblGrid>
      <w:tr w:rsidR="000177D5" w:rsidRPr="00993B55" w14:paraId="1B70E752" w14:textId="77777777" w:rsidTr="00F81BDB">
        <w:trPr>
          <w:cantSplit/>
          <w:trHeight w:val="456"/>
        </w:trPr>
        <w:tc>
          <w:tcPr>
            <w:tcW w:w="9460" w:type="dxa"/>
            <w:gridSpan w:val="7"/>
            <w:shd w:val="clear" w:color="auto" w:fill="D9D9D9" w:themeFill="background1" w:themeFillShade="D9"/>
            <w:vAlign w:val="center"/>
          </w:tcPr>
          <w:p w14:paraId="0AAC9F88" w14:textId="7F5587E5" w:rsidR="000177D5" w:rsidRPr="00993B55" w:rsidRDefault="000177D5" w:rsidP="00E9157E">
            <w:pPr>
              <w:keepNext/>
              <w:widowControl w:val="0"/>
              <w:jc w:val="center"/>
              <w:rPr>
                <w:b/>
                <w:sz w:val="22"/>
                <w:szCs w:val="22"/>
              </w:rPr>
            </w:pPr>
            <w:r w:rsidRPr="00993B55">
              <w:rPr>
                <w:b/>
                <w:sz w:val="22"/>
                <w:szCs w:val="22"/>
              </w:rPr>
              <w:lastRenderedPageBreak/>
              <w:t>Rule 2201 Major Source Determination</w:t>
            </w:r>
            <w:r w:rsidR="00695174">
              <w:rPr>
                <w:b/>
                <w:sz w:val="22"/>
                <w:szCs w:val="22"/>
              </w:rPr>
              <w:t xml:space="preserve"> </w:t>
            </w:r>
            <w:r w:rsidRPr="00993B55">
              <w:rPr>
                <w:b/>
                <w:sz w:val="22"/>
                <w:szCs w:val="22"/>
              </w:rPr>
              <w:t>(lb/year)</w:t>
            </w:r>
          </w:p>
        </w:tc>
      </w:tr>
      <w:tr w:rsidR="000177D5" w:rsidRPr="00993B55" w14:paraId="6C7C3AE9" w14:textId="77777777" w:rsidTr="00E9157E">
        <w:trPr>
          <w:trHeight w:val="438"/>
        </w:trPr>
        <w:tc>
          <w:tcPr>
            <w:tcW w:w="2800" w:type="dxa"/>
            <w:shd w:val="clear" w:color="auto" w:fill="D9D9D9" w:themeFill="background1" w:themeFillShade="D9"/>
            <w:vAlign w:val="center"/>
          </w:tcPr>
          <w:p w14:paraId="5566F022" w14:textId="77777777" w:rsidR="000177D5" w:rsidRPr="00993B55" w:rsidRDefault="000177D5" w:rsidP="00E9157E">
            <w:pPr>
              <w:keepNext/>
              <w:widowControl w:val="0"/>
              <w:jc w:val="center"/>
              <w:rPr>
                <w:sz w:val="22"/>
                <w:szCs w:val="22"/>
              </w:rPr>
            </w:pPr>
          </w:p>
        </w:tc>
        <w:tc>
          <w:tcPr>
            <w:tcW w:w="1110" w:type="dxa"/>
            <w:shd w:val="clear" w:color="auto" w:fill="D9D9D9" w:themeFill="background1" w:themeFillShade="D9"/>
            <w:vAlign w:val="center"/>
          </w:tcPr>
          <w:p w14:paraId="69171CCB" w14:textId="6C0831E1" w:rsidR="000177D5" w:rsidRPr="00993B55" w:rsidRDefault="000177D5" w:rsidP="00E9157E">
            <w:pPr>
              <w:keepNext/>
              <w:widowControl w:val="0"/>
              <w:jc w:val="center"/>
              <w:rPr>
                <w:b/>
                <w:sz w:val="22"/>
                <w:szCs w:val="22"/>
              </w:rPr>
            </w:pPr>
            <w:r w:rsidRPr="00993B55">
              <w:rPr>
                <w:b/>
                <w:sz w:val="22"/>
                <w:szCs w:val="22"/>
              </w:rPr>
              <w:t>NO</w:t>
            </w:r>
            <w:r w:rsidR="00EE2923">
              <w:rPr>
                <w:b/>
                <w:sz w:val="22"/>
                <w:szCs w:val="22"/>
              </w:rPr>
              <w:t>x</w:t>
            </w:r>
          </w:p>
        </w:tc>
        <w:tc>
          <w:tcPr>
            <w:tcW w:w="1110" w:type="dxa"/>
            <w:shd w:val="clear" w:color="auto" w:fill="D9D9D9" w:themeFill="background1" w:themeFillShade="D9"/>
            <w:vAlign w:val="center"/>
          </w:tcPr>
          <w:p w14:paraId="36B88CC9" w14:textId="05E398D3" w:rsidR="000177D5" w:rsidRPr="00993B55" w:rsidRDefault="000177D5" w:rsidP="00E9157E">
            <w:pPr>
              <w:keepNext/>
              <w:widowControl w:val="0"/>
              <w:jc w:val="center"/>
              <w:rPr>
                <w:b/>
                <w:sz w:val="22"/>
                <w:szCs w:val="22"/>
              </w:rPr>
            </w:pPr>
            <w:r w:rsidRPr="00993B55">
              <w:rPr>
                <w:b/>
                <w:sz w:val="22"/>
                <w:szCs w:val="22"/>
              </w:rPr>
              <w:t>SO</w:t>
            </w:r>
            <w:r w:rsidR="00EE2923">
              <w:rPr>
                <w:b/>
                <w:sz w:val="22"/>
                <w:szCs w:val="22"/>
              </w:rPr>
              <w:t>x</w:t>
            </w:r>
          </w:p>
        </w:tc>
        <w:tc>
          <w:tcPr>
            <w:tcW w:w="1110" w:type="dxa"/>
            <w:shd w:val="clear" w:color="auto" w:fill="D9D9D9" w:themeFill="background1" w:themeFillShade="D9"/>
            <w:vAlign w:val="center"/>
          </w:tcPr>
          <w:p w14:paraId="60FDCA38" w14:textId="24B32397" w:rsidR="000177D5" w:rsidRPr="00993B55" w:rsidRDefault="000177D5" w:rsidP="00E9157E">
            <w:pPr>
              <w:keepNext/>
              <w:widowControl w:val="0"/>
              <w:jc w:val="center"/>
              <w:rPr>
                <w:b/>
                <w:sz w:val="22"/>
                <w:szCs w:val="22"/>
              </w:rPr>
            </w:pPr>
            <w:r w:rsidRPr="00993B55">
              <w:rPr>
                <w:b/>
                <w:sz w:val="22"/>
                <w:szCs w:val="22"/>
              </w:rPr>
              <w:t>PM</w:t>
            </w:r>
            <w:r w:rsidR="00EE2923">
              <w:rPr>
                <w:b/>
                <w:sz w:val="22"/>
                <w:szCs w:val="22"/>
              </w:rPr>
              <w:t>10</w:t>
            </w:r>
          </w:p>
        </w:tc>
        <w:tc>
          <w:tcPr>
            <w:tcW w:w="1110" w:type="dxa"/>
            <w:shd w:val="clear" w:color="auto" w:fill="D9D9D9" w:themeFill="background1" w:themeFillShade="D9"/>
            <w:vAlign w:val="center"/>
          </w:tcPr>
          <w:p w14:paraId="03439FF6" w14:textId="4D50453B" w:rsidR="000177D5" w:rsidRPr="00993B55" w:rsidRDefault="000177D5" w:rsidP="00E9157E">
            <w:pPr>
              <w:keepNext/>
              <w:widowControl w:val="0"/>
              <w:jc w:val="center"/>
              <w:rPr>
                <w:b/>
                <w:sz w:val="22"/>
                <w:szCs w:val="22"/>
              </w:rPr>
            </w:pPr>
            <w:r w:rsidRPr="00993B55">
              <w:rPr>
                <w:b/>
                <w:sz w:val="22"/>
                <w:szCs w:val="22"/>
              </w:rPr>
              <w:t>PM</w:t>
            </w:r>
            <w:r w:rsidR="00EE2923">
              <w:rPr>
                <w:b/>
                <w:sz w:val="22"/>
                <w:szCs w:val="22"/>
              </w:rPr>
              <w:t>2.5</w:t>
            </w:r>
          </w:p>
        </w:tc>
        <w:tc>
          <w:tcPr>
            <w:tcW w:w="1110" w:type="dxa"/>
            <w:shd w:val="clear" w:color="auto" w:fill="D9D9D9" w:themeFill="background1" w:themeFillShade="D9"/>
            <w:vAlign w:val="center"/>
          </w:tcPr>
          <w:p w14:paraId="545C5D22" w14:textId="77777777" w:rsidR="000177D5" w:rsidRPr="00993B55" w:rsidRDefault="000177D5" w:rsidP="00E9157E">
            <w:pPr>
              <w:keepNext/>
              <w:widowControl w:val="0"/>
              <w:jc w:val="center"/>
              <w:rPr>
                <w:b/>
                <w:sz w:val="22"/>
                <w:szCs w:val="22"/>
              </w:rPr>
            </w:pPr>
            <w:r w:rsidRPr="00993B55">
              <w:rPr>
                <w:b/>
                <w:sz w:val="22"/>
                <w:szCs w:val="22"/>
              </w:rPr>
              <w:t>CO</w:t>
            </w:r>
          </w:p>
        </w:tc>
        <w:tc>
          <w:tcPr>
            <w:tcW w:w="1110" w:type="dxa"/>
            <w:shd w:val="clear" w:color="auto" w:fill="D9D9D9" w:themeFill="background1" w:themeFillShade="D9"/>
            <w:vAlign w:val="center"/>
          </w:tcPr>
          <w:p w14:paraId="766DC71B" w14:textId="77777777" w:rsidR="000177D5" w:rsidRPr="00993B55" w:rsidRDefault="000177D5" w:rsidP="00E9157E">
            <w:pPr>
              <w:keepNext/>
              <w:widowControl w:val="0"/>
              <w:jc w:val="center"/>
              <w:rPr>
                <w:b/>
                <w:sz w:val="22"/>
                <w:szCs w:val="22"/>
              </w:rPr>
            </w:pPr>
            <w:r w:rsidRPr="00993B55">
              <w:rPr>
                <w:b/>
                <w:sz w:val="22"/>
                <w:szCs w:val="22"/>
              </w:rPr>
              <w:t>VOC</w:t>
            </w:r>
          </w:p>
        </w:tc>
      </w:tr>
      <w:tr w:rsidR="003F3117" w:rsidRPr="00993B55" w14:paraId="42196A30" w14:textId="77777777" w:rsidTr="00E9157E">
        <w:trPr>
          <w:trHeight w:val="393"/>
        </w:trPr>
        <w:tc>
          <w:tcPr>
            <w:tcW w:w="2800" w:type="dxa"/>
            <w:shd w:val="clear" w:color="auto" w:fill="auto"/>
            <w:vAlign w:val="center"/>
          </w:tcPr>
          <w:p w14:paraId="74ECF042" w14:textId="77777777" w:rsidR="003F3117" w:rsidRPr="00993B55" w:rsidRDefault="003F3117" w:rsidP="00E9157E">
            <w:pPr>
              <w:keepNext/>
              <w:widowControl w:val="0"/>
              <w:jc w:val="center"/>
              <w:rPr>
                <w:sz w:val="22"/>
                <w:szCs w:val="22"/>
              </w:rPr>
            </w:pPr>
            <w:r w:rsidRPr="00993B55">
              <w:rPr>
                <w:snapToGrid w:val="0"/>
                <w:color w:val="000000"/>
                <w:sz w:val="22"/>
                <w:szCs w:val="22"/>
              </w:rPr>
              <w:t>SSPE1</w:t>
            </w:r>
          </w:p>
        </w:tc>
        <w:tc>
          <w:tcPr>
            <w:tcW w:w="1110" w:type="dxa"/>
            <w:shd w:val="clear" w:color="auto" w:fill="auto"/>
            <w:vAlign w:val="center"/>
          </w:tcPr>
          <w:p w14:paraId="40C9F84E" w14:textId="082CCEC4" w:rsidR="003F3117" w:rsidRPr="00DF39AC" w:rsidRDefault="003F3117" w:rsidP="00E9157E">
            <w:pPr>
              <w:keepNext/>
              <w:widowControl w:val="0"/>
              <w:jc w:val="center"/>
              <w:rPr>
                <w:color w:val="0000FF"/>
                <w:sz w:val="22"/>
                <w:szCs w:val="22"/>
              </w:rPr>
            </w:pPr>
            <w:r w:rsidRPr="002052A9">
              <w:rPr>
                <w:color w:val="0000FF"/>
                <w:sz w:val="22"/>
                <w:szCs w:val="22"/>
              </w:rPr>
              <w:t>X,XXX</w:t>
            </w:r>
          </w:p>
        </w:tc>
        <w:tc>
          <w:tcPr>
            <w:tcW w:w="1110" w:type="dxa"/>
            <w:shd w:val="clear" w:color="auto" w:fill="auto"/>
            <w:vAlign w:val="center"/>
          </w:tcPr>
          <w:p w14:paraId="1F47AA92" w14:textId="69568D45" w:rsidR="003F3117" w:rsidRPr="00DF39AC" w:rsidRDefault="003F3117" w:rsidP="00E9157E">
            <w:pPr>
              <w:keepNext/>
              <w:widowControl w:val="0"/>
              <w:jc w:val="center"/>
              <w:rPr>
                <w:color w:val="0000FF"/>
                <w:sz w:val="22"/>
                <w:szCs w:val="22"/>
              </w:rPr>
            </w:pPr>
            <w:r w:rsidRPr="002052A9">
              <w:rPr>
                <w:color w:val="0000FF"/>
                <w:sz w:val="22"/>
                <w:szCs w:val="22"/>
              </w:rPr>
              <w:t>X,XXX</w:t>
            </w:r>
          </w:p>
        </w:tc>
        <w:tc>
          <w:tcPr>
            <w:tcW w:w="1110" w:type="dxa"/>
            <w:shd w:val="clear" w:color="auto" w:fill="auto"/>
            <w:vAlign w:val="center"/>
          </w:tcPr>
          <w:p w14:paraId="1B675B8A" w14:textId="3392C664" w:rsidR="003F3117" w:rsidRPr="00DF39AC" w:rsidRDefault="003F3117" w:rsidP="00E9157E">
            <w:pPr>
              <w:keepNext/>
              <w:widowControl w:val="0"/>
              <w:jc w:val="center"/>
              <w:rPr>
                <w:color w:val="0000FF"/>
                <w:sz w:val="22"/>
                <w:szCs w:val="22"/>
              </w:rPr>
            </w:pPr>
            <w:r w:rsidRPr="002052A9">
              <w:rPr>
                <w:color w:val="0000FF"/>
                <w:sz w:val="22"/>
                <w:szCs w:val="22"/>
              </w:rPr>
              <w:t>X,XXX</w:t>
            </w:r>
          </w:p>
        </w:tc>
        <w:tc>
          <w:tcPr>
            <w:tcW w:w="1110" w:type="dxa"/>
            <w:vAlign w:val="center"/>
          </w:tcPr>
          <w:p w14:paraId="672F6EF5" w14:textId="29D85D5F" w:rsidR="003F3117" w:rsidRPr="00DF39AC" w:rsidRDefault="003F3117" w:rsidP="00E9157E">
            <w:pPr>
              <w:keepNext/>
              <w:widowControl w:val="0"/>
              <w:jc w:val="center"/>
              <w:rPr>
                <w:color w:val="0000FF"/>
                <w:sz w:val="22"/>
                <w:szCs w:val="22"/>
              </w:rPr>
            </w:pPr>
            <w:r w:rsidRPr="002052A9">
              <w:rPr>
                <w:color w:val="0000FF"/>
                <w:sz w:val="22"/>
                <w:szCs w:val="22"/>
              </w:rPr>
              <w:t>X,XXX</w:t>
            </w:r>
          </w:p>
        </w:tc>
        <w:tc>
          <w:tcPr>
            <w:tcW w:w="1110" w:type="dxa"/>
            <w:shd w:val="clear" w:color="auto" w:fill="auto"/>
            <w:vAlign w:val="center"/>
          </w:tcPr>
          <w:p w14:paraId="21C0A531" w14:textId="73F5EEE8" w:rsidR="003F3117" w:rsidRPr="00DF39AC" w:rsidRDefault="003F3117" w:rsidP="00E9157E">
            <w:pPr>
              <w:keepNext/>
              <w:widowControl w:val="0"/>
              <w:jc w:val="center"/>
              <w:rPr>
                <w:color w:val="0000FF"/>
                <w:sz w:val="22"/>
                <w:szCs w:val="22"/>
              </w:rPr>
            </w:pPr>
            <w:r w:rsidRPr="002052A9">
              <w:rPr>
                <w:color w:val="0000FF"/>
                <w:sz w:val="22"/>
                <w:szCs w:val="22"/>
              </w:rPr>
              <w:t>X,XXX</w:t>
            </w:r>
          </w:p>
        </w:tc>
        <w:tc>
          <w:tcPr>
            <w:tcW w:w="1110" w:type="dxa"/>
            <w:shd w:val="clear" w:color="auto" w:fill="auto"/>
            <w:vAlign w:val="center"/>
          </w:tcPr>
          <w:p w14:paraId="768E09C3" w14:textId="045125D1" w:rsidR="003F3117" w:rsidRPr="00DF39AC" w:rsidRDefault="003F3117" w:rsidP="00E9157E">
            <w:pPr>
              <w:keepNext/>
              <w:widowControl w:val="0"/>
              <w:jc w:val="center"/>
              <w:rPr>
                <w:color w:val="0000FF"/>
                <w:sz w:val="22"/>
                <w:szCs w:val="22"/>
              </w:rPr>
            </w:pPr>
            <w:r w:rsidRPr="002052A9">
              <w:rPr>
                <w:color w:val="0000FF"/>
                <w:sz w:val="22"/>
                <w:szCs w:val="22"/>
              </w:rPr>
              <w:t>X,XXX</w:t>
            </w:r>
          </w:p>
        </w:tc>
      </w:tr>
      <w:tr w:rsidR="003F3117" w:rsidRPr="00993B55" w14:paraId="0734CAC5" w14:textId="77777777" w:rsidTr="00E9157E">
        <w:trPr>
          <w:trHeight w:val="359"/>
        </w:trPr>
        <w:tc>
          <w:tcPr>
            <w:tcW w:w="2800" w:type="dxa"/>
            <w:shd w:val="clear" w:color="auto" w:fill="auto"/>
            <w:vAlign w:val="center"/>
          </w:tcPr>
          <w:p w14:paraId="640B8016" w14:textId="77777777" w:rsidR="003F3117" w:rsidRPr="00993B55" w:rsidRDefault="003F3117" w:rsidP="00E9157E">
            <w:pPr>
              <w:keepNext/>
              <w:widowControl w:val="0"/>
              <w:jc w:val="center"/>
              <w:rPr>
                <w:snapToGrid w:val="0"/>
                <w:color w:val="000000"/>
                <w:sz w:val="22"/>
                <w:szCs w:val="22"/>
              </w:rPr>
            </w:pPr>
            <w:r w:rsidRPr="00993B55">
              <w:rPr>
                <w:snapToGrid w:val="0"/>
                <w:color w:val="000000"/>
                <w:sz w:val="22"/>
                <w:szCs w:val="22"/>
              </w:rPr>
              <w:t>SSPE2</w:t>
            </w:r>
          </w:p>
        </w:tc>
        <w:tc>
          <w:tcPr>
            <w:tcW w:w="1110" w:type="dxa"/>
            <w:shd w:val="clear" w:color="auto" w:fill="auto"/>
            <w:vAlign w:val="center"/>
          </w:tcPr>
          <w:p w14:paraId="283DC53A" w14:textId="4114BC28" w:rsidR="003F3117" w:rsidRPr="00DF39AC" w:rsidRDefault="003F3117" w:rsidP="00E9157E">
            <w:pPr>
              <w:keepNext/>
              <w:widowControl w:val="0"/>
              <w:jc w:val="center"/>
              <w:rPr>
                <w:color w:val="0000FF"/>
                <w:sz w:val="22"/>
                <w:szCs w:val="22"/>
              </w:rPr>
            </w:pPr>
            <w:r w:rsidRPr="002052A9">
              <w:rPr>
                <w:color w:val="0000FF"/>
                <w:sz w:val="22"/>
                <w:szCs w:val="22"/>
              </w:rPr>
              <w:t>X,XXX</w:t>
            </w:r>
          </w:p>
        </w:tc>
        <w:tc>
          <w:tcPr>
            <w:tcW w:w="1110" w:type="dxa"/>
            <w:shd w:val="clear" w:color="auto" w:fill="auto"/>
            <w:vAlign w:val="center"/>
          </w:tcPr>
          <w:p w14:paraId="64C417DC" w14:textId="68E084A3" w:rsidR="003F3117" w:rsidRPr="00DF39AC" w:rsidRDefault="003F3117" w:rsidP="00E9157E">
            <w:pPr>
              <w:keepNext/>
              <w:widowControl w:val="0"/>
              <w:jc w:val="center"/>
              <w:rPr>
                <w:color w:val="0000FF"/>
                <w:sz w:val="22"/>
                <w:szCs w:val="22"/>
              </w:rPr>
            </w:pPr>
            <w:r w:rsidRPr="002052A9">
              <w:rPr>
                <w:color w:val="0000FF"/>
                <w:sz w:val="22"/>
                <w:szCs w:val="22"/>
              </w:rPr>
              <w:t>X,XXX</w:t>
            </w:r>
          </w:p>
        </w:tc>
        <w:tc>
          <w:tcPr>
            <w:tcW w:w="1110" w:type="dxa"/>
            <w:shd w:val="clear" w:color="auto" w:fill="auto"/>
            <w:vAlign w:val="center"/>
          </w:tcPr>
          <w:p w14:paraId="51D4524D" w14:textId="1BCA359B" w:rsidR="003F3117" w:rsidRPr="00DF39AC" w:rsidRDefault="003F3117" w:rsidP="00E9157E">
            <w:pPr>
              <w:keepNext/>
              <w:widowControl w:val="0"/>
              <w:jc w:val="center"/>
              <w:rPr>
                <w:color w:val="0000FF"/>
                <w:sz w:val="22"/>
                <w:szCs w:val="22"/>
              </w:rPr>
            </w:pPr>
            <w:r w:rsidRPr="002052A9">
              <w:rPr>
                <w:color w:val="0000FF"/>
                <w:sz w:val="22"/>
                <w:szCs w:val="22"/>
              </w:rPr>
              <w:t>X,XXX</w:t>
            </w:r>
          </w:p>
        </w:tc>
        <w:tc>
          <w:tcPr>
            <w:tcW w:w="1110" w:type="dxa"/>
            <w:vAlign w:val="center"/>
          </w:tcPr>
          <w:p w14:paraId="596625B8" w14:textId="74756DBB" w:rsidR="003F3117" w:rsidRPr="00DF39AC" w:rsidRDefault="003F3117" w:rsidP="00E9157E">
            <w:pPr>
              <w:keepNext/>
              <w:widowControl w:val="0"/>
              <w:jc w:val="center"/>
              <w:rPr>
                <w:color w:val="0000FF"/>
                <w:sz w:val="22"/>
                <w:szCs w:val="22"/>
              </w:rPr>
            </w:pPr>
            <w:r w:rsidRPr="002052A9">
              <w:rPr>
                <w:color w:val="0000FF"/>
                <w:sz w:val="22"/>
                <w:szCs w:val="22"/>
              </w:rPr>
              <w:t>X,XXX</w:t>
            </w:r>
          </w:p>
        </w:tc>
        <w:tc>
          <w:tcPr>
            <w:tcW w:w="1110" w:type="dxa"/>
            <w:shd w:val="clear" w:color="auto" w:fill="auto"/>
            <w:vAlign w:val="center"/>
          </w:tcPr>
          <w:p w14:paraId="3EC1E434" w14:textId="0041A4D0" w:rsidR="003F3117" w:rsidRPr="00DF39AC" w:rsidRDefault="003F3117" w:rsidP="00E9157E">
            <w:pPr>
              <w:keepNext/>
              <w:widowControl w:val="0"/>
              <w:jc w:val="center"/>
              <w:rPr>
                <w:color w:val="0000FF"/>
                <w:sz w:val="22"/>
                <w:szCs w:val="22"/>
              </w:rPr>
            </w:pPr>
            <w:r w:rsidRPr="002052A9">
              <w:rPr>
                <w:color w:val="0000FF"/>
                <w:sz w:val="22"/>
                <w:szCs w:val="22"/>
              </w:rPr>
              <w:t>X,XXX</w:t>
            </w:r>
          </w:p>
        </w:tc>
        <w:tc>
          <w:tcPr>
            <w:tcW w:w="1110" w:type="dxa"/>
            <w:shd w:val="clear" w:color="auto" w:fill="auto"/>
            <w:vAlign w:val="center"/>
          </w:tcPr>
          <w:p w14:paraId="2F5C68FF" w14:textId="69E4DED4" w:rsidR="003F3117" w:rsidRPr="00DF39AC" w:rsidRDefault="003F3117" w:rsidP="00E9157E">
            <w:pPr>
              <w:keepNext/>
              <w:widowControl w:val="0"/>
              <w:jc w:val="center"/>
              <w:rPr>
                <w:color w:val="0000FF"/>
                <w:sz w:val="22"/>
                <w:szCs w:val="22"/>
              </w:rPr>
            </w:pPr>
            <w:r w:rsidRPr="002052A9">
              <w:rPr>
                <w:color w:val="0000FF"/>
                <w:sz w:val="22"/>
                <w:szCs w:val="22"/>
              </w:rPr>
              <w:t>X,XXX</w:t>
            </w:r>
          </w:p>
        </w:tc>
      </w:tr>
      <w:tr w:rsidR="000177D5" w:rsidRPr="00993B55" w14:paraId="2AEF9426" w14:textId="77777777" w:rsidTr="00E9157E">
        <w:trPr>
          <w:trHeight w:val="449"/>
        </w:trPr>
        <w:tc>
          <w:tcPr>
            <w:tcW w:w="2800" w:type="dxa"/>
            <w:shd w:val="clear" w:color="auto" w:fill="auto"/>
            <w:vAlign w:val="center"/>
          </w:tcPr>
          <w:p w14:paraId="0F5389A9" w14:textId="77777777" w:rsidR="000177D5" w:rsidRPr="00993B55" w:rsidRDefault="000177D5" w:rsidP="00E9157E">
            <w:pPr>
              <w:keepNext/>
              <w:widowControl w:val="0"/>
              <w:jc w:val="center"/>
              <w:rPr>
                <w:sz w:val="22"/>
                <w:szCs w:val="22"/>
              </w:rPr>
            </w:pPr>
            <w:r w:rsidRPr="00993B55">
              <w:rPr>
                <w:sz w:val="22"/>
                <w:szCs w:val="22"/>
              </w:rPr>
              <w:t>Major Source Threshold</w:t>
            </w:r>
          </w:p>
        </w:tc>
        <w:tc>
          <w:tcPr>
            <w:tcW w:w="1110" w:type="dxa"/>
            <w:shd w:val="clear" w:color="auto" w:fill="auto"/>
            <w:vAlign w:val="center"/>
          </w:tcPr>
          <w:p w14:paraId="12D4E4AD" w14:textId="77777777" w:rsidR="000177D5" w:rsidRPr="00993B55" w:rsidRDefault="000177D5" w:rsidP="00E9157E">
            <w:pPr>
              <w:keepNext/>
              <w:widowControl w:val="0"/>
              <w:jc w:val="center"/>
              <w:rPr>
                <w:sz w:val="22"/>
                <w:szCs w:val="22"/>
              </w:rPr>
            </w:pPr>
            <w:r w:rsidRPr="00993B55">
              <w:rPr>
                <w:sz w:val="22"/>
                <w:szCs w:val="22"/>
              </w:rPr>
              <w:t>20,000</w:t>
            </w:r>
          </w:p>
        </w:tc>
        <w:tc>
          <w:tcPr>
            <w:tcW w:w="1110" w:type="dxa"/>
            <w:shd w:val="clear" w:color="auto" w:fill="auto"/>
            <w:vAlign w:val="center"/>
          </w:tcPr>
          <w:p w14:paraId="0C5570E1" w14:textId="77777777" w:rsidR="000177D5" w:rsidRPr="00993B55" w:rsidRDefault="000177D5" w:rsidP="00E9157E">
            <w:pPr>
              <w:keepNext/>
              <w:widowControl w:val="0"/>
              <w:jc w:val="center"/>
              <w:rPr>
                <w:sz w:val="22"/>
                <w:szCs w:val="22"/>
              </w:rPr>
            </w:pPr>
            <w:r w:rsidRPr="00993B55">
              <w:rPr>
                <w:sz w:val="22"/>
                <w:szCs w:val="22"/>
              </w:rPr>
              <w:t>140,000</w:t>
            </w:r>
          </w:p>
        </w:tc>
        <w:tc>
          <w:tcPr>
            <w:tcW w:w="1110" w:type="dxa"/>
            <w:shd w:val="clear" w:color="auto" w:fill="auto"/>
            <w:vAlign w:val="center"/>
          </w:tcPr>
          <w:p w14:paraId="44D82BC6" w14:textId="77777777" w:rsidR="000177D5" w:rsidRPr="00993B55" w:rsidRDefault="000177D5" w:rsidP="00E9157E">
            <w:pPr>
              <w:keepNext/>
              <w:widowControl w:val="0"/>
              <w:jc w:val="center"/>
              <w:rPr>
                <w:sz w:val="22"/>
                <w:szCs w:val="22"/>
              </w:rPr>
            </w:pPr>
            <w:r w:rsidRPr="00993B55">
              <w:rPr>
                <w:sz w:val="22"/>
                <w:szCs w:val="22"/>
              </w:rPr>
              <w:t>140,000</w:t>
            </w:r>
          </w:p>
        </w:tc>
        <w:tc>
          <w:tcPr>
            <w:tcW w:w="1110" w:type="dxa"/>
            <w:vAlign w:val="center"/>
          </w:tcPr>
          <w:p w14:paraId="34142213" w14:textId="77777777" w:rsidR="000177D5" w:rsidRPr="00993B55" w:rsidRDefault="000177D5" w:rsidP="00E9157E">
            <w:pPr>
              <w:keepNext/>
              <w:widowControl w:val="0"/>
              <w:jc w:val="center"/>
              <w:rPr>
                <w:sz w:val="22"/>
                <w:szCs w:val="22"/>
              </w:rPr>
            </w:pPr>
            <w:r w:rsidRPr="00993B55">
              <w:rPr>
                <w:sz w:val="22"/>
                <w:szCs w:val="22"/>
              </w:rPr>
              <w:t>140,000</w:t>
            </w:r>
          </w:p>
        </w:tc>
        <w:tc>
          <w:tcPr>
            <w:tcW w:w="1110" w:type="dxa"/>
            <w:shd w:val="clear" w:color="auto" w:fill="auto"/>
            <w:vAlign w:val="center"/>
          </w:tcPr>
          <w:p w14:paraId="036BEFE6" w14:textId="77777777" w:rsidR="000177D5" w:rsidRPr="00993B55" w:rsidRDefault="000177D5" w:rsidP="00E9157E">
            <w:pPr>
              <w:keepNext/>
              <w:widowControl w:val="0"/>
              <w:jc w:val="center"/>
              <w:rPr>
                <w:sz w:val="22"/>
                <w:szCs w:val="22"/>
              </w:rPr>
            </w:pPr>
            <w:r w:rsidRPr="00993B55">
              <w:rPr>
                <w:sz w:val="22"/>
                <w:szCs w:val="22"/>
              </w:rPr>
              <w:t>200,000</w:t>
            </w:r>
          </w:p>
        </w:tc>
        <w:tc>
          <w:tcPr>
            <w:tcW w:w="1110" w:type="dxa"/>
            <w:shd w:val="clear" w:color="auto" w:fill="auto"/>
            <w:vAlign w:val="center"/>
          </w:tcPr>
          <w:p w14:paraId="5EDEF87C" w14:textId="77777777" w:rsidR="000177D5" w:rsidRPr="00993B55" w:rsidRDefault="000177D5" w:rsidP="00E9157E">
            <w:pPr>
              <w:keepNext/>
              <w:widowControl w:val="0"/>
              <w:jc w:val="center"/>
              <w:rPr>
                <w:sz w:val="22"/>
                <w:szCs w:val="22"/>
              </w:rPr>
            </w:pPr>
            <w:r w:rsidRPr="00993B55">
              <w:rPr>
                <w:sz w:val="22"/>
                <w:szCs w:val="22"/>
              </w:rPr>
              <w:t>20,000</w:t>
            </w:r>
          </w:p>
        </w:tc>
      </w:tr>
      <w:tr w:rsidR="000177D5" w:rsidRPr="00993B55" w14:paraId="42A40367" w14:textId="77777777" w:rsidTr="00E9157E">
        <w:trPr>
          <w:trHeight w:val="504"/>
        </w:trPr>
        <w:tc>
          <w:tcPr>
            <w:tcW w:w="2800" w:type="dxa"/>
            <w:shd w:val="clear" w:color="auto" w:fill="D9D9D9" w:themeFill="background1" w:themeFillShade="D9"/>
            <w:vAlign w:val="center"/>
          </w:tcPr>
          <w:p w14:paraId="44134D3F" w14:textId="77777777" w:rsidR="000177D5" w:rsidRPr="00505E9F" w:rsidRDefault="000177D5" w:rsidP="00E9157E">
            <w:pPr>
              <w:keepNext/>
              <w:widowControl w:val="0"/>
              <w:jc w:val="center"/>
              <w:rPr>
                <w:b/>
                <w:bCs/>
                <w:sz w:val="22"/>
                <w:szCs w:val="22"/>
              </w:rPr>
            </w:pPr>
            <w:r w:rsidRPr="00505E9F">
              <w:rPr>
                <w:b/>
                <w:bCs/>
                <w:sz w:val="22"/>
                <w:szCs w:val="22"/>
              </w:rPr>
              <w:t>Major Source?</w:t>
            </w:r>
          </w:p>
        </w:tc>
        <w:tc>
          <w:tcPr>
            <w:tcW w:w="1110" w:type="dxa"/>
            <w:shd w:val="clear" w:color="auto" w:fill="D9D9D9" w:themeFill="background1" w:themeFillShade="D9"/>
            <w:vAlign w:val="center"/>
          </w:tcPr>
          <w:p w14:paraId="338742C1" w14:textId="77777777" w:rsidR="000177D5" w:rsidRPr="00505E9F" w:rsidRDefault="000177D5" w:rsidP="00E9157E">
            <w:pPr>
              <w:keepNext/>
              <w:widowControl w:val="0"/>
              <w:jc w:val="center"/>
              <w:rPr>
                <w:b/>
                <w:bCs/>
                <w:color w:val="0000FF"/>
                <w:sz w:val="22"/>
                <w:szCs w:val="22"/>
              </w:rPr>
            </w:pPr>
            <w:r w:rsidRPr="00505E9F">
              <w:rPr>
                <w:b/>
                <w:bCs/>
                <w:color w:val="0000FF"/>
                <w:sz w:val="22"/>
                <w:szCs w:val="22"/>
              </w:rPr>
              <w:t>Yes</w:t>
            </w:r>
          </w:p>
        </w:tc>
        <w:tc>
          <w:tcPr>
            <w:tcW w:w="1110" w:type="dxa"/>
            <w:shd w:val="clear" w:color="auto" w:fill="D9D9D9" w:themeFill="background1" w:themeFillShade="D9"/>
            <w:vAlign w:val="center"/>
          </w:tcPr>
          <w:p w14:paraId="6718A9EC" w14:textId="77777777" w:rsidR="000177D5" w:rsidRPr="00505E9F" w:rsidRDefault="000177D5" w:rsidP="00E9157E">
            <w:pPr>
              <w:keepNext/>
              <w:widowControl w:val="0"/>
              <w:jc w:val="center"/>
              <w:rPr>
                <w:b/>
                <w:bCs/>
                <w:color w:val="0000FF"/>
                <w:sz w:val="22"/>
                <w:szCs w:val="22"/>
              </w:rPr>
            </w:pPr>
            <w:r w:rsidRPr="00505E9F">
              <w:rPr>
                <w:b/>
                <w:bCs/>
                <w:color w:val="0000FF"/>
                <w:sz w:val="22"/>
                <w:szCs w:val="22"/>
              </w:rPr>
              <w:t>No</w:t>
            </w:r>
          </w:p>
        </w:tc>
        <w:tc>
          <w:tcPr>
            <w:tcW w:w="1110" w:type="dxa"/>
            <w:shd w:val="clear" w:color="auto" w:fill="D9D9D9" w:themeFill="background1" w:themeFillShade="D9"/>
            <w:vAlign w:val="center"/>
          </w:tcPr>
          <w:p w14:paraId="383BAB56" w14:textId="77777777" w:rsidR="000177D5" w:rsidRPr="00505E9F" w:rsidRDefault="000177D5" w:rsidP="00E9157E">
            <w:pPr>
              <w:keepNext/>
              <w:widowControl w:val="0"/>
              <w:jc w:val="center"/>
              <w:rPr>
                <w:b/>
                <w:bCs/>
                <w:color w:val="0000FF"/>
                <w:sz w:val="22"/>
                <w:szCs w:val="22"/>
              </w:rPr>
            </w:pPr>
            <w:r w:rsidRPr="00505E9F">
              <w:rPr>
                <w:b/>
                <w:bCs/>
                <w:color w:val="0000FF"/>
                <w:sz w:val="22"/>
                <w:szCs w:val="22"/>
              </w:rPr>
              <w:t>No</w:t>
            </w:r>
          </w:p>
        </w:tc>
        <w:tc>
          <w:tcPr>
            <w:tcW w:w="1110" w:type="dxa"/>
            <w:shd w:val="clear" w:color="auto" w:fill="D9D9D9" w:themeFill="background1" w:themeFillShade="D9"/>
            <w:vAlign w:val="center"/>
          </w:tcPr>
          <w:p w14:paraId="6428CB98" w14:textId="77777777" w:rsidR="000177D5" w:rsidRPr="00505E9F" w:rsidRDefault="000177D5" w:rsidP="00E9157E">
            <w:pPr>
              <w:keepNext/>
              <w:widowControl w:val="0"/>
              <w:jc w:val="center"/>
              <w:rPr>
                <w:b/>
                <w:bCs/>
                <w:color w:val="0000FF"/>
                <w:sz w:val="22"/>
                <w:szCs w:val="22"/>
              </w:rPr>
            </w:pPr>
            <w:r w:rsidRPr="00505E9F">
              <w:rPr>
                <w:b/>
                <w:bCs/>
                <w:color w:val="0000FF"/>
                <w:sz w:val="22"/>
                <w:szCs w:val="22"/>
              </w:rPr>
              <w:t>No</w:t>
            </w:r>
          </w:p>
        </w:tc>
        <w:tc>
          <w:tcPr>
            <w:tcW w:w="1110" w:type="dxa"/>
            <w:shd w:val="clear" w:color="auto" w:fill="D9D9D9" w:themeFill="background1" w:themeFillShade="D9"/>
            <w:vAlign w:val="center"/>
          </w:tcPr>
          <w:p w14:paraId="0C177FC2" w14:textId="77777777" w:rsidR="000177D5" w:rsidRPr="00505E9F" w:rsidRDefault="000177D5" w:rsidP="00E9157E">
            <w:pPr>
              <w:keepNext/>
              <w:widowControl w:val="0"/>
              <w:jc w:val="center"/>
              <w:rPr>
                <w:b/>
                <w:bCs/>
                <w:color w:val="0000FF"/>
                <w:sz w:val="22"/>
                <w:szCs w:val="22"/>
              </w:rPr>
            </w:pPr>
            <w:r w:rsidRPr="00505E9F">
              <w:rPr>
                <w:b/>
                <w:bCs/>
                <w:color w:val="0000FF"/>
                <w:sz w:val="22"/>
                <w:szCs w:val="22"/>
              </w:rPr>
              <w:t>No</w:t>
            </w:r>
          </w:p>
        </w:tc>
        <w:tc>
          <w:tcPr>
            <w:tcW w:w="1110" w:type="dxa"/>
            <w:shd w:val="clear" w:color="auto" w:fill="D9D9D9" w:themeFill="background1" w:themeFillShade="D9"/>
            <w:vAlign w:val="center"/>
          </w:tcPr>
          <w:p w14:paraId="7C8CDA6A" w14:textId="77777777" w:rsidR="000177D5" w:rsidRPr="00505E9F" w:rsidRDefault="000177D5" w:rsidP="00E9157E">
            <w:pPr>
              <w:keepNext/>
              <w:widowControl w:val="0"/>
              <w:jc w:val="center"/>
              <w:rPr>
                <w:b/>
                <w:bCs/>
                <w:color w:val="0000FF"/>
                <w:sz w:val="22"/>
                <w:szCs w:val="22"/>
              </w:rPr>
            </w:pPr>
            <w:r w:rsidRPr="00505E9F">
              <w:rPr>
                <w:b/>
                <w:bCs/>
                <w:color w:val="0000FF"/>
                <w:sz w:val="22"/>
                <w:szCs w:val="22"/>
              </w:rPr>
              <w:t>No</w:t>
            </w:r>
          </w:p>
        </w:tc>
      </w:tr>
    </w:tbl>
    <w:p w14:paraId="292359AA" w14:textId="77777777" w:rsidR="000177D5" w:rsidRPr="00993B55" w:rsidRDefault="000177D5" w:rsidP="007A60F3">
      <w:pPr>
        <w:widowControl w:val="0"/>
        <w:autoSpaceDE w:val="0"/>
        <w:autoSpaceDN w:val="0"/>
        <w:adjustRightInd w:val="0"/>
        <w:ind w:left="720"/>
        <w:rPr>
          <w:color w:val="000000"/>
        </w:rPr>
      </w:pPr>
      <w:r w:rsidRPr="00993B55">
        <w:rPr>
          <w:color w:val="000000"/>
        </w:rPr>
        <w:tab/>
        <w:t>Note: PM2.5 assumed to be equal to PM10</w:t>
      </w:r>
    </w:p>
    <w:p w14:paraId="4C33A107" w14:textId="77777777" w:rsidR="000177D5" w:rsidRPr="00993B55" w:rsidRDefault="000177D5" w:rsidP="007A60F3">
      <w:pPr>
        <w:widowControl w:val="0"/>
        <w:autoSpaceDE w:val="0"/>
        <w:autoSpaceDN w:val="0"/>
        <w:adjustRightInd w:val="0"/>
        <w:ind w:left="720"/>
        <w:rPr>
          <w:color w:val="000000"/>
        </w:rPr>
      </w:pPr>
    </w:p>
    <w:p w14:paraId="73B57450" w14:textId="6B6B3536" w:rsidR="000177D5" w:rsidRDefault="000177D5" w:rsidP="007A60F3">
      <w:pPr>
        <w:widowControl w:val="0"/>
        <w:autoSpaceDE w:val="0"/>
        <w:autoSpaceDN w:val="0"/>
        <w:adjustRightInd w:val="0"/>
        <w:ind w:left="720"/>
        <w:rPr>
          <w:color w:val="000000"/>
        </w:rPr>
      </w:pPr>
      <w:r w:rsidRPr="00993B55">
        <w:rPr>
          <w:color w:val="000000"/>
        </w:rPr>
        <w:t xml:space="preserve">As seen in the table above, the facility is not an existing Major Source for any pollutant; however, is becoming a Major Source for </w:t>
      </w:r>
      <w:r w:rsidRPr="00993B55">
        <w:rPr>
          <w:color w:val="0000FF"/>
        </w:rPr>
        <w:t>NO</w:t>
      </w:r>
      <w:r w:rsidR="00EE2923">
        <w:rPr>
          <w:color w:val="0000FF"/>
        </w:rPr>
        <w:t>x</w:t>
      </w:r>
      <w:r w:rsidRPr="00993B55">
        <w:rPr>
          <w:color w:val="000000"/>
        </w:rPr>
        <w:t xml:space="preserve"> emissions as a result of this project.</w:t>
      </w:r>
    </w:p>
    <w:p w14:paraId="0AE555FA" w14:textId="77777777" w:rsidR="00270E33" w:rsidRPr="00993B55" w:rsidRDefault="00270E33" w:rsidP="007A60F3">
      <w:pPr>
        <w:widowControl w:val="0"/>
        <w:autoSpaceDE w:val="0"/>
        <w:autoSpaceDN w:val="0"/>
        <w:adjustRightInd w:val="0"/>
        <w:ind w:left="720"/>
        <w:rPr>
          <w:color w:val="000000"/>
        </w:rPr>
      </w:pPr>
    </w:p>
    <w:p w14:paraId="03E66A1D" w14:textId="77777777" w:rsidR="000177D5" w:rsidRPr="00993B55" w:rsidRDefault="000177D5" w:rsidP="007A60F3">
      <w:pPr>
        <w:widowControl w:val="0"/>
        <w:autoSpaceDE w:val="0"/>
        <w:autoSpaceDN w:val="0"/>
        <w:adjustRightInd w:val="0"/>
        <w:ind w:left="2250" w:hanging="1530"/>
        <w:rPr>
          <w:i/>
          <w:iCs/>
          <w:color w:val="0000FF"/>
        </w:rPr>
      </w:pPr>
      <w:r w:rsidRPr="00993B55">
        <w:rPr>
          <w:b/>
          <w:i/>
          <w:iCs/>
          <w:color w:val="0000FF"/>
          <w:u w:val="single"/>
        </w:rPr>
        <w:t>Example (c)</w:t>
      </w:r>
      <w:r w:rsidRPr="00993B55">
        <w:rPr>
          <w:b/>
          <w:i/>
          <w:iCs/>
          <w:color w:val="0000FF"/>
        </w:rPr>
        <w:t>:</w:t>
      </w:r>
      <w:r w:rsidRPr="00993B55">
        <w:rPr>
          <w:i/>
          <w:iCs/>
          <w:color w:val="0000FF"/>
        </w:rPr>
        <w:tab/>
        <w:t>(For an existing facility – conceding that the facility is already a Major Source for VOC, and there is no increase in emissions of any other pollutant.)</w:t>
      </w:r>
    </w:p>
    <w:p w14:paraId="39818A57" w14:textId="77777777" w:rsidR="000177D5" w:rsidRPr="00993B55" w:rsidRDefault="000177D5" w:rsidP="007A60F3">
      <w:pPr>
        <w:widowControl w:val="0"/>
        <w:autoSpaceDE w:val="0"/>
        <w:autoSpaceDN w:val="0"/>
        <w:adjustRightInd w:val="0"/>
        <w:ind w:left="720"/>
        <w:rPr>
          <w:color w:val="000000"/>
        </w:rPr>
      </w:pPr>
      <w:r w:rsidRPr="00993B55">
        <w:rPr>
          <w:color w:val="000000"/>
        </w:rPr>
        <w:t>This source is an existing Major Source for VOC emissions and will remain a Major Source for VOC.  No change in other pollutants are proposed or expected as a result of this project.</w:t>
      </w:r>
    </w:p>
    <w:p w14:paraId="39A50119" w14:textId="77777777" w:rsidR="000177D5" w:rsidRPr="00993B55" w:rsidRDefault="000177D5" w:rsidP="007A60F3">
      <w:pPr>
        <w:widowControl w:val="0"/>
        <w:autoSpaceDE w:val="0"/>
        <w:autoSpaceDN w:val="0"/>
        <w:adjustRightInd w:val="0"/>
        <w:ind w:left="720"/>
        <w:rPr>
          <w:color w:val="000000"/>
        </w:rPr>
      </w:pPr>
    </w:p>
    <w:p w14:paraId="0A27FF97" w14:textId="5DD8BD20" w:rsidR="000177D5" w:rsidRPr="00993B55" w:rsidRDefault="000177D5" w:rsidP="00F744FE">
      <w:pPr>
        <w:keepNext/>
        <w:widowControl w:val="0"/>
        <w:autoSpaceDE w:val="0"/>
        <w:autoSpaceDN w:val="0"/>
        <w:adjustRightInd w:val="0"/>
        <w:spacing w:after="240"/>
        <w:ind w:left="720"/>
        <w:rPr>
          <w:b/>
          <w:color w:val="000000"/>
          <w:u w:val="single"/>
        </w:rPr>
      </w:pPr>
      <w:r w:rsidRPr="00993B55">
        <w:rPr>
          <w:b/>
          <w:color w:val="000000"/>
          <w:u w:val="single"/>
        </w:rPr>
        <w:t>Rule 2410</w:t>
      </w:r>
      <w:r w:rsidR="00967220">
        <w:rPr>
          <w:b/>
          <w:color w:val="000000"/>
          <w:u w:val="single"/>
        </w:rPr>
        <w:t xml:space="preserve"> (Prevention of Significant Deterioration)</w:t>
      </w:r>
      <w:r w:rsidRPr="00993B55">
        <w:rPr>
          <w:b/>
          <w:color w:val="000000"/>
          <w:u w:val="single"/>
        </w:rPr>
        <w:t xml:space="preserve"> Major Source Determination:</w:t>
      </w:r>
    </w:p>
    <w:p w14:paraId="78533B10" w14:textId="77777777" w:rsidR="000177D5" w:rsidRPr="00993B55" w:rsidRDefault="000177D5" w:rsidP="007A60F3">
      <w:pPr>
        <w:widowControl w:val="0"/>
        <w:ind w:left="720"/>
        <w:rPr>
          <w:rFonts w:cs="Arial"/>
          <w:noProof/>
          <w:color w:val="FF0000"/>
        </w:rPr>
      </w:pPr>
      <w:r w:rsidRPr="00993B55">
        <w:rPr>
          <w:rFonts w:cs="Arial"/>
          <w:noProof/>
          <w:color w:val="FF0000"/>
        </w:rPr>
        <w:t xml:space="preserve">In determining if a stationary source is an </w:t>
      </w:r>
      <w:r w:rsidRPr="00993B55">
        <w:rPr>
          <w:rFonts w:cs="Arial"/>
          <w:noProof/>
          <w:color w:val="FF0000"/>
          <w:u w:val="single"/>
        </w:rPr>
        <w:t>existing</w:t>
      </w:r>
      <w:r w:rsidRPr="00993B55">
        <w:rPr>
          <w:rFonts w:cs="Arial"/>
          <w:noProof/>
          <w:color w:val="FF0000"/>
        </w:rPr>
        <w:t xml:space="preserve"> (pre-project) PSD major source, only the emission thresholds below are considered. To make this determination, compare the facilities emissions before the project with the applicable thresholds. This determination is made for all regulated NSR pollutants (attainment and non-attainment pollutants).  Whether or not the facility has a PSD permit is not relevant.</w:t>
      </w:r>
    </w:p>
    <w:p w14:paraId="2C0DD35E" w14:textId="77777777" w:rsidR="000177D5" w:rsidRPr="00993B55" w:rsidRDefault="000177D5" w:rsidP="007A60F3">
      <w:pPr>
        <w:widowControl w:val="0"/>
        <w:ind w:left="720"/>
        <w:rPr>
          <w:rFonts w:cs="Arial"/>
          <w:noProof/>
          <w:color w:val="FF0000"/>
        </w:rPr>
      </w:pPr>
    </w:p>
    <w:p w14:paraId="29728F0C" w14:textId="77777777" w:rsidR="000177D5" w:rsidRPr="00993B55" w:rsidRDefault="000177D5" w:rsidP="007A60F3">
      <w:pPr>
        <w:widowControl w:val="0"/>
        <w:ind w:left="720"/>
        <w:rPr>
          <w:rFonts w:cs="Arial"/>
          <w:noProof/>
          <w:color w:val="FF0000"/>
        </w:rPr>
      </w:pPr>
      <w:r w:rsidRPr="00993B55">
        <w:rPr>
          <w:rFonts w:cs="Arial"/>
          <w:noProof/>
          <w:color w:val="FF0000"/>
        </w:rPr>
        <w:t>A source is a PSD major source if it has the potential to emit above the thresholds listed below for at least one pollutant.  Please note for purposes of Rule 2410, major source determinations do not apply on a pollutant by pollutant basis.</w:t>
      </w:r>
    </w:p>
    <w:p w14:paraId="2AE6874B" w14:textId="77777777" w:rsidR="000177D5" w:rsidRPr="00993B55" w:rsidRDefault="000177D5" w:rsidP="007A60F3">
      <w:pPr>
        <w:widowControl w:val="0"/>
        <w:ind w:left="720"/>
        <w:rPr>
          <w:rFonts w:cs="Arial"/>
          <w:noProof/>
          <w:color w:val="FF0000"/>
        </w:rPr>
      </w:pPr>
    </w:p>
    <w:p w14:paraId="68E10A1B" w14:textId="5BE464A9" w:rsidR="000177D5" w:rsidRPr="00993B55" w:rsidRDefault="000177D5" w:rsidP="007A60F3">
      <w:pPr>
        <w:widowControl w:val="0"/>
        <w:ind w:left="720"/>
        <w:rPr>
          <w:rFonts w:cs="Arial"/>
          <w:noProof/>
          <w:color w:val="FF0000"/>
        </w:rPr>
      </w:pPr>
      <w:r w:rsidRPr="00993B55">
        <w:rPr>
          <w:rFonts w:cs="Arial"/>
          <w:noProof/>
          <w:color w:val="FF0000"/>
        </w:rPr>
        <w:t>If the facility’s emissions before the project are above the thresholds for ANY pollutant the facility is a PSD major source.  Once that determination has been made for any one pollutant, it is not necessary to determine the facility emissions  for any other pollutant.</w:t>
      </w:r>
    </w:p>
    <w:p w14:paraId="1C4DA10D" w14:textId="77777777" w:rsidR="000177D5" w:rsidRPr="00993B55" w:rsidRDefault="000177D5" w:rsidP="007A60F3">
      <w:pPr>
        <w:widowControl w:val="0"/>
        <w:ind w:left="720"/>
        <w:jc w:val="left"/>
        <w:rPr>
          <w:rFonts w:cs="Arial"/>
          <w:noProof/>
          <w:color w:val="FF0000"/>
        </w:rPr>
      </w:pPr>
    </w:p>
    <w:p w14:paraId="69283122" w14:textId="77777777" w:rsidR="000177D5" w:rsidRPr="00993B55" w:rsidRDefault="000177D5" w:rsidP="007A60F3">
      <w:pPr>
        <w:widowControl w:val="0"/>
        <w:ind w:left="720"/>
        <w:rPr>
          <w:bCs/>
          <w:iCs/>
          <w:color w:val="FF0000"/>
        </w:rPr>
      </w:pPr>
      <w:r w:rsidRPr="00993B55">
        <w:rPr>
          <w:bCs/>
          <w:iCs/>
          <w:color w:val="FF0000"/>
        </w:rPr>
        <w:t>In determining if a stationary source is a PSD major source, the following sources of emissions shall be excluded in determining if a source is a PSD major source:</w:t>
      </w:r>
    </w:p>
    <w:p w14:paraId="45F1D525" w14:textId="77777777" w:rsidR="000177D5" w:rsidRPr="00993B55" w:rsidRDefault="000177D5" w:rsidP="007A60F3">
      <w:pPr>
        <w:widowControl w:val="0"/>
        <w:ind w:left="720"/>
        <w:rPr>
          <w:bCs/>
          <w:iCs/>
          <w:color w:val="FF0000"/>
        </w:rPr>
      </w:pPr>
    </w:p>
    <w:p w14:paraId="698AC694" w14:textId="77777777" w:rsidR="000177D5" w:rsidRPr="00993B55" w:rsidRDefault="000177D5" w:rsidP="007A60F3">
      <w:pPr>
        <w:widowControl w:val="0"/>
        <w:numPr>
          <w:ilvl w:val="1"/>
          <w:numId w:val="16"/>
        </w:numPr>
        <w:contextualSpacing/>
        <w:rPr>
          <w:bCs/>
          <w:iCs/>
          <w:color w:val="FF0000"/>
        </w:rPr>
      </w:pPr>
      <w:r w:rsidRPr="00993B55">
        <w:rPr>
          <w:bCs/>
          <w:iCs/>
          <w:color w:val="FF0000"/>
        </w:rPr>
        <w:t>Emissions from non-road IC engines (i.e. IC engines at a particular site at the facility for less than 12 months)</w:t>
      </w:r>
    </w:p>
    <w:p w14:paraId="0BF10950" w14:textId="77777777" w:rsidR="000177D5" w:rsidRPr="00993B55" w:rsidRDefault="000177D5" w:rsidP="007A60F3">
      <w:pPr>
        <w:widowControl w:val="0"/>
        <w:numPr>
          <w:ilvl w:val="1"/>
          <w:numId w:val="16"/>
        </w:numPr>
        <w:contextualSpacing/>
        <w:rPr>
          <w:bCs/>
          <w:iCs/>
          <w:color w:val="FF0000"/>
        </w:rPr>
      </w:pPr>
      <w:r w:rsidRPr="00993B55">
        <w:rPr>
          <w:bCs/>
          <w:iCs/>
          <w:color w:val="FF0000"/>
        </w:rPr>
        <w:t>Fugitive emissions, except for the specific source categories specified in 40 CFR 52.21 (b)(1)(iii), see below</w:t>
      </w:r>
    </w:p>
    <w:p w14:paraId="38FF0AF8" w14:textId="77777777" w:rsidR="000177D5" w:rsidRPr="00993B55" w:rsidRDefault="000177D5" w:rsidP="007A60F3">
      <w:pPr>
        <w:widowControl w:val="0"/>
        <w:ind w:left="720"/>
        <w:rPr>
          <w:bCs/>
          <w:iCs/>
          <w:color w:val="FF0000"/>
        </w:rPr>
      </w:pPr>
    </w:p>
    <w:p w14:paraId="2B549BD2" w14:textId="77777777" w:rsidR="000177D5" w:rsidRPr="00993B55" w:rsidRDefault="000177D5" w:rsidP="007A60F3">
      <w:pPr>
        <w:widowControl w:val="0"/>
        <w:ind w:left="720"/>
        <w:rPr>
          <w:bCs/>
          <w:iCs/>
          <w:color w:val="FF0000"/>
        </w:rPr>
      </w:pPr>
      <w:r w:rsidRPr="00993B55">
        <w:rPr>
          <w:bCs/>
          <w:iCs/>
          <w:color w:val="FF0000"/>
        </w:rPr>
        <w:t>All emission calculations are performed in US short tons/year, not metric tons.</w:t>
      </w:r>
    </w:p>
    <w:p w14:paraId="67EA84F4" w14:textId="77777777" w:rsidR="000177D5" w:rsidRPr="00993B55" w:rsidRDefault="000177D5" w:rsidP="007A60F3">
      <w:pPr>
        <w:widowControl w:val="0"/>
        <w:ind w:left="720"/>
        <w:rPr>
          <w:bCs/>
          <w:iCs/>
          <w:color w:val="FF0000"/>
        </w:rPr>
      </w:pPr>
    </w:p>
    <w:p w14:paraId="2AFB714A" w14:textId="77777777" w:rsidR="000177D5" w:rsidRPr="00993B55" w:rsidRDefault="000177D5" w:rsidP="007A60F3">
      <w:pPr>
        <w:widowControl w:val="0"/>
        <w:ind w:left="720"/>
        <w:rPr>
          <w:bCs/>
          <w:iCs/>
          <w:color w:val="FF0000"/>
        </w:rPr>
      </w:pPr>
      <w:r w:rsidRPr="00993B55">
        <w:rPr>
          <w:bCs/>
          <w:iCs/>
          <w:color w:val="FF0000"/>
        </w:rPr>
        <w:lastRenderedPageBreak/>
        <w:t>For oil and gas production activities, the traditional stationary source definition shall be used; the area wide stationary source definition shall not be used.</w:t>
      </w:r>
    </w:p>
    <w:p w14:paraId="0B35E5E6" w14:textId="77777777" w:rsidR="000177D5" w:rsidRPr="00993B55" w:rsidRDefault="000177D5" w:rsidP="007A60F3">
      <w:pPr>
        <w:widowControl w:val="0"/>
        <w:ind w:left="720"/>
        <w:rPr>
          <w:bCs/>
          <w:iCs/>
          <w:color w:val="FF0000"/>
        </w:rPr>
      </w:pPr>
    </w:p>
    <w:p w14:paraId="2DC15D02" w14:textId="77777777" w:rsidR="000177D5" w:rsidRPr="00993B55" w:rsidRDefault="000177D5" w:rsidP="007A60F3">
      <w:pPr>
        <w:widowControl w:val="0"/>
        <w:ind w:left="720"/>
        <w:rPr>
          <w:bCs/>
          <w:iCs/>
          <w:color w:val="FF0000"/>
        </w:rPr>
      </w:pPr>
      <w:r w:rsidRPr="00993B55">
        <w:rPr>
          <w:bCs/>
          <w:iCs/>
          <w:color w:val="FF0000"/>
        </w:rPr>
        <w:t>Please note that in the calculations below, PM emissions may be assumed to be equal to PM10 (particulate matter less than 10 microns in diameter) emissions depending on the emission units at the facility.  For combustion sources, all PM is equal to PM10.  This assumption will need to be stated in the evaluation.</w:t>
      </w:r>
    </w:p>
    <w:p w14:paraId="6E19CEE5" w14:textId="77777777" w:rsidR="000177D5" w:rsidRPr="00993B55" w:rsidRDefault="000177D5" w:rsidP="007A60F3">
      <w:pPr>
        <w:widowControl w:val="0"/>
        <w:ind w:left="720"/>
        <w:rPr>
          <w:bCs/>
          <w:iCs/>
          <w:color w:val="FF0000"/>
        </w:rPr>
      </w:pPr>
    </w:p>
    <w:p w14:paraId="6F2317BB" w14:textId="77777777" w:rsidR="000177D5" w:rsidRPr="00993B55" w:rsidRDefault="000177D5" w:rsidP="007A60F3">
      <w:pPr>
        <w:widowControl w:val="0"/>
        <w:ind w:left="720"/>
        <w:rPr>
          <w:bCs/>
          <w:iCs/>
          <w:color w:val="FF0000"/>
        </w:rPr>
      </w:pPr>
      <w:r w:rsidRPr="00993B55">
        <w:rPr>
          <w:bCs/>
          <w:iCs/>
          <w:color w:val="FF0000"/>
        </w:rPr>
        <w:t>If this assumption is not accurate for a given emission stationary source type, then separate calculations are required for PM and PM10.</w:t>
      </w:r>
    </w:p>
    <w:p w14:paraId="30525A8B" w14:textId="1D353BCF" w:rsidR="000177D5" w:rsidRPr="00993B55" w:rsidRDefault="000177D5" w:rsidP="007A60F3">
      <w:pPr>
        <w:widowControl w:val="0"/>
        <w:tabs>
          <w:tab w:val="left" w:pos="2554"/>
        </w:tabs>
        <w:ind w:left="720"/>
        <w:rPr>
          <w:rFonts w:cs="Arial"/>
          <w:noProof/>
          <w:color w:val="FF0000"/>
        </w:rPr>
      </w:pPr>
    </w:p>
    <w:p w14:paraId="626858D7" w14:textId="1E443A8F" w:rsidR="000177D5" w:rsidRPr="00993B55" w:rsidRDefault="000177D5" w:rsidP="007A60F3">
      <w:pPr>
        <w:widowControl w:val="0"/>
        <w:ind w:left="720"/>
        <w:rPr>
          <w:rFonts w:cs="Arial"/>
          <w:noProof/>
          <w:color w:val="FF0000"/>
        </w:rPr>
      </w:pPr>
      <w:r w:rsidRPr="00993B55">
        <w:rPr>
          <w:rFonts w:cs="Arial"/>
          <w:noProof/>
          <w:color w:val="FF0000"/>
        </w:rPr>
        <w:t>Units: Please note that all numbers in the PSD related sections below are in short tons.</w:t>
      </w:r>
    </w:p>
    <w:p w14:paraId="582521D8" w14:textId="1B2006F4" w:rsidR="000177D5" w:rsidRPr="00B31232" w:rsidRDefault="000177D5" w:rsidP="00B31232">
      <w:pPr>
        <w:widowControl w:val="0"/>
        <w:ind w:left="720"/>
        <w:rPr>
          <w:rFonts w:cs="Arial"/>
          <w:noProof/>
          <w:color w:val="FF0000"/>
        </w:rPr>
      </w:pPr>
    </w:p>
    <w:p w14:paraId="728CF900" w14:textId="77777777" w:rsidR="000177D5" w:rsidRPr="00993B55" w:rsidRDefault="000177D5" w:rsidP="007A60F3">
      <w:pPr>
        <w:widowControl w:val="0"/>
        <w:ind w:left="720"/>
        <w:rPr>
          <w:rFonts w:cs="Arial"/>
          <w:b/>
          <w:noProof/>
          <w:color w:val="FF0000"/>
          <w:u w:val="single"/>
        </w:rPr>
      </w:pPr>
      <w:r w:rsidRPr="00993B55">
        <w:rPr>
          <w:rFonts w:cs="Arial"/>
          <w:b/>
          <w:noProof/>
          <w:color w:val="FF0000"/>
          <w:u w:val="single"/>
        </w:rPr>
        <w:t xml:space="preserve">Source Type Categories as specified in </w:t>
      </w:r>
      <w:r w:rsidRPr="00993B55">
        <w:rPr>
          <w:b/>
          <w:bCs/>
          <w:iCs/>
          <w:color w:val="FF0000"/>
          <w:u w:val="single"/>
        </w:rPr>
        <w:t>40 CFR 52.21 (b)(1)(iii)</w:t>
      </w:r>
    </w:p>
    <w:p w14:paraId="25396E03" w14:textId="77777777" w:rsidR="000177D5" w:rsidRPr="00993B55" w:rsidRDefault="000177D5" w:rsidP="007A60F3">
      <w:pPr>
        <w:widowControl w:val="0"/>
        <w:ind w:left="720"/>
        <w:rPr>
          <w:rFonts w:cs="Arial"/>
          <w:noProof/>
          <w:color w:val="FF0000"/>
        </w:rPr>
      </w:pPr>
    </w:p>
    <w:p w14:paraId="273E2A0E" w14:textId="77777777" w:rsidR="000177D5" w:rsidRPr="00993B55" w:rsidRDefault="000177D5" w:rsidP="007A60F3">
      <w:pPr>
        <w:widowControl w:val="0"/>
        <w:ind w:left="720"/>
        <w:rPr>
          <w:rFonts w:cs="Arial"/>
          <w:noProof/>
          <w:color w:val="FF0000"/>
        </w:rPr>
      </w:pPr>
      <w:r w:rsidRPr="00993B55">
        <w:rPr>
          <w:rFonts w:cs="Arial"/>
          <w:noProof/>
          <w:color w:val="FF0000"/>
        </w:rPr>
        <w:t xml:space="preserve">Common Source types in the District are in </w:t>
      </w:r>
      <w:r w:rsidRPr="00993B55">
        <w:rPr>
          <w:rFonts w:cs="Arial"/>
          <w:b/>
          <w:noProof/>
          <w:color w:val="FF0000"/>
        </w:rPr>
        <w:t>bold</w:t>
      </w:r>
      <w:r w:rsidRPr="00993B55">
        <w:rPr>
          <w:rFonts w:cs="Arial"/>
          <w:noProof/>
          <w:color w:val="FF0000"/>
        </w:rPr>
        <w:t>:</w:t>
      </w:r>
    </w:p>
    <w:p w14:paraId="16E02112" w14:textId="77777777" w:rsidR="000177D5" w:rsidRPr="00993B55" w:rsidRDefault="000177D5" w:rsidP="007A60F3">
      <w:pPr>
        <w:widowControl w:val="0"/>
        <w:ind w:left="720"/>
        <w:rPr>
          <w:rFonts w:cs="Arial"/>
          <w:noProof/>
          <w:color w:val="FF0000"/>
        </w:rPr>
      </w:pPr>
    </w:p>
    <w:p w14:paraId="2F617C0B" w14:textId="77777777" w:rsidR="000177D5" w:rsidRPr="00993B55" w:rsidRDefault="000177D5" w:rsidP="007A60F3">
      <w:pPr>
        <w:widowControl w:val="0"/>
        <w:numPr>
          <w:ilvl w:val="0"/>
          <w:numId w:val="15"/>
        </w:numPr>
        <w:autoSpaceDE w:val="0"/>
        <w:autoSpaceDN w:val="0"/>
        <w:adjustRightInd w:val="0"/>
        <w:contextualSpacing/>
        <w:jc w:val="left"/>
        <w:rPr>
          <w:rFonts w:cs="Arial"/>
          <w:b/>
          <w:color w:val="FF0000"/>
          <w:sz w:val="20"/>
        </w:rPr>
      </w:pPr>
      <w:r w:rsidRPr="00993B55">
        <w:rPr>
          <w:rFonts w:cs="Arial"/>
          <w:b/>
          <w:color w:val="FF0000"/>
          <w:sz w:val="20"/>
        </w:rPr>
        <w:t>Fossil fuel-fired steam electric plants of more than 250 million British thermal units per hour heat input,</w:t>
      </w:r>
    </w:p>
    <w:p w14:paraId="49E076EE" w14:textId="77777777" w:rsidR="000177D5" w:rsidRPr="00993B55" w:rsidRDefault="000177D5" w:rsidP="007A60F3">
      <w:pPr>
        <w:widowControl w:val="0"/>
        <w:numPr>
          <w:ilvl w:val="0"/>
          <w:numId w:val="15"/>
        </w:numPr>
        <w:autoSpaceDE w:val="0"/>
        <w:autoSpaceDN w:val="0"/>
        <w:adjustRightInd w:val="0"/>
        <w:contextualSpacing/>
        <w:jc w:val="left"/>
        <w:rPr>
          <w:rFonts w:cs="Arial"/>
          <w:color w:val="FF0000"/>
          <w:sz w:val="20"/>
        </w:rPr>
      </w:pPr>
      <w:r w:rsidRPr="00993B55">
        <w:rPr>
          <w:rFonts w:cs="Arial"/>
          <w:color w:val="FF0000"/>
          <w:sz w:val="20"/>
        </w:rPr>
        <w:t>coal cleaning plants (with thermal dryers),</w:t>
      </w:r>
    </w:p>
    <w:p w14:paraId="433F667F" w14:textId="77777777" w:rsidR="000177D5" w:rsidRPr="00993B55" w:rsidRDefault="000177D5" w:rsidP="007A60F3">
      <w:pPr>
        <w:widowControl w:val="0"/>
        <w:numPr>
          <w:ilvl w:val="0"/>
          <w:numId w:val="15"/>
        </w:numPr>
        <w:autoSpaceDE w:val="0"/>
        <w:autoSpaceDN w:val="0"/>
        <w:adjustRightInd w:val="0"/>
        <w:contextualSpacing/>
        <w:jc w:val="left"/>
        <w:rPr>
          <w:rFonts w:cs="Arial"/>
          <w:color w:val="FF0000"/>
          <w:sz w:val="20"/>
        </w:rPr>
      </w:pPr>
      <w:r w:rsidRPr="00993B55">
        <w:rPr>
          <w:rFonts w:cs="Arial"/>
          <w:color w:val="FF0000"/>
          <w:sz w:val="20"/>
        </w:rPr>
        <w:t xml:space="preserve">kraft pulp mills, </w:t>
      </w:r>
    </w:p>
    <w:p w14:paraId="724BEE66" w14:textId="77777777" w:rsidR="000177D5" w:rsidRPr="00993B55" w:rsidRDefault="000177D5" w:rsidP="007A60F3">
      <w:pPr>
        <w:widowControl w:val="0"/>
        <w:numPr>
          <w:ilvl w:val="0"/>
          <w:numId w:val="15"/>
        </w:numPr>
        <w:autoSpaceDE w:val="0"/>
        <w:autoSpaceDN w:val="0"/>
        <w:adjustRightInd w:val="0"/>
        <w:contextualSpacing/>
        <w:jc w:val="left"/>
        <w:rPr>
          <w:rFonts w:cs="Arial"/>
          <w:color w:val="FF0000"/>
          <w:sz w:val="20"/>
        </w:rPr>
      </w:pPr>
      <w:r w:rsidRPr="00993B55">
        <w:rPr>
          <w:rFonts w:cs="Arial"/>
          <w:color w:val="FF0000"/>
          <w:sz w:val="20"/>
        </w:rPr>
        <w:t>portland cement plants,</w:t>
      </w:r>
    </w:p>
    <w:p w14:paraId="6605BE35" w14:textId="77777777" w:rsidR="000177D5" w:rsidRPr="00993B55" w:rsidRDefault="000177D5" w:rsidP="007A60F3">
      <w:pPr>
        <w:widowControl w:val="0"/>
        <w:numPr>
          <w:ilvl w:val="0"/>
          <w:numId w:val="15"/>
        </w:numPr>
        <w:autoSpaceDE w:val="0"/>
        <w:autoSpaceDN w:val="0"/>
        <w:adjustRightInd w:val="0"/>
        <w:contextualSpacing/>
        <w:jc w:val="left"/>
        <w:rPr>
          <w:rFonts w:cs="Arial"/>
          <w:color w:val="FF0000"/>
          <w:sz w:val="20"/>
        </w:rPr>
      </w:pPr>
      <w:r w:rsidRPr="00993B55">
        <w:rPr>
          <w:rFonts w:cs="Arial"/>
          <w:color w:val="FF0000"/>
          <w:sz w:val="20"/>
        </w:rPr>
        <w:t>primary zinc smelters,</w:t>
      </w:r>
    </w:p>
    <w:p w14:paraId="055EDA8A" w14:textId="77777777" w:rsidR="000177D5" w:rsidRPr="00993B55" w:rsidRDefault="000177D5" w:rsidP="007A60F3">
      <w:pPr>
        <w:widowControl w:val="0"/>
        <w:numPr>
          <w:ilvl w:val="0"/>
          <w:numId w:val="15"/>
        </w:numPr>
        <w:autoSpaceDE w:val="0"/>
        <w:autoSpaceDN w:val="0"/>
        <w:adjustRightInd w:val="0"/>
        <w:contextualSpacing/>
        <w:jc w:val="left"/>
        <w:rPr>
          <w:rFonts w:cs="Arial"/>
          <w:color w:val="FF0000"/>
          <w:sz w:val="20"/>
        </w:rPr>
      </w:pPr>
      <w:r w:rsidRPr="00993B55">
        <w:rPr>
          <w:rFonts w:cs="Arial"/>
          <w:color w:val="FF0000"/>
          <w:sz w:val="20"/>
        </w:rPr>
        <w:t xml:space="preserve">iron and steel mill plants, </w:t>
      </w:r>
    </w:p>
    <w:p w14:paraId="22F28719" w14:textId="77777777" w:rsidR="000177D5" w:rsidRPr="00993B55" w:rsidRDefault="000177D5" w:rsidP="007A60F3">
      <w:pPr>
        <w:widowControl w:val="0"/>
        <w:numPr>
          <w:ilvl w:val="0"/>
          <w:numId w:val="15"/>
        </w:numPr>
        <w:autoSpaceDE w:val="0"/>
        <w:autoSpaceDN w:val="0"/>
        <w:adjustRightInd w:val="0"/>
        <w:contextualSpacing/>
        <w:jc w:val="left"/>
        <w:rPr>
          <w:rFonts w:cs="Arial"/>
          <w:color w:val="FF0000"/>
          <w:sz w:val="20"/>
        </w:rPr>
      </w:pPr>
      <w:r w:rsidRPr="00993B55">
        <w:rPr>
          <w:rFonts w:cs="Arial"/>
          <w:color w:val="FF0000"/>
          <w:sz w:val="20"/>
        </w:rPr>
        <w:t>primary aluminum ore reduction plants (with thermal dryers),</w:t>
      </w:r>
    </w:p>
    <w:p w14:paraId="4D358EF1" w14:textId="77777777" w:rsidR="000177D5" w:rsidRPr="00993B55" w:rsidRDefault="000177D5" w:rsidP="007A60F3">
      <w:pPr>
        <w:widowControl w:val="0"/>
        <w:numPr>
          <w:ilvl w:val="0"/>
          <w:numId w:val="15"/>
        </w:numPr>
        <w:autoSpaceDE w:val="0"/>
        <w:autoSpaceDN w:val="0"/>
        <w:adjustRightInd w:val="0"/>
        <w:contextualSpacing/>
        <w:jc w:val="left"/>
        <w:rPr>
          <w:rFonts w:cs="Arial"/>
          <w:color w:val="FF0000"/>
          <w:sz w:val="20"/>
        </w:rPr>
      </w:pPr>
      <w:r w:rsidRPr="00993B55">
        <w:rPr>
          <w:rFonts w:cs="Arial"/>
          <w:color w:val="FF0000"/>
          <w:sz w:val="20"/>
        </w:rPr>
        <w:t xml:space="preserve">primary copper smelters, </w:t>
      </w:r>
    </w:p>
    <w:p w14:paraId="1AB98A9F" w14:textId="0F4B6769" w:rsidR="000177D5" w:rsidRPr="00993B55" w:rsidRDefault="000177D5" w:rsidP="007A60F3">
      <w:pPr>
        <w:widowControl w:val="0"/>
        <w:numPr>
          <w:ilvl w:val="0"/>
          <w:numId w:val="15"/>
        </w:numPr>
        <w:autoSpaceDE w:val="0"/>
        <w:autoSpaceDN w:val="0"/>
        <w:adjustRightInd w:val="0"/>
        <w:contextualSpacing/>
        <w:jc w:val="left"/>
        <w:rPr>
          <w:rFonts w:cs="Arial"/>
          <w:color w:val="FF0000"/>
          <w:sz w:val="20"/>
        </w:rPr>
      </w:pPr>
      <w:r w:rsidRPr="00993B55">
        <w:rPr>
          <w:rFonts w:cs="Arial"/>
          <w:color w:val="FF0000"/>
          <w:sz w:val="20"/>
        </w:rPr>
        <w:t>municipal incinerators capable of charging more than 50 tons of refuse per day,</w:t>
      </w:r>
    </w:p>
    <w:p w14:paraId="5B07ABC9" w14:textId="77777777" w:rsidR="000177D5" w:rsidRPr="00993B55" w:rsidRDefault="000177D5" w:rsidP="007A60F3">
      <w:pPr>
        <w:widowControl w:val="0"/>
        <w:numPr>
          <w:ilvl w:val="0"/>
          <w:numId w:val="15"/>
        </w:numPr>
        <w:autoSpaceDE w:val="0"/>
        <w:autoSpaceDN w:val="0"/>
        <w:adjustRightInd w:val="0"/>
        <w:contextualSpacing/>
        <w:jc w:val="left"/>
        <w:rPr>
          <w:rFonts w:cs="Arial"/>
          <w:color w:val="FF0000"/>
          <w:sz w:val="20"/>
        </w:rPr>
      </w:pPr>
      <w:r w:rsidRPr="00993B55">
        <w:rPr>
          <w:rFonts w:cs="Arial"/>
          <w:color w:val="FF0000"/>
          <w:sz w:val="20"/>
        </w:rPr>
        <w:t>hydrofluoric, sulfuric, and nitric acid plants,</w:t>
      </w:r>
    </w:p>
    <w:p w14:paraId="5056166F" w14:textId="77777777" w:rsidR="000177D5" w:rsidRPr="00993B55" w:rsidRDefault="000177D5" w:rsidP="007A60F3">
      <w:pPr>
        <w:widowControl w:val="0"/>
        <w:numPr>
          <w:ilvl w:val="0"/>
          <w:numId w:val="15"/>
        </w:numPr>
        <w:autoSpaceDE w:val="0"/>
        <w:autoSpaceDN w:val="0"/>
        <w:adjustRightInd w:val="0"/>
        <w:contextualSpacing/>
        <w:jc w:val="left"/>
        <w:rPr>
          <w:rFonts w:cs="Arial"/>
          <w:b/>
          <w:color w:val="FF0000"/>
          <w:sz w:val="20"/>
        </w:rPr>
      </w:pPr>
      <w:r w:rsidRPr="00993B55">
        <w:rPr>
          <w:rFonts w:cs="Arial"/>
          <w:b/>
          <w:color w:val="FF0000"/>
          <w:sz w:val="20"/>
        </w:rPr>
        <w:t>petroleum refineries,</w:t>
      </w:r>
    </w:p>
    <w:p w14:paraId="11A7870E" w14:textId="77777777" w:rsidR="000177D5" w:rsidRPr="00993B55" w:rsidRDefault="000177D5" w:rsidP="007A60F3">
      <w:pPr>
        <w:widowControl w:val="0"/>
        <w:numPr>
          <w:ilvl w:val="0"/>
          <w:numId w:val="15"/>
        </w:numPr>
        <w:autoSpaceDE w:val="0"/>
        <w:autoSpaceDN w:val="0"/>
        <w:adjustRightInd w:val="0"/>
        <w:contextualSpacing/>
        <w:jc w:val="left"/>
        <w:rPr>
          <w:rFonts w:cs="Arial"/>
          <w:color w:val="FF0000"/>
          <w:sz w:val="20"/>
        </w:rPr>
      </w:pPr>
      <w:r w:rsidRPr="00993B55">
        <w:rPr>
          <w:rFonts w:cs="Arial"/>
          <w:color w:val="FF0000"/>
          <w:sz w:val="20"/>
        </w:rPr>
        <w:t>lime plants,</w:t>
      </w:r>
    </w:p>
    <w:p w14:paraId="62F4D8AF" w14:textId="77777777" w:rsidR="000177D5" w:rsidRPr="00993B55" w:rsidRDefault="000177D5" w:rsidP="007A60F3">
      <w:pPr>
        <w:widowControl w:val="0"/>
        <w:numPr>
          <w:ilvl w:val="0"/>
          <w:numId w:val="15"/>
        </w:numPr>
        <w:autoSpaceDE w:val="0"/>
        <w:autoSpaceDN w:val="0"/>
        <w:adjustRightInd w:val="0"/>
        <w:contextualSpacing/>
        <w:jc w:val="left"/>
        <w:rPr>
          <w:rFonts w:cs="Arial"/>
          <w:color w:val="FF0000"/>
          <w:sz w:val="20"/>
        </w:rPr>
      </w:pPr>
      <w:r w:rsidRPr="00993B55">
        <w:rPr>
          <w:rFonts w:cs="Arial"/>
          <w:color w:val="FF0000"/>
          <w:sz w:val="20"/>
        </w:rPr>
        <w:t>phosphate rock processing plants,</w:t>
      </w:r>
    </w:p>
    <w:p w14:paraId="66299F0B" w14:textId="77777777" w:rsidR="000177D5" w:rsidRPr="00993B55" w:rsidRDefault="000177D5" w:rsidP="007A60F3">
      <w:pPr>
        <w:widowControl w:val="0"/>
        <w:numPr>
          <w:ilvl w:val="0"/>
          <w:numId w:val="15"/>
        </w:numPr>
        <w:autoSpaceDE w:val="0"/>
        <w:autoSpaceDN w:val="0"/>
        <w:adjustRightInd w:val="0"/>
        <w:contextualSpacing/>
        <w:jc w:val="left"/>
        <w:rPr>
          <w:rFonts w:cs="Arial"/>
          <w:color w:val="FF0000"/>
          <w:sz w:val="20"/>
        </w:rPr>
      </w:pPr>
      <w:r w:rsidRPr="00993B55">
        <w:rPr>
          <w:rFonts w:cs="Arial"/>
          <w:color w:val="FF0000"/>
          <w:sz w:val="20"/>
        </w:rPr>
        <w:t>coke oven batteries,</w:t>
      </w:r>
    </w:p>
    <w:p w14:paraId="65C7514B" w14:textId="77777777" w:rsidR="000177D5" w:rsidRPr="00993B55" w:rsidRDefault="000177D5" w:rsidP="007A60F3">
      <w:pPr>
        <w:widowControl w:val="0"/>
        <w:numPr>
          <w:ilvl w:val="0"/>
          <w:numId w:val="15"/>
        </w:numPr>
        <w:autoSpaceDE w:val="0"/>
        <w:autoSpaceDN w:val="0"/>
        <w:adjustRightInd w:val="0"/>
        <w:contextualSpacing/>
        <w:jc w:val="left"/>
        <w:rPr>
          <w:rFonts w:cs="Arial"/>
          <w:color w:val="FF0000"/>
          <w:sz w:val="20"/>
        </w:rPr>
      </w:pPr>
      <w:r w:rsidRPr="00993B55">
        <w:rPr>
          <w:rFonts w:cs="Arial"/>
          <w:color w:val="FF0000"/>
          <w:sz w:val="20"/>
        </w:rPr>
        <w:t>sulfur recovery plants,</w:t>
      </w:r>
    </w:p>
    <w:p w14:paraId="2A86A475" w14:textId="77777777" w:rsidR="000177D5" w:rsidRPr="00993B55" w:rsidRDefault="000177D5" w:rsidP="007A60F3">
      <w:pPr>
        <w:widowControl w:val="0"/>
        <w:numPr>
          <w:ilvl w:val="0"/>
          <w:numId w:val="15"/>
        </w:numPr>
        <w:autoSpaceDE w:val="0"/>
        <w:autoSpaceDN w:val="0"/>
        <w:adjustRightInd w:val="0"/>
        <w:contextualSpacing/>
        <w:jc w:val="left"/>
        <w:rPr>
          <w:rFonts w:cs="Arial"/>
          <w:color w:val="FF0000"/>
          <w:sz w:val="20"/>
        </w:rPr>
      </w:pPr>
      <w:r w:rsidRPr="00993B55">
        <w:rPr>
          <w:rFonts w:cs="Arial"/>
          <w:color w:val="FF0000"/>
          <w:sz w:val="20"/>
        </w:rPr>
        <w:t>carbon black plants (furnace process),</w:t>
      </w:r>
    </w:p>
    <w:p w14:paraId="0A5FD9CD" w14:textId="77777777" w:rsidR="000177D5" w:rsidRPr="00993B55" w:rsidRDefault="000177D5" w:rsidP="007A60F3">
      <w:pPr>
        <w:widowControl w:val="0"/>
        <w:numPr>
          <w:ilvl w:val="0"/>
          <w:numId w:val="15"/>
        </w:numPr>
        <w:autoSpaceDE w:val="0"/>
        <w:autoSpaceDN w:val="0"/>
        <w:adjustRightInd w:val="0"/>
        <w:contextualSpacing/>
        <w:jc w:val="left"/>
        <w:rPr>
          <w:rFonts w:cs="Arial"/>
          <w:color w:val="FF0000"/>
          <w:sz w:val="20"/>
        </w:rPr>
      </w:pPr>
      <w:r w:rsidRPr="00993B55">
        <w:rPr>
          <w:rFonts w:cs="Arial"/>
          <w:color w:val="FF0000"/>
          <w:sz w:val="20"/>
        </w:rPr>
        <w:t>primary lead smelters,</w:t>
      </w:r>
    </w:p>
    <w:p w14:paraId="1A3330EB" w14:textId="77777777" w:rsidR="000177D5" w:rsidRPr="00993B55" w:rsidRDefault="000177D5" w:rsidP="007A60F3">
      <w:pPr>
        <w:widowControl w:val="0"/>
        <w:numPr>
          <w:ilvl w:val="0"/>
          <w:numId w:val="15"/>
        </w:numPr>
        <w:autoSpaceDE w:val="0"/>
        <w:autoSpaceDN w:val="0"/>
        <w:adjustRightInd w:val="0"/>
        <w:contextualSpacing/>
        <w:jc w:val="left"/>
        <w:rPr>
          <w:rFonts w:cs="Arial"/>
          <w:b/>
          <w:color w:val="FF0000"/>
          <w:sz w:val="20"/>
        </w:rPr>
      </w:pPr>
      <w:r w:rsidRPr="00993B55">
        <w:rPr>
          <w:rFonts w:cs="Arial"/>
          <w:b/>
          <w:color w:val="FF0000"/>
          <w:sz w:val="20"/>
        </w:rPr>
        <w:t>fuel conversion plants,</w:t>
      </w:r>
    </w:p>
    <w:p w14:paraId="38E857A0" w14:textId="77777777" w:rsidR="000177D5" w:rsidRPr="00993B55" w:rsidRDefault="000177D5" w:rsidP="007A60F3">
      <w:pPr>
        <w:widowControl w:val="0"/>
        <w:numPr>
          <w:ilvl w:val="0"/>
          <w:numId w:val="15"/>
        </w:numPr>
        <w:autoSpaceDE w:val="0"/>
        <w:autoSpaceDN w:val="0"/>
        <w:adjustRightInd w:val="0"/>
        <w:contextualSpacing/>
        <w:jc w:val="left"/>
        <w:rPr>
          <w:rFonts w:cs="Arial"/>
          <w:color w:val="FF0000"/>
          <w:sz w:val="20"/>
        </w:rPr>
      </w:pPr>
      <w:r w:rsidRPr="00993B55">
        <w:rPr>
          <w:rFonts w:cs="Arial"/>
          <w:color w:val="FF0000"/>
          <w:sz w:val="20"/>
        </w:rPr>
        <w:t>sintering plants,</w:t>
      </w:r>
    </w:p>
    <w:p w14:paraId="44766E11" w14:textId="77777777" w:rsidR="000177D5" w:rsidRPr="00993B55" w:rsidRDefault="000177D5" w:rsidP="007A60F3">
      <w:pPr>
        <w:widowControl w:val="0"/>
        <w:numPr>
          <w:ilvl w:val="0"/>
          <w:numId w:val="15"/>
        </w:numPr>
        <w:autoSpaceDE w:val="0"/>
        <w:autoSpaceDN w:val="0"/>
        <w:adjustRightInd w:val="0"/>
        <w:contextualSpacing/>
        <w:jc w:val="left"/>
        <w:rPr>
          <w:rFonts w:cs="Arial"/>
          <w:color w:val="FF0000"/>
          <w:sz w:val="20"/>
        </w:rPr>
      </w:pPr>
      <w:r w:rsidRPr="00993B55">
        <w:rPr>
          <w:rFonts w:cs="Arial"/>
          <w:color w:val="FF0000"/>
          <w:sz w:val="20"/>
        </w:rPr>
        <w:t>secondary metal production plants,</w:t>
      </w:r>
    </w:p>
    <w:p w14:paraId="0E694CF5" w14:textId="77777777" w:rsidR="000177D5" w:rsidRPr="00993B55" w:rsidRDefault="000177D5" w:rsidP="007A60F3">
      <w:pPr>
        <w:widowControl w:val="0"/>
        <w:numPr>
          <w:ilvl w:val="0"/>
          <w:numId w:val="15"/>
        </w:numPr>
        <w:autoSpaceDE w:val="0"/>
        <w:autoSpaceDN w:val="0"/>
        <w:adjustRightInd w:val="0"/>
        <w:contextualSpacing/>
        <w:jc w:val="left"/>
        <w:rPr>
          <w:rFonts w:cs="Arial"/>
          <w:b/>
          <w:color w:val="FF0000"/>
          <w:sz w:val="20"/>
        </w:rPr>
      </w:pPr>
      <w:r w:rsidRPr="00993B55">
        <w:rPr>
          <w:rFonts w:cs="Arial"/>
          <w:b/>
          <w:color w:val="FF0000"/>
          <w:sz w:val="20"/>
        </w:rPr>
        <w:t>chemical process plants (which does not include ethanol production facilities that produce ethanol by natural fermentation included in NAICS codes 325193 or 312140),</w:t>
      </w:r>
    </w:p>
    <w:p w14:paraId="78BA111E" w14:textId="77777777" w:rsidR="000177D5" w:rsidRPr="00993B55" w:rsidRDefault="000177D5" w:rsidP="007A60F3">
      <w:pPr>
        <w:widowControl w:val="0"/>
        <w:numPr>
          <w:ilvl w:val="0"/>
          <w:numId w:val="15"/>
        </w:numPr>
        <w:autoSpaceDE w:val="0"/>
        <w:autoSpaceDN w:val="0"/>
        <w:adjustRightInd w:val="0"/>
        <w:contextualSpacing/>
        <w:jc w:val="left"/>
        <w:rPr>
          <w:rFonts w:cs="Arial"/>
          <w:color w:val="FF0000"/>
          <w:sz w:val="20"/>
        </w:rPr>
      </w:pPr>
      <w:r w:rsidRPr="00993B55">
        <w:rPr>
          <w:rFonts w:cs="Arial"/>
          <w:b/>
          <w:color w:val="FF0000"/>
          <w:sz w:val="20"/>
        </w:rPr>
        <w:t>fossil-fuel boilers (or combinations thereof) totaling more than 250 million British thermal units per hour heat input</w:t>
      </w:r>
      <w:r w:rsidRPr="00993B55">
        <w:rPr>
          <w:rFonts w:cs="Arial"/>
          <w:color w:val="FF0000"/>
          <w:sz w:val="20"/>
        </w:rPr>
        <w:t>,</w:t>
      </w:r>
    </w:p>
    <w:p w14:paraId="152F9BFE" w14:textId="77777777" w:rsidR="000177D5" w:rsidRPr="00993B55" w:rsidRDefault="000177D5" w:rsidP="007A60F3">
      <w:pPr>
        <w:widowControl w:val="0"/>
        <w:numPr>
          <w:ilvl w:val="0"/>
          <w:numId w:val="15"/>
        </w:numPr>
        <w:autoSpaceDE w:val="0"/>
        <w:autoSpaceDN w:val="0"/>
        <w:adjustRightInd w:val="0"/>
        <w:contextualSpacing/>
        <w:jc w:val="left"/>
        <w:rPr>
          <w:rFonts w:cs="Arial"/>
          <w:b/>
          <w:color w:val="FF0000"/>
          <w:sz w:val="20"/>
        </w:rPr>
      </w:pPr>
      <w:r w:rsidRPr="00993B55">
        <w:rPr>
          <w:rFonts w:cs="Arial"/>
          <w:b/>
          <w:color w:val="FF0000"/>
          <w:sz w:val="20"/>
        </w:rPr>
        <w:t>petroleum storage and transfer units with a total storage capacity exceeding 300,000 barrels,</w:t>
      </w:r>
    </w:p>
    <w:p w14:paraId="5E802EEC" w14:textId="77777777" w:rsidR="000177D5" w:rsidRPr="00993B55" w:rsidRDefault="000177D5" w:rsidP="007A60F3">
      <w:pPr>
        <w:widowControl w:val="0"/>
        <w:numPr>
          <w:ilvl w:val="0"/>
          <w:numId w:val="15"/>
        </w:numPr>
        <w:autoSpaceDE w:val="0"/>
        <w:autoSpaceDN w:val="0"/>
        <w:adjustRightInd w:val="0"/>
        <w:contextualSpacing/>
        <w:jc w:val="left"/>
        <w:rPr>
          <w:rFonts w:cs="Arial"/>
          <w:color w:val="FF0000"/>
          <w:sz w:val="20"/>
        </w:rPr>
      </w:pPr>
      <w:r w:rsidRPr="00993B55">
        <w:rPr>
          <w:rFonts w:cs="Arial"/>
          <w:color w:val="FF0000"/>
          <w:sz w:val="20"/>
        </w:rPr>
        <w:t>taconite ore processing plants,</w:t>
      </w:r>
    </w:p>
    <w:p w14:paraId="7694F0CB" w14:textId="77777777" w:rsidR="000177D5" w:rsidRPr="00993B55" w:rsidRDefault="000177D5" w:rsidP="007A60F3">
      <w:pPr>
        <w:widowControl w:val="0"/>
        <w:numPr>
          <w:ilvl w:val="0"/>
          <w:numId w:val="15"/>
        </w:numPr>
        <w:autoSpaceDE w:val="0"/>
        <w:autoSpaceDN w:val="0"/>
        <w:adjustRightInd w:val="0"/>
        <w:contextualSpacing/>
        <w:jc w:val="left"/>
        <w:rPr>
          <w:rFonts w:cs="Arial"/>
          <w:color w:val="FF0000"/>
          <w:sz w:val="20"/>
        </w:rPr>
      </w:pPr>
      <w:r w:rsidRPr="00993B55">
        <w:rPr>
          <w:rFonts w:cs="Arial"/>
          <w:color w:val="FF0000"/>
          <w:sz w:val="20"/>
        </w:rPr>
        <w:t>glass fiber processing plants, and</w:t>
      </w:r>
    </w:p>
    <w:p w14:paraId="4AE68C83" w14:textId="77777777" w:rsidR="000177D5" w:rsidRPr="00993B55" w:rsidRDefault="000177D5" w:rsidP="007A60F3">
      <w:pPr>
        <w:widowControl w:val="0"/>
        <w:numPr>
          <w:ilvl w:val="0"/>
          <w:numId w:val="15"/>
        </w:numPr>
        <w:autoSpaceDE w:val="0"/>
        <w:autoSpaceDN w:val="0"/>
        <w:adjustRightInd w:val="0"/>
        <w:contextualSpacing/>
        <w:jc w:val="left"/>
        <w:rPr>
          <w:rFonts w:cs="Arial"/>
          <w:noProof/>
          <w:color w:val="FF0000"/>
          <w:sz w:val="20"/>
        </w:rPr>
      </w:pPr>
      <w:r w:rsidRPr="00993B55">
        <w:rPr>
          <w:rFonts w:cs="Arial"/>
          <w:color w:val="FF0000"/>
          <w:sz w:val="20"/>
        </w:rPr>
        <w:t>charcoal production plants;</w:t>
      </w:r>
    </w:p>
    <w:p w14:paraId="09A965AB" w14:textId="77777777" w:rsidR="000177D5" w:rsidRPr="00792E2E" w:rsidRDefault="000177D5" w:rsidP="007A60F3">
      <w:pPr>
        <w:widowControl w:val="0"/>
        <w:autoSpaceDE w:val="0"/>
        <w:autoSpaceDN w:val="0"/>
        <w:adjustRightInd w:val="0"/>
        <w:ind w:left="720"/>
        <w:rPr>
          <w:rFonts w:cs="Arial"/>
          <w:noProof/>
          <w:color w:val="FF0000"/>
          <w:szCs w:val="24"/>
        </w:rPr>
      </w:pPr>
    </w:p>
    <w:p w14:paraId="2AAAFF78" w14:textId="768B1FF1" w:rsidR="000177D5" w:rsidRDefault="000177D5" w:rsidP="007A60F3">
      <w:pPr>
        <w:widowControl w:val="0"/>
        <w:autoSpaceDE w:val="0"/>
        <w:autoSpaceDN w:val="0"/>
        <w:adjustRightInd w:val="0"/>
        <w:ind w:left="720"/>
        <w:rPr>
          <w:rFonts w:cs="Arial"/>
          <w:noProof/>
          <w:color w:val="FF0000"/>
        </w:rPr>
      </w:pPr>
      <w:r w:rsidRPr="00993B55">
        <w:rPr>
          <w:rFonts w:cs="Arial"/>
          <w:noProof/>
          <w:color w:val="FF0000"/>
        </w:rPr>
        <w:t>Please note that if the main function of a stationary source type is not listed above, but the stationary source includes process or equipment that are included above (e.g. fossil fuel fired boilers totaling more than 250 MMBtu/hr), the major</w:t>
      </w:r>
      <w:r w:rsidR="00825F9B">
        <w:rPr>
          <w:rFonts w:cs="Arial"/>
          <w:noProof/>
          <w:color w:val="FF0000"/>
        </w:rPr>
        <w:t xml:space="preserve"> </w:t>
      </w:r>
      <w:r w:rsidRPr="00993B55">
        <w:rPr>
          <w:rFonts w:cs="Arial"/>
          <w:noProof/>
          <w:color w:val="FF0000"/>
        </w:rPr>
        <w:t xml:space="preserve">source threshold for that process or equipment is 100 ton/year.  If the emissions from a listed source category are </w:t>
      </w:r>
      <w:r w:rsidRPr="00993B55">
        <w:rPr>
          <w:rFonts w:cs="Arial"/>
          <w:noProof/>
          <w:color w:val="FF0000"/>
        </w:rPr>
        <w:lastRenderedPageBreak/>
        <w:t>less than 100 ton/year, then the 250 tpy threshould applies for all operations at the stationary source.</w:t>
      </w:r>
    </w:p>
    <w:p w14:paraId="525554C4" w14:textId="7ACE8F9B" w:rsidR="004A05BA" w:rsidRPr="00C6050F" w:rsidRDefault="004A05BA" w:rsidP="007A60F3">
      <w:pPr>
        <w:widowControl w:val="0"/>
        <w:autoSpaceDE w:val="0"/>
        <w:autoSpaceDN w:val="0"/>
        <w:adjustRightInd w:val="0"/>
        <w:ind w:left="720"/>
        <w:rPr>
          <w:rFonts w:cs="Arial"/>
          <w:noProof/>
          <w:color w:val="FF0000"/>
          <w:szCs w:val="24"/>
        </w:rPr>
      </w:pPr>
    </w:p>
    <w:p w14:paraId="1CB6F275" w14:textId="6BFA7891" w:rsidR="00917D33" w:rsidRPr="00993B55" w:rsidRDefault="00917D33" w:rsidP="00917D33">
      <w:pPr>
        <w:widowControl w:val="0"/>
        <w:ind w:left="720"/>
        <w:rPr>
          <w:b/>
          <w:i/>
          <w:iCs/>
          <w:color w:val="0000FF"/>
        </w:rPr>
      </w:pPr>
      <w:r w:rsidRPr="00993B55">
        <w:rPr>
          <w:b/>
          <w:i/>
          <w:iCs/>
          <w:color w:val="0000FF"/>
          <w:u w:val="single"/>
        </w:rPr>
        <w:t>Example (</w:t>
      </w:r>
      <w:r>
        <w:rPr>
          <w:b/>
          <w:i/>
          <w:iCs/>
          <w:color w:val="0000FF"/>
          <w:u w:val="single"/>
        </w:rPr>
        <w:t>a</w:t>
      </w:r>
      <w:r w:rsidRPr="00993B55">
        <w:rPr>
          <w:b/>
          <w:i/>
          <w:iCs/>
          <w:color w:val="0000FF"/>
          <w:u w:val="single"/>
        </w:rPr>
        <w:t>)</w:t>
      </w:r>
      <w:r w:rsidRPr="00993B55">
        <w:rPr>
          <w:b/>
          <w:i/>
          <w:iCs/>
          <w:color w:val="0000FF"/>
        </w:rPr>
        <w:t>:</w:t>
      </w:r>
    </w:p>
    <w:p w14:paraId="31802DB3" w14:textId="77777777" w:rsidR="00917D33" w:rsidRPr="00993B55" w:rsidRDefault="00917D33" w:rsidP="00917D33">
      <w:pPr>
        <w:widowControl w:val="0"/>
        <w:ind w:left="720"/>
        <w:rPr>
          <w:bCs/>
          <w:iCs/>
          <w:color w:val="FF0000"/>
          <w:u w:val="single"/>
        </w:rPr>
      </w:pPr>
      <w:r w:rsidRPr="00993B55">
        <w:rPr>
          <w:rFonts w:cs="Arial"/>
          <w:noProof/>
          <w:color w:val="FF0000"/>
          <w:u w:val="single"/>
        </w:rPr>
        <w:t xml:space="preserve">Facility or equipment evaluated under this project is </w:t>
      </w:r>
      <w:r w:rsidRPr="00993B55">
        <w:rPr>
          <w:rFonts w:cs="Arial"/>
          <w:b/>
          <w:noProof/>
          <w:color w:val="FF0000"/>
          <w:u w:val="single"/>
        </w:rPr>
        <w:t>NOT</w:t>
      </w:r>
      <w:r w:rsidRPr="00993B55">
        <w:rPr>
          <w:rFonts w:cs="Arial"/>
          <w:noProof/>
          <w:color w:val="FF0000"/>
          <w:u w:val="single"/>
        </w:rPr>
        <w:t xml:space="preserve"> listed as one of the categories specified in </w:t>
      </w:r>
      <w:r w:rsidRPr="00993B55">
        <w:rPr>
          <w:bCs/>
          <w:iCs/>
          <w:color w:val="FF0000"/>
          <w:u w:val="single"/>
        </w:rPr>
        <w:t>40 CFR 52.21 (b)(1)(i)</w:t>
      </w:r>
      <w:r>
        <w:rPr>
          <w:bCs/>
          <w:iCs/>
          <w:color w:val="FF0000"/>
          <w:u w:val="single"/>
        </w:rPr>
        <w:t>(A)</w:t>
      </w:r>
    </w:p>
    <w:p w14:paraId="1D65F28A" w14:textId="77777777" w:rsidR="00917D33" w:rsidRPr="00993B55" w:rsidRDefault="00917D33" w:rsidP="00917D33">
      <w:pPr>
        <w:widowControl w:val="0"/>
        <w:ind w:left="720"/>
        <w:rPr>
          <w:rFonts w:cs="Arial"/>
          <w:noProof/>
          <w:color w:val="FF0000"/>
        </w:rPr>
      </w:pPr>
      <w:r w:rsidRPr="00993B55">
        <w:rPr>
          <w:rFonts w:cs="Arial"/>
          <w:noProof/>
          <w:color w:val="FF0000"/>
        </w:rPr>
        <w:t>Please use the following section: otherwise delete</w:t>
      </w:r>
    </w:p>
    <w:p w14:paraId="6B1648AF" w14:textId="77777777" w:rsidR="00917D33" w:rsidRPr="00993B55" w:rsidRDefault="00917D33" w:rsidP="00917D33">
      <w:pPr>
        <w:widowControl w:val="0"/>
        <w:ind w:left="720"/>
        <w:rPr>
          <w:rFonts w:cs="Arial"/>
          <w:noProof/>
          <w:color w:val="000000" w:themeColor="text1"/>
        </w:rPr>
      </w:pPr>
    </w:p>
    <w:p w14:paraId="50EF5663" w14:textId="77777777" w:rsidR="00917D33" w:rsidRPr="00993B55" w:rsidRDefault="00917D33" w:rsidP="00917D33">
      <w:pPr>
        <w:widowControl w:val="0"/>
        <w:ind w:left="720"/>
        <w:rPr>
          <w:rFonts w:cs="Arial"/>
          <w:noProof/>
        </w:rPr>
      </w:pPr>
      <w:r w:rsidRPr="00993B55">
        <w:rPr>
          <w:rFonts w:cs="Arial"/>
          <w:noProof/>
        </w:rPr>
        <w:t xml:space="preserve">The facility or the equipment evaluated under this project is not listed as one of the categories specified in </w:t>
      </w:r>
      <w:r w:rsidRPr="00993B55">
        <w:rPr>
          <w:bCs/>
          <w:iCs/>
        </w:rPr>
        <w:t>40 CFR 52.21 (b)(1)(i)</w:t>
      </w:r>
      <w:r>
        <w:rPr>
          <w:bCs/>
          <w:iCs/>
        </w:rPr>
        <w:t>(A)</w:t>
      </w:r>
      <w:r w:rsidRPr="00993B55">
        <w:rPr>
          <w:bCs/>
          <w:iCs/>
        </w:rPr>
        <w:t>.  Therefore</w:t>
      </w:r>
      <w:r>
        <w:rPr>
          <w:bCs/>
          <w:iCs/>
        </w:rPr>
        <w:t>,</w:t>
      </w:r>
      <w:r w:rsidRPr="00993B55">
        <w:rPr>
          <w:bCs/>
          <w:iCs/>
        </w:rPr>
        <w:t xml:space="preserve"> the PSD Major Source threshold is 250 tpy for any regulated NSR pollutant.</w:t>
      </w:r>
    </w:p>
    <w:p w14:paraId="08D1F4B3" w14:textId="77777777" w:rsidR="00917D33" w:rsidRPr="00993B55" w:rsidRDefault="00917D33" w:rsidP="00917D33">
      <w:pPr>
        <w:widowControl w:val="0"/>
        <w:ind w:left="720"/>
        <w:rPr>
          <w:rFonts w:cs="Arial"/>
          <w:noProof/>
          <w:color w:val="000000" w:themeColor="text1"/>
        </w:rPr>
      </w:pPr>
    </w:p>
    <w:tbl>
      <w:tblPr>
        <w:tblStyle w:val="TableGrid1"/>
        <w:tblW w:w="9800" w:type="dxa"/>
        <w:tblInd w:w="715" w:type="dxa"/>
        <w:tblLayout w:type="fixed"/>
        <w:tblLook w:val="04A0" w:firstRow="1" w:lastRow="0" w:firstColumn="1" w:lastColumn="0" w:noHBand="0" w:noVBand="1"/>
      </w:tblPr>
      <w:tblGrid>
        <w:gridCol w:w="4850"/>
        <w:gridCol w:w="825"/>
        <w:gridCol w:w="825"/>
        <w:gridCol w:w="825"/>
        <w:gridCol w:w="825"/>
        <w:gridCol w:w="825"/>
        <w:gridCol w:w="825"/>
      </w:tblGrid>
      <w:tr w:rsidR="00917D33" w:rsidRPr="00993B55" w14:paraId="5C46A35A" w14:textId="77777777" w:rsidTr="008841E3">
        <w:trPr>
          <w:trHeight w:val="618"/>
        </w:trPr>
        <w:tc>
          <w:tcPr>
            <w:tcW w:w="9800" w:type="dxa"/>
            <w:gridSpan w:val="7"/>
            <w:shd w:val="clear" w:color="auto" w:fill="D9D9D9" w:themeFill="background1" w:themeFillShade="D9"/>
            <w:vAlign w:val="center"/>
          </w:tcPr>
          <w:p w14:paraId="79A53D9B" w14:textId="77777777" w:rsidR="00917D33" w:rsidRPr="00993B55" w:rsidRDefault="00917D33" w:rsidP="008841E3">
            <w:pPr>
              <w:keepNext/>
              <w:widowControl w:val="0"/>
              <w:jc w:val="center"/>
              <w:rPr>
                <w:b/>
                <w:sz w:val="22"/>
                <w:szCs w:val="22"/>
              </w:rPr>
            </w:pPr>
            <w:r w:rsidRPr="00993B55">
              <w:rPr>
                <w:b/>
                <w:sz w:val="22"/>
                <w:szCs w:val="22"/>
              </w:rPr>
              <w:t>PSD Major Source Determination</w:t>
            </w:r>
          </w:p>
          <w:p w14:paraId="5339678E" w14:textId="77777777" w:rsidR="00917D33" w:rsidRPr="00993B55" w:rsidRDefault="00917D33" w:rsidP="008841E3">
            <w:pPr>
              <w:keepNext/>
              <w:widowControl w:val="0"/>
              <w:jc w:val="center"/>
              <w:rPr>
                <w:rFonts w:cs="Arial"/>
                <w:noProof/>
                <w:color w:val="000000" w:themeColor="text1"/>
                <w:sz w:val="22"/>
                <w:szCs w:val="22"/>
              </w:rPr>
            </w:pPr>
            <w:r w:rsidRPr="00993B55">
              <w:rPr>
                <w:b/>
                <w:sz w:val="22"/>
                <w:szCs w:val="22"/>
              </w:rPr>
              <w:t>(tons/year)</w:t>
            </w:r>
          </w:p>
        </w:tc>
      </w:tr>
      <w:tr w:rsidR="00917D33" w:rsidRPr="00993B55" w14:paraId="20D4BB43" w14:textId="77777777" w:rsidTr="008841E3">
        <w:trPr>
          <w:trHeight w:val="447"/>
        </w:trPr>
        <w:tc>
          <w:tcPr>
            <w:tcW w:w="4850" w:type="dxa"/>
            <w:shd w:val="clear" w:color="auto" w:fill="D9D9D9" w:themeFill="background1" w:themeFillShade="D9"/>
            <w:vAlign w:val="center"/>
          </w:tcPr>
          <w:p w14:paraId="1CF59BB3" w14:textId="77777777" w:rsidR="00917D33" w:rsidRPr="00993B55" w:rsidRDefault="00917D33" w:rsidP="008841E3">
            <w:pPr>
              <w:keepNext/>
              <w:widowControl w:val="0"/>
              <w:jc w:val="center"/>
              <w:rPr>
                <w:rFonts w:cs="Arial"/>
                <w:b/>
                <w:noProof/>
                <w:color w:val="000000" w:themeColor="text1"/>
                <w:sz w:val="22"/>
                <w:szCs w:val="22"/>
              </w:rPr>
            </w:pPr>
          </w:p>
        </w:tc>
        <w:tc>
          <w:tcPr>
            <w:tcW w:w="825" w:type="dxa"/>
            <w:shd w:val="clear" w:color="auto" w:fill="D9D9D9" w:themeFill="background1" w:themeFillShade="D9"/>
            <w:vAlign w:val="center"/>
          </w:tcPr>
          <w:p w14:paraId="1562DA00" w14:textId="77777777" w:rsidR="00917D33" w:rsidRPr="00993B55" w:rsidRDefault="00917D33" w:rsidP="008841E3">
            <w:pPr>
              <w:keepNext/>
              <w:widowControl w:val="0"/>
              <w:jc w:val="center"/>
              <w:rPr>
                <w:rFonts w:cs="Arial"/>
                <w:b/>
                <w:noProof/>
                <w:color w:val="000000" w:themeColor="text1"/>
                <w:sz w:val="22"/>
                <w:szCs w:val="22"/>
              </w:rPr>
            </w:pPr>
            <w:r w:rsidRPr="00993B55">
              <w:rPr>
                <w:rFonts w:cs="Arial"/>
                <w:b/>
                <w:noProof/>
                <w:color w:val="000000" w:themeColor="text1"/>
                <w:sz w:val="22"/>
                <w:szCs w:val="22"/>
              </w:rPr>
              <w:t>NO</w:t>
            </w:r>
            <w:r w:rsidRPr="00993B55">
              <w:rPr>
                <w:rFonts w:cs="Arial"/>
                <w:b/>
                <w:noProof/>
                <w:color w:val="000000" w:themeColor="text1"/>
                <w:sz w:val="22"/>
                <w:szCs w:val="22"/>
                <w:vertAlign w:val="subscript"/>
              </w:rPr>
              <w:t>2</w:t>
            </w:r>
          </w:p>
        </w:tc>
        <w:tc>
          <w:tcPr>
            <w:tcW w:w="825" w:type="dxa"/>
            <w:shd w:val="clear" w:color="auto" w:fill="D9D9D9" w:themeFill="background1" w:themeFillShade="D9"/>
            <w:vAlign w:val="center"/>
          </w:tcPr>
          <w:p w14:paraId="0C51FFC7" w14:textId="77777777" w:rsidR="00917D33" w:rsidRPr="00993B55" w:rsidRDefault="00917D33" w:rsidP="008841E3">
            <w:pPr>
              <w:keepNext/>
              <w:widowControl w:val="0"/>
              <w:jc w:val="center"/>
              <w:rPr>
                <w:rFonts w:cs="Arial"/>
                <w:b/>
                <w:noProof/>
                <w:color w:val="000000" w:themeColor="text1"/>
                <w:sz w:val="22"/>
                <w:szCs w:val="22"/>
              </w:rPr>
            </w:pPr>
            <w:r w:rsidRPr="00993B55">
              <w:rPr>
                <w:rFonts w:cs="Arial"/>
                <w:b/>
                <w:noProof/>
                <w:color w:val="000000" w:themeColor="text1"/>
                <w:sz w:val="22"/>
                <w:szCs w:val="22"/>
              </w:rPr>
              <w:t>VOC</w:t>
            </w:r>
          </w:p>
        </w:tc>
        <w:tc>
          <w:tcPr>
            <w:tcW w:w="825" w:type="dxa"/>
            <w:shd w:val="clear" w:color="auto" w:fill="D9D9D9" w:themeFill="background1" w:themeFillShade="D9"/>
            <w:vAlign w:val="center"/>
          </w:tcPr>
          <w:p w14:paraId="40CE3D99" w14:textId="77777777" w:rsidR="00917D33" w:rsidRPr="00993B55" w:rsidRDefault="00917D33" w:rsidP="008841E3">
            <w:pPr>
              <w:keepNext/>
              <w:widowControl w:val="0"/>
              <w:jc w:val="center"/>
              <w:rPr>
                <w:rFonts w:cs="Arial"/>
                <w:b/>
                <w:noProof/>
                <w:color w:val="000000" w:themeColor="text1"/>
                <w:sz w:val="22"/>
                <w:szCs w:val="22"/>
              </w:rPr>
            </w:pPr>
            <w:r w:rsidRPr="00993B55">
              <w:rPr>
                <w:rFonts w:cs="Arial"/>
                <w:b/>
                <w:noProof/>
                <w:color w:val="000000" w:themeColor="text1"/>
                <w:sz w:val="22"/>
                <w:szCs w:val="22"/>
              </w:rPr>
              <w:t>SO</w:t>
            </w:r>
            <w:r w:rsidRPr="00993B55">
              <w:rPr>
                <w:rFonts w:cs="Arial"/>
                <w:b/>
                <w:noProof/>
                <w:color w:val="000000" w:themeColor="text1"/>
                <w:sz w:val="22"/>
                <w:szCs w:val="22"/>
                <w:vertAlign w:val="subscript"/>
              </w:rPr>
              <w:t>2</w:t>
            </w:r>
          </w:p>
        </w:tc>
        <w:tc>
          <w:tcPr>
            <w:tcW w:w="825" w:type="dxa"/>
            <w:shd w:val="clear" w:color="auto" w:fill="D9D9D9" w:themeFill="background1" w:themeFillShade="D9"/>
            <w:vAlign w:val="center"/>
          </w:tcPr>
          <w:p w14:paraId="431DFB49" w14:textId="77777777" w:rsidR="00917D33" w:rsidRPr="00993B55" w:rsidRDefault="00917D33" w:rsidP="008841E3">
            <w:pPr>
              <w:keepNext/>
              <w:widowControl w:val="0"/>
              <w:jc w:val="center"/>
              <w:rPr>
                <w:rFonts w:cs="Arial"/>
                <w:b/>
                <w:noProof/>
                <w:color w:val="000000" w:themeColor="text1"/>
                <w:sz w:val="22"/>
                <w:szCs w:val="22"/>
              </w:rPr>
            </w:pPr>
            <w:r w:rsidRPr="00993B55">
              <w:rPr>
                <w:rFonts w:cs="Arial"/>
                <w:b/>
                <w:noProof/>
                <w:color w:val="000000" w:themeColor="text1"/>
                <w:sz w:val="22"/>
                <w:szCs w:val="22"/>
              </w:rPr>
              <w:t>CO</w:t>
            </w:r>
          </w:p>
        </w:tc>
        <w:tc>
          <w:tcPr>
            <w:tcW w:w="825" w:type="dxa"/>
            <w:shd w:val="clear" w:color="auto" w:fill="D9D9D9" w:themeFill="background1" w:themeFillShade="D9"/>
            <w:vAlign w:val="center"/>
          </w:tcPr>
          <w:p w14:paraId="703DFE27" w14:textId="77777777" w:rsidR="00917D33" w:rsidRPr="00993B55" w:rsidRDefault="00917D33" w:rsidP="008841E3">
            <w:pPr>
              <w:keepNext/>
              <w:widowControl w:val="0"/>
              <w:jc w:val="center"/>
              <w:rPr>
                <w:rFonts w:cs="Arial"/>
                <w:b/>
                <w:noProof/>
                <w:color w:val="000000" w:themeColor="text1"/>
                <w:sz w:val="22"/>
                <w:szCs w:val="22"/>
              </w:rPr>
            </w:pPr>
            <w:r w:rsidRPr="00993B55">
              <w:rPr>
                <w:rFonts w:cs="Arial"/>
                <w:b/>
                <w:noProof/>
                <w:color w:val="000000" w:themeColor="text1"/>
                <w:sz w:val="22"/>
                <w:szCs w:val="22"/>
              </w:rPr>
              <w:t>PM</w:t>
            </w:r>
            <w:r>
              <w:rPr>
                <w:rFonts w:cs="Arial"/>
                <w:b/>
                <w:noProof/>
                <w:color w:val="000000" w:themeColor="text1"/>
                <w:sz w:val="22"/>
                <w:szCs w:val="22"/>
              </w:rPr>
              <w:t>*</w:t>
            </w:r>
          </w:p>
        </w:tc>
        <w:tc>
          <w:tcPr>
            <w:tcW w:w="825" w:type="dxa"/>
            <w:shd w:val="clear" w:color="auto" w:fill="D9D9D9" w:themeFill="background1" w:themeFillShade="D9"/>
            <w:vAlign w:val="center"/>
          </w:tcPr>
          <w:p w14:paraId="154C07D2" w14:textId="77777777" w:rsidR="00917D33" w:rsidRPr="00993B55" w:rsidRDefault="00917D33" w:rsidP="008841E3">
            <w:pPr>
              <w:keepNext/>
              <w:widowControl w:val="0"/>
              <w:jc w:val="center"/>
              <w:rPr>
                <w:rFonts w:cs="Arial"/>
                <w:b/>
                <w:noProof/>
                <w:color w:val="000000" w:themeColor="text1"/>
                <w:sz w:val="22"/>
                <w:szCs w:val="22"/>
              </w:rPr>
            </w:pPr>
            <w:r w:rsidRPr="00993B55">
              <w:rPr>
                <w:rFonts w:cs="Arial"/>
                <w:b/>
                <w:noProof/>
                <w:color w:val="000000" w:themeColor="text1"/>
                <w:sz w:val="22"/>
                <w:szCs w:val="22"/>
              </w:rPr>
              <w:t>PM</w:t>
            </w:r>
            <w:r>
              <w:rPr>
                <w:rFonts w:cs="Arial"/>
                <w:b/>
                <w:noProof/>
                <w:color w:val="000000" w:themeColor="text1"/>
                <w:sz w:val="22"/>
                <w:szCs w:val="22"/>
              </w:rPr>
              <w:t>10</w:t>
            </w:r>
          </w:p>
        </w:tc>
      </w:tr>
      <w:tr w:rsidR="00917D33" w:rsidRPr="00993B55" w14:paraId="09F3D16F" w14:textId="77777777" w:rsidTr="008841E3">
        <w:trPr>
          <w:trHeight w:val="564"/>
        </w:trPr>
        <w:tc>
          <w:tcPr>
            <w:tcW w:w="4850" w:type="dxa"/>
            <w:vAlign w:val="center"/>
          </w:tcPr>
          <w:p w14:paraId="1C20C71E" w14:textId="77777777" w:rsidR="00917D33" w:rsidRPr="00993B55" w:rsidRDefault="00917D33" w:rsidP="008841E3">
            <w:pPr>
              <w:keepNext/>
              <w:widowControl w:val="0"/>
              <w:jc w:val="left"/>
              <w:rPr>
                <w:rFonts w:cs="Arial"/>
                <w:noProof/>
                <w:color w:val="000000" w:themeColor="text1"/>
                <w:sz w:val="22"/>
                <w:szCs w:val="22"/>
              </w:rPr>
            </w:pPr>
            <w:r w:rsidRPr="00993B55">
              <w:rPr>
                <w:rFonts w:cs="Arial"/>
                <w:noProof/>
                <w:color w:val="000000" w:themeColor="text1"/>
                <w:sz w:val="22"/>
                <w:szCs w:val="22"/>
              </w:rPr>
              <w:t>Estimated Facility PE before Project Increase</w:t>
            </w:r>
          </w:p>
        </w:tc>
        <w:tc>
          <w:tcPr>
            <w:tcW w:w="825" w:type="dxa"/>
            <w:vAlign w:val="center"/>
          </w:tcPr>
          <w:p w14:paraId="30839235" w14:textId="77777777" w:rsidR="00917D33" w:rsidRPr="00DF39AC" w:rsidRDefault="00917D33" w:rsidP="008841E3">
            <w:pPr>
              <w:keepNext/>
              <w:widowControl w:val="0"/>
              <w:jc w:val="center"/>
              <w:rPr>
                <w:rFonts w:cs="Arial"/>
                <w:noProof/>
                <w:color w:val="0000FF"/>
                <w:sz w:val="22"/>
                <w:szCs w:val="22"/>
              </w:rPr>
            </w:pPr>
            <w:r w:rsidRPr="00DF39AC">
              <w:rPr>
                <w:rFonts w:cs="Arial"/>
                <w:noProof/>
                <w:color w:val="0000FF"/>
                <w:sz w:val="22"/>
                <w:szCs w:val="22"/>
              </w:rPr>
              <w:t>XX</w:t>
            </w:r>
          </w:p>
        </w:tc>
        <w:tc>
          <w:tcPr>
            <w:tcW w:w="825" w:type="dxa"/>
            <w:vAlign w:val="center"/>
          </w:tcPr>
          <w:p w14:paraId="428CB998" w14:textId="77777777" w:rsidR="00917D33" w:rsidRPr="00DF39AC" w:rsidRDefault="00917D33" w:rsidP="008841E3">
            <w:pPr>
              <w:keepNext/>
              <w:widowControl w:val="0"/>
              <w:jc w:val="center"/>
              <w:rPr>
                <w:rFonts w:cs="Arial"/>
                <w:noProof/>
                <w:color w:val="0000FF"/>
                <w:sz w:val="22"/>
                <w:szCs w:val="22"/>
              </w:rPr>
            </w:pPr>
            <w:r w:rsidRPr="00DF39AC">
              <w:rPr>
                <w:rFonts w:cs="Arial"/>
                <w:noProof/>
                <w:color w:val="0000FF"/>
                <w:sz w:val="22"/>
                <w:szCs w:val="22"/>
              </w:rPr>
              <w:t>XX</w:t>
            </w:r>
          </w:p>
        </w:tc>
        <w:tc>
          <w:tcPr>
            <w:tcW w:w="825" w:type="dxa"/>
            <w:vAlign w:val="center"/>
          </w:tcPr>
          <w:p w14:paraId="2BB8DADB" w14:textId="77777777" w:rsidR="00917D33" w:rsidRPr="00DF39AC" w:rsidRDefault="00917D33" w:rsidP="008841E3">
            <w:pPr>
              <w:keepNext/>
              <w:widowControl w:val="0"/>
              <w:jc w:val="center"/>
              <w:rPr>
                <w:rFonts w:cs="Arial"/>
                <w:noProof/>
                <w:color w:val="0000FF"/>
                <w:sz w:val="22"/>
                <w:szCs w:val="22"/>
              </w:rPr>
            </w:pPr>
            <w:r w:rsidRPr="00DF39AC">
              <w:rPr>
                <w:rFonts w:cs="Arial"/>
                <w:noProof/>
                <w:color w:val="0000FF"/>
                <w:sz w:val="22"/>
                <w:szCs w:val="22"/>
              </w:rPr>
              <w:t>XX</w:t>
            </w:r>
          </w:p>
        </w:tc>
        <w:tc>
          <w:tcPr>
            <w:tcW w:w="825" w:type="dxa"/>
            <w:vAlign w:val="center"/>
          </w:tcPr>
          <w:p w14:paraId="6DB0C6D7" w14:textId="77777777" w:rsidR="00917D33" w:rsidRPr="00DF39AC" w:rsidRDefault="00917D33" w:rsidP="008841E3">
            <w:pPr>
              <w:keepNext/>
              <w:widowControl w:val="0"/>
              <w:jc w:val="center"/>
              <w:rPr>
                <w:rFonts w:cs="Arial"/>
                <w:noProof/>
                <w:color w:val="0000FF"/>
                <w:sz w:val="22"/>
                <w:szCs w:val="22"/>
              </w:rPr>
            </w:pPr>
            <w:r w:rsidRPr="00DF39AC">
              <w:rPr>
                <w:rFonts w:cs="Arial"/>
                <w:noProof/>
                <w:color w:val="0000FF"/>
                <w:sz w:val="22"/>
                <w:szCs w:val="22"/>
              </w:rPr>
              <w:t>XX</w:t>
            </w:r>
          </w:p>
        </w:tc>
        <w:tc>
          <w:tcPr>
            <w:tcW w:w="825" w:type="dxa"/>
            <w:vAlign w:val="center"/>
          </w:tcPr>
          <w:p w14:paraId="31C92AA8" w14:textId="77777777" w:rsidR="00917D33" w:rsidRPr="00DF39AC" w:rsidRDefault="00917D33" w:rsidP="008841E3">
            <w:pPr>
              <w:keepNext/>
              <w:widowControl w:val="0"/>
              <w:jc w:val="center"/>
              <w:rPr>
                <w:rFonts w:cs="Arial"/>
                <w:noProof/>
                <w:color w:val="0000FF"/>
                <w:sz w:val="22"/>
                <w:szCs w:val="22"/>
              </w:rPr>
            </w:pPr>
            <w:r w:rsidRPr="00DF39AC">
              <w:rPr>
                <w:rFonts w:cs="Arial"/>
                <w:noProof/>
                <w:color w:val="0000FF"/>
                <w:sz w:val="22"/>
                <w:szCs w:val="22"/>
              </w:rPr>
              <w:t>XX</w:t>
            </w:r>
          </w:p>
        </w:tc>
        <w:tc>
          <w:tcPr>
            <w:tcW w:w="825" w:type="dxa"/>
            <w:vAlign w:val="center"/>
          </w:tcPr>
          <w:p w14:paraId="0D762EF3" w14:textId="77777777" w:rsidR="00917D33" w:rsidRPr="00DF39AC" w:rsidRDefault="00917D33" w:rsidP="008841E3">
            <w:pPr>
              <w:keepNext/>
              <w:widowControl w:val="0"/>
              <w:jc w:val="center"/>
              <w:rPr>
                <w:rFonts w:cs="Arial"/>
                <w:noProof/>
                <w:color w:val="0000FF"/>
                <w:sz w:val="22"/>
                <w:szCs w:val="22"/>
              </w:rPr>
            </w:pPr>
            <w:r w:rsidRPr="00DF39AC">
              <w:rPr>
                <w:rFonts w:cs="Arial"/>
                <w:noProof/>
                <w:color w:val="0000FF"/>
                <w:sz w:val="22"/>
                <w:szCs w:val="22"/>
              </w:rPr>
              <w:t>XX</w:t>
            </w:r>
          </w:p>
        </w:tc>
      </w:tr>
      <w:tr w:rsidR="00917D33" w:rsidRPr="00993B55" w14:paraId="632D5EF6" w14:textId="77777777" w:rsidTr="008841E3">
        <w:trPr>
          <w:trHeight w:val="359"/>
        </w:trPr>
        <w:tc>
          <w:tcPr>
            <w:tcW w:w="4850" w:type="dxa"/>
            <w:vAlign w:val="center"/>
          </w:tcPr>
          <w:p w14:paraId="69B648CB" w14:textId="77777777" w:rsidR="00917D33" w:rsidRPr="00993B55" w:rsidRDefault="00917D33" w:rsidP="008841E3">
            <w:pPr>
              <w:keepNext/>
              <w:widowControl w:val="0"/>
              <w:jc w:val="left"/>
              <w:rPr>
                <w:rFonts w:cs="Arial"/>
                <w:noProof/>
                <w:color w:val="000000" w:themeColor="text1"/>
                <w:sz w:val="22"/>
                <w:szCs w:val="22"/>
              </w:rPr>
            </w:pPr>
            <w:r w:rsidRPr="00993B55">
              <w:rPr>
                <w:rFonts w:cs="Arial"/>
                <w:noProof/>
                <w:color w:val="000000" w:themeColor="text1"/>
                <w:sz w:val="22"/>
                <w:szCs w:val="22"/>
              </w:rPr>
              <w:t>PSD Major Source Thresholds</w:t>
            </w:r>
          </w:p>
        </w:tc>
        <w:tc>
          <w:tcPr>
            <w:tcW w:w="825" w:type="dxa"/>
            <w:vAlign w:val="center"/>
          </w:tcPr>
          <w:p w14:paraId="111379CD" w14:textId="77777777" w:rsidR="00917D33" w:rsidRPr="00993B55" w:rsidRDefault="00917D33" w:rsidP="008841E3">
            <w:pPr>
              <w:keepNext/>
              <w:widowControl w:val="0"/>
              <w:jc w:val="center"/>
              <w:rPr>
                <w:rFonts w:cs="Arial"/>
                <w:noProof/>
                <w:color w:val="000000" w:themeColor="text1"/>
                <w:sz w:val="22"/>
                <w:szCs w:val="22"/>
              </w:rPr>
            </w:pPr>
            <w:r w:rsidRPr="00993B55">
              <w:rPr>
                <w:rFonts w:cs="Arial"/>
                <w:noProof/>
                <w:color w:val="000000" w:themeColor="text1"/>
                <w:sz w:val="22"/>
                <w:szCs w:val="22"/>
              </w:rPr>
              <w:t>250</w:t>
            </w:r>
          </w:p>
        </w:tc>
        <w:tc>
          <w:tcPr>
            <w:tcW w:w="825" w:type="dxa"/>
            <w:vAlign w:val="center"/>
          </w:tcPr>
          <w:p w14:paraId="33347016" w14:textId="77777777" w:rsidR="00917D33" w:rsidRPr="00993B55" w:rsidRDefault="00917D33" w:rsidP="008841E3">
            <w:pPr>
              <w:keepNext/>
              <w:widowControl w:val="0"/>
              <w:jc w:val="center"/>
              <w:rPr>
                <w:rFonts w:cs="Arial"/>
                <w:noProof/>
                <w:color w:val="000000" w:themeColor="text1"/>
                <w:sz w:val="22"/>
                <w:szCs w:val="22"/>
              </w:rPr>
            </w:pPr>
            <w:r w:rsidRPr="00993B55">
              <w:rPr>
                <w:rFonts w:cs="Arial"/>
                <w:noProof/>
                <w:color w:val="000000" w:themeColor="text1"/>
                <w:sz w:val="22"/>
                <w:szCs w:val="22"/>
              </w:rPr>
              <w:t>250</w:t>
            </w:r>
          </w:p>
        </w:tc>
        <w:tc>
          <w:tcPr>
            <w:tcW w:w="825" w:type="dxa"/>
            <w:vAlign w:val="center"/>
          </w:tcPr>
          <w:p w14:paraId="7DBCC1D2" w14:textId="77777777" w:rsidR="00917D33" w:rsidRPr="00993B55" w:rsidRDefault="00917D33" w:rsidP="008841E3">
            <w:pPr>
              <w:keepNext/>
              <w:widowControl w:val="0"/>
              <w:jc w:val="center"/>
              <w:rPr>
                <w:rFonts w:cs="Arial"/>
                <w:noProof/>
                <w:color w:val="000000" w:themeColor="text1"/>
                <w:sz w:val="22"/>
                <w:szCs w:val="22"/>
              </w:rPr>
            </w:pPr>
            <w:r w:rsidRPr="00993B55">
              <w:rPr>
                <w:rFonts w:cs="Arial"/>
                <w:noProof/>
                <w:color w:val="000000" w:themeColor="text1"/>
                <w:sz w:val="22"/>
                <w:szCs w:val="22"/>
              </w:rPr>
              <w:t>250</w:t>
            </w:r>
          </w:p>
        </w:tc>
        <w:tc>
          <w:tcPr>
            <w:tcW w:w="825" w:type="dxa"/>
            <w:vAlign w:val="center"/>
          </w:tcPr>
          <w:p w14:paraId="4D64A095" w14:textId="77777777" w:rsidR="00917D33" w:rsidRPr="00993B55" w:rsidRDefault="00917D33" w:rsidP="008841E3">
            <w:pPr>
              <w:keepNext/>
              <w:widowControl w:val="0"/>
              <w:jc w:val="center"/>
              <w:rPr>
                <w:rFonts w:cs="Arial"/>
                <w:noProof/>
                <w:color w:val="000000" w:themeColor="text1"/>
                <w:sz w:val="22"/>
                <w:szCs w:val="22"/>
              </w:rPr>
            </w:pPr>
            <w:r w:rsidRPr="00993B55">
              <w:rPr>
                <w:rFonts w:cs="Arial"/>
                <w:noProof/>
                <w:color w:val="000000" w:themeColor="text1"/>
                <w:sz w:val="22"/>
                <w:szCs w:val="22"/>
              </w:rPr>
              <w:t>250</w:t>
            </w:r>
          </w:p>
        </w:tc>
        <w:tc>
          <w:tcPr>
            <w:tcW w:w="825" w:type="dxa"/>
            <w:vAlign w:val="center"/>
          </w:tcPr>
          <w:p w14:paraId="28714162" w14:textId="77777777" w:rsidR="00917D33" w:rsidRPr="00993B55" w:rsidRDefault="00917D33" w:rsidP="008841E3">
            <w:pPr>
              <w:keepNext/>
              <w:widowControl w:val="0"/>
              <w:jc w:val="center"/>
              <w:rPr>
                <w:rFonts w:cs="Arial"/>
                <w:noProof/>
                <w:color w:val="000000" w:themeColor="text1"/>
                <w:sz w:val="22"/>
                <w:szCs w:val="22"/>
              </w:rPr>
            </w:pPr>
            <w:r w:rsidRPr="00993B55">
              <w:rPr>
                <w:rFonts w:cs="Arial"/>
                <w:noProof/>
                <w:color w:val="000000" w:themeColor="text1"/>
                <w:sz w:val="22"/>
                <w:szCs w:val="22"/>
              </w:rPr>
              <w:t>250</w:t>
            </w:r>
          </w:p>
        </w:tc>
        <w:tc>
          <w:tcPr>
            <w:tcW w:w="825" w:type="dxa"/>
            <w:vAlign w:val="center"/>
          </w:tcPr>
          <w:p w14:paraId="1BE60A7F" w14:textId="77777777" w:rsidR="00917D33" w:rsidRPr="00993B55" w:rsidRDefault="00917D33" w:rsidP="008841E3">
            <w:pPr>
              <w:keepNext/>
              <w:widowControl w:val="0"/>
              <w:jc w:val="center"/>
              <w:rPr>
                <w:rFonts w:cs="Arial"/>
                <w:noProof/>
                <w:color w:val="000000" w:themeColor="text1"/>
                <w:sz w:val="22"/>
                <w:szCs w:val="22"/>
              </w:rPr>
            </w:pPr>
            <w:r w:rsidRPr="00993B55">
              <w:rPr>
                <w:rFonts w:cs="Arial"/>
                <w:noProof/>
                <w:color w:val="000000" w:themeColor="text1"/>
                <w:sz w:val="22"/>
                <w:szCs w:val="22"/>
              </w:rPr>
              <w:t>250</w:t>
            </w:r>
          </w:p>
        </w:tc>
      </w:tr>
      <w:tr w:rsidR="00917D33" w:rsidRPr="00993B55" w14:paraId="5CF894BA" w14:textId="77777777" w:rsidTr="008841E3">
        <w:trPr>
          <w:trHeight w:val="456"/>
        </w:trPr>
        <w:tc>
          <w:tcPr>
            <w:tcW w:w="4850" w:type="dxa"/>
            <w:shd w:val="clear" w:color="auto" w:fill="D9D9D9" w:themeFill="background1" w:themeFillShade="D9"/>
            <w:vAlign w:val="center"/>
          </w:tcPr>
          <w:p w14:paraId="5EA0DF61" w14:textId="77777777" w:rsidR="00917D33" w:rsidRPr="00505E9F" w:rsidRDefault="00917D33" w:rsidP="008841E3">
            <w:pPr>
              <w:keepNext/>
              <w:widowControl w:val="0"/>
              <w:jc w:val="left"/>
              <w:rPr>
                <w:rFonts w:cs="Arial"/>
                <w:b/>
                <w:bCs/>
                <w:noProof/>
                <w:color w:val="000000" w:themeColor="text1"/>
                <w:sz w:val="22"/>
                <w:szCs w:val="22"/>
              </w:rPr>
            </w:pPr>
            <w:r w:rsidRPr="00505E9F">
              <w:rPr>
                <w:rFonts w:cs="Arial"/>
                <w:b/>
                <w:bCs/>
                <w:noProof/>
                <w:color w:val="000000" w:themeColor="text1"/>
                <w:sz w:val="22"/>
                <w:szCs w:val="22"/>
              </w:rPr>
              <w:t>PSD Major Source?</w:t>
            </w:r>
          </w:p>
        </w:tc>
        <w:tc>
          <w:tcPr>
            <w:tcW w:w="825" w:type="dxa"/>
            <w:shd w:val="clear" w:color="auto" w:fill="D9D9D9" w:themeFill="background1" w:themeFillShade="D9"/>
            <w:vAlign w:val="center"/>
          </w:tcPr>
          <w:p w14:paraId="5CA6682D" w14:textId="77777777" w:rsidR="00917D33" w:rsidRPr="00505E9F" w:rsidRDefault="00917D33" w:rsidP="008841E3">
            <w:pPr>
              <w:keepNext/>
              <w:widowControl w:val="0"/>
              <w:jc w:val="center"/>
              <w:rPr>
                <w:b/>
                <w:bCs/>
                <w:color w:val="0000FF"/>
              </w:rPr>
            </w:pPr>
            <w:r w:rsidRPr="00505E9F">
              <w:rPr>
                <w:rFonts w:cs="Arial"/>
                <w:b/>
                <w:bCs/>
                <w:noProof/>
                <w:color w:val="0000FF"/>
                <w:sz w:val="22"/>
                <w:szCs w:val="22"/>
              </w:rPr>
              <w:t>No</w:t>
            </w:r>
          </w:p>
        </w:tc>
        <w:tc>
          <w:tcPr>
            <w:tcW w:w="825" w:type="dxa"/>
            <w:shd w:val="clear" w:color="auto" w:fill="D9D9D9" w:themeFill="background1" w:themeFillShade="D9"/>
            <w:vAlign w:val="center"/>
          </w:tcPr>
          <w:p w14:paraId="76F75B50" w14:textId="77777777" w:rsidR="00917D33" w:rsidRPr="00505E9F" w:rsidRDefault="00917D33" w:rsidP="008841E3">
            <w:pPr>
              <w:keepNext/>
              <w:widowControl w:val="0"/>
              <w:jc w:val="center"/>
              <w:rPr>
                <w:b/>
                <w:bCs/>
                <w:color w:val="0000FF"/>
              </w:rPr>
            </w:pPr>
            <w:r w:rsidRPr="00505E9F">
              <w:rPr>
                <w:rFonts w:cs="Arial"/>
                <w:b/>
                <w:bCs/>
                <w:noProof/>
                <w:color w:val="0000FF"/>
                <w:sz w:val="22"/>
                <w:szCs w:val="22"/>
              </w:rPr>
              <w:t>No</w:t>
            </w:r>
          </w:p>
        </w:tc>
        <w:tc>
          <w:tcPr>
            <w:tcW w:w="825" w:type="dxa"/>
            <w:shd w:val="clear" w:color="auto" w:fill="D9D9D9" w:themeFill="background1" w:themeFillShade="D9"/>
            <w:vAlign w:val="center"/>
          </w:tcPr>
          <w:p w14:paraId="0A770B85" w14:textId="77777777" w:rsidR="00917D33" w:rsidRPr="00505E9F" w:rsidRDefault="00917D33" w:rsidP="008841E3">
            <w:pPr>
              <w:keepNext/>
              <w:widowControl w:val="0"/>
              <w:jc w:val="center"/>
              <w:rPr>
                <w:b/>
                <w:bCs/>
                <w:color w:val="0000FF"/>
              </w:rPr>
            </w:pPr>
            <w:r w:rsidRPr="00505E9F">
              <w:rPr>
                <w:rFonts w:cs="Arial"/>
                <w:b/>
                <w:bCs/>
                <w:noProof/>
                <w:color w:val="0000FF"/>
                <w:sz w:val="22"/>
                <w:szCs w:val="22"/>
              </w:rPr>
              <w:t>No</w:t>
            </w:r>
          </w:p>
        </w:tc>
        <w:tc>
          <w:tcPr>
            <w:tcW w:w="825" w:type="dxa"/>
            <w:shd w:val="clear" w:color="auto" w:fill="D9D9D9" w:themeFill="background1" w:themeFillShade="D9"/>
            <w:vAlign w:val="center"/>
          </w:tcPr>
          <w:p w14:paraId="14019FBF" w14:textId="77777777" w:rsidR="00917D33" w:rsidRPr="00505E9F" w:rsidRDefault="00917D33" w:rsidP="008841E3">
            <w:pPr>
              <w:keepNext/>
              <w:widowControl w:val="0"/>
              <w:jc w:val="center"/>
              <w:rPr>
                <w:b/>
                <w:bCs/>
                <w:color w:val="0000FF"/>
              </w:rPr>
            </w:pPr>
            <w:r w:rsidRPr="00505E9F">
              <w:rPr>
                <w:rFonts w:cs="Arial"/>
                <w:b/>
                <w:bCs/>
                <w:noProof/>
                <w:color w:val="0000FF"/>
                <w:sz w:val="22"/>
                <w:szCs w:val="22"/>
              </w:rPr>
              <w:t>No</w:t>
            </w:r>
          </w:p>
        </w:tc>
        <w:tc>
          <w:tcPr>
            <w:tcW w:w="825" w:type="dxa"/>
            <w:shd w:val="clear" w:color="auto" w:fill="D9D9D9" w:themeFill="background1" w:themeFillShade="D9"/>
            <w:vAlign w:val="center"/>
          </w:tcPr>
          <w:p w14:paraId="1D5A1F3B" w14:textId="77777777" w:rsidR="00917D33" w:rsidRPr="00505E9F" w:rsidRDefault="00917D33" w:rsidP="008841E3">
            <w:pPr>
              <w:keepNext/>
              <w:widowControl w:val="0"/>
              <w:jc w:val="center"/>
              <w:rPr>
                <w:b/>
                <w:bCs/>
                <w:color w:val="0000FF"/>
              </w:rPr>
            </w:pPr>
            <w:r w:rsidRPr="00505E9F">
              <w:rPr>
                <w:rFonts w:cs="Arial"/>
                <w:b/>
                <w:bCs/>
                <w:noProof/>
                <w:color w:val="0000FF"/>
                <w:sz w:val="22"/>
                <w:szCs w:val="22"/>
              </w:rPr>
              <w:t>No</w:t>
            </w:r>
          </w:p>
        </w:tc>
        <w:tc>
          <w:tcPr>
            <w:tcW w:w="825" w:type="dxa"/>
            <w:shd w:val="clear" w:color="auto" w:fill="D9D9D9" w:themeFill="background1" w:themeFillShade="D9"/>
            <w:vAlign w:val="center"/>
          </w:tcPr>
          <w:p w14:paraId="256CE0CB" w14:textId="77777777" w:rsidR="00917D33" w:rsidRPr="00505E9F" w:rsidRDefault="00917D33" w:rsidP="008841E3">
            <w:pPr>
              <w:keepNext/>
              <w:widowControl w:val="0"/>
              <w:jc w:val="center"/>
              <w:rPr>
                <w:b/>
                <w:bCs/>
                <w:color w:val="0000FF"/>
              </w:rPr>
            </w:pPr>
            <w:r w:rsidRPr="00505E9F">
              <w:rPr>
                <w:rFonts w:cs="Arial"/>
                <w:b/>
                <w:bCs/>
                <w:noProof/>
                <w:color w:val="0000FF"/>
                <w:sz w:val="22"/>
                <w:szCs w:val="22"/>
              </w:rPr>
              <w:t>No</w:t>
            </w:r>
          </w:p>
        </w:tc>
      </w:tr>
    </w:tbl>
    <w:p w14:paraId="476E7A43" w14:textId="77777777" w:rsidR="00917D33" w:rsidRPr="00507E94" w:rsidRDefault="00917D33" w:rsidP="00917D33">
      <w:pPr>
        <w:widowControl w:val="0"/>
        <w:ind w:left="720"/>
        <w:rPr>
          <w:rFonts w:cs="Arial"/>
          <w:noProof/>
          <w:color w:val="000000" w:themeColor="text1"/>
          <w:sz w:val="20"/>
        </w:rPr>
      </w:pPr>
      <w:r w:rsidRPr="005F3BBC">
        <w:rPr>
          <w:rFonts w:cs="Arial"/>
          <w:noProof/>
          <w:color w:val="000000" w:themeColor="text1"/>
          <w:sz w:val="20"/>
        </w:rPr>
        <w:t>*PM assumed to be equal to PM10.</w:t>
      </w:r>
    </w:p>
    <w:p w14:paraId="74553C3F" w14:textId="77777777" w:rsidR="00917D33" w:rsidRDefault="00917D33" w:rsidP="00917D33">
      <w:pPr>
        <w:widowControl w:val="0"/>
        <w:ind w:left="720"/>
        <w:rPr>
          <w:rFonts w:cs="Arial"/>
          <w:noProof/>
          <w:color w:val="FF0000"/>
        </w:rPr>
      </w:pPr>
    </w:p>
    <w:p w14:paraId="04F529E9" w14:textId="77777777" w:rsidR="00917D33" w:rsidRPr="00993B55" w:rsidRDefault="00917D33" w:rsidP="00917D33">
      <w:pPr>
        <w:widowControl w:val="0"/>
        <w:ind w:left="720"/>
        <w:rPr>
          <w:rFonts w:cs="Arial"/>
          <w:noProof/>
          <w:color w:val="FF0000"/>
        </w:rPr>
      </w:pPr>
      <w:r w:rsidRPr="00993B55">
        <w:rPr>
          <w:rFonts w:cs="Arial"/>
          <w:noProof/>
          <w:color w:val="FF0000"/>
        </w:rPr>
        <w:t>Please note once it is determined that a facility is a PSD major source for one pollutant, it is not necessary to determine if the facility is a PSD major source for any other pollutants.</w:t>
      </w:r>
    </w:p>
    <w:p w14:paraId="4C558E36" w14:textId="77777777" w:rsidR="00917D33" w:rsidRPr="00993B55" w:rsidRDefault="00917D33" w:rsidP="00917D33">
      <w:pPr>
        <w:widowControl w:val="0"/>
        <w:ind w:left="720"/>
        <w:rPr>
          <w:rFonts w:cs="Arial"/>
          <w:noProof/>
          <w:color w:val="000000" w:themeColor="text1"/>
        </w:rPr>
      </w:pPr>
    </w:p>
    <w:p w14:paraId="093D7ACC" w14:textId="77777777" w:rsidR="00917D33" w:rsidRPr="00993B55" w:rsidRDefault="00917D33" w:rsidP="00917D33">
      <w:pPr>
        <w:widowControl w:val="0"/>
        <w:ind w:left="720"/>
        <w:rPr>
          <w:rFonts w:cs="Arial"/>
          <w:noProof/>
        </w:rPr>
      </w:pPr>
      <w:r w:rsidRPr="00993B55">
        <w:rPr>
          <w:rFonts w:cs="Arial"/>
          <w:noProof/>
        </w:rPr>
        <w:t xml:space="preserve">As shown above, the facility is an existing PSD major source for at least one pollutant.  </w:t>
      </w:r>
    </w:p>
    <w:p w14:paraId="169C9B09" w14:textId="77777777" w:rsidR="00917D33" w:rsidRDefault="00917D33" w:rsidP="00917D33">
      <w:pPr>
        <w:widowControl w:val="0"/>
        <w:ind w:left="720"/>
        <w:rPr>
          <w:rFonts w:cs="Arial"/>
          <w:noProof/>
          <w:color w:val="FF0000"/>
        </w:rPr>
      </w:pPr>
    </w:p>
    <w:p w14:paraId="10F46138" w14:textId="77777777" w:rsidR="00917D33" w:rsidRDefault="00917D33" w:rsidP="00917D33">
      <w:pPr>
        <w:widowControl w:val="0"/>
        <w:ind w:left="720"/>
        <w:rPr>
          <w:rFonts w:cs="Arial"/>
          <w:noProof/>
          <w:color w:val="FF0000"/>
        </w:rPr>
      </w:pPr>
      <w:r w:rsidRPr="00993B55">
        <w:rPr>
          <w:rFonts w:cs="Arial"/>
          <w:noProof/>
          <w:color w:val="FF0000"/>
        </w:rPr>
        <w:t>OR</w:t>
      </w:r>
    </w:p>
    <w:p w14:paraId="0A42569F" w14:textId="77777777" w:rsidR="00917D33" w:rsidRPr="00993B55" w:rsidRDefault="00917D33" w:rsidP="00917D33">
      <w:pPr>
        <w:widowControl w:val="0"/>
        <w:ind w:left="720"/>
        <w:rPr>
          <w:rFonts w:cs="Arial"/>
          <w:noProof/>
          <w:color w:val="FF0000"/>
        </w:rPr>
      </w:pPr>
    </w:p>
    <w:p w14:paraId="2E01CADC" w14:textId="77777777" w:rsidR="00917D33" w:rsidRPr="00993B55" w:rsidRDefault="00917D33" w:rsidP="00917D33">
      <w:pPr>
        <w:widowControl w:val="0"/>
        <w:ind w:left="720"/>
        <w:rPr>
          <w:rFonts w:cs="Arial"/>
          <w:noProof/>
        </w:rPr>
      </w:pPr>
      <w:r w:rsidRPr="00993B55">
        <w:rPr>
          <w:rFonts w:cs="Arial"/>
          <w:noProof/>
        </w:rPr>
        <w:t>As shown above, the facility is not an existing PSD major source for any regulated NSR pollutant expected to be emitted at this facility.</w:t>
      </w:r>
    </w:p>
    <w:p w14:paraId="61681921" w14:textId="7198EF83" w:rsidR="00917D33" w:rsidRPr="00C6050F" w:rsidRDefault="00917D33" w:rsidP="007A60F3">
      <w:pPr>
        <w:widowControl w:val="0"/>
        <w:autoSpaceDE w:val="0"/>
        <w:autoSpaceDN w:val="0"/>
        <w:adjustRightInd w:val="0"/>
        <w:ind w:left="720"/>
        <w:rPr>
          <w:rFonts w:cs="Arial"/>
          <w:noProof/>
          <w:color w:val="FF0000"/>
          <w:szCs w:val="24"/>
        </w:rPr>
      </w:pPr>
    </w:p>
    <w:p w14:paraId="13295D58" w14:textId="77777777" w:rsidR="00917D33" w:rsidRPr="00C6050F" w:rsidRDefault="00917D33" w:rsidP="007A60F3">
      <w:pPr>
        <w:widowControl w:val="0"/>
        <w:autoSpaceDE w:val="0"/>
        <w:autoSpaceDN w:val="0"/>
        <w:adjustRightInd w:val="0"/>
        <w:ind w:left="720"/>
        <w:rPr>
          <w:rFonts w:cs="Arial"/>
          <w:noProof/>
          <w:color w:val="FF0000"/>
          <w:szCs w:val="24"/>
        </w:rPr>
      </w:pPr>
    </w:p>
    <w:p w14:paraId="6FBE673A" w14:textId="2C4CA7AF" w:rsidR="004A05BA" w:rsidRPr="00993B55" w:rsidRDefault="004A05BA" w:rsidP="004A05BA">
      <w:pPr>
        <w:widowControl w:val="0"/>
        <w:ind w:left="720"/>
        <w:rPr>
          <w:rFonts w:cs="Arial"/>
          <w:b/>
          <w:noProof/>
        </w:rPr>
      </w:pPr>
      <w:r w:rsidRPr="00993B55">
        <w:rPr>
          <w:b/>
          <w:i/>
          <w:iCs/>
          <w:color w:val="0000FF"/>
          <w:u w:val="single"/>
        </w:rPr>
        <w:t>Example (</w:t>
      </w:r>
      <w:r w:rsidR="00917D33">
        <w:rPr>
          <w:b/>
          <w:i/>
          <w:iCs/>
          <w:color w:val="0000FF"/>
          <w:u w:val="single"/>
        </w:rPr>
        <w:t>b</w:t>
      </w:r>
      <w:r w:rsidRPr="00993B55">
        <w:rPr>
          <w:b/>
          <w:i/>
          <w:iCs/>
          <w:color w:val="0000FF"/>
          <w:u w:val="single"/>
        </w:rPr>
        <w:t>)</w:t>
      </w:r>
      <w:r w:rsidRPr="00993B55">
        <w:rPr>
          <w:b/>
          <w:i/>
          <w:iCs/>
          <w:color w:val="0000FF"/>
        </w:rPr>
        <w:t>:</w:t>
      </w:r>
    </w:p>
    <w:p w14:paraId="7D176745" w14:textId="77777777" w:rsidR="000177D5" w:rsidRPr="00792E2E" w:rsidRDefault="000177D5" w:rsidP="007A60F3">
      <w:pPr>
        <w:widowControl w:val="0"/>
        <w:autoSpaceDE w:val="0"/>
        <w:autoSpaceDN w:val="0"/>
        <w:adjustRightInd w:val="0"/>
        <w:ind w:left="720"/>
        <w:rPr>
          <w:rFonts w:cs="Arial"/>
          <w:noProof/>
          <w:color w:val="FF0000"/>
          <w:szCs w:val="24"/>
        </w:rPr>
      </w:pPr>
    </w:p>
    <w:p w14:paraId="05E1C99E" w14:textId="5ACAED80" w:rsidR="000177D5" w:rsidRPr="00993B55" w:rsidRDefault="000177D5" w:rsidP="007A60F3">
      <w:pPr>
        <w:widowControl w:val="0"/>
        <w:ind w:left="720"/>
        <w:rPr>
          <w:bCs/>
          <w:iCs/>
          <w:color w:val="FF0000"/>
        </w:rPr>
      </w:pPr>
      <w:r w:rsidRPr="00993B55">
        <w:rPr>
          <w:rFonts w:cs="Arial"/>
          <w:noProof/>
          <w:color w:val="FF0000"/>
          <w:u w:val="single"/>
        </w:rPr>
        <w:t xml:space="preserve">Facility or equipment evaluated under this project listed as one of the categories specified in </w:t>
      </w:r>
      <w:r w:rsidRPr="00993B55">
        <w:rPr>
          <w:bCs/>
          <w:iCs/>
          <w:color w:val="FF0000"/>
          <w:u w:val="single"/>
        </w:rPr>
        <w:t>40 CFR 52.21 (b)(1)(i)</w:t>
      </w:r>
      <w:r w:rsidR="00137E2A">
        <w:rPr>
          <w:bCs/>
          <w:iCs/>
          <w:color w:val="FF0000"/>
          <w:u w:val="single"/>
        </w:rPr>
        <w:t>(A)</w:t>
      </w:r>
    </w:p>
    <w:p w14:paraId="42005624" w14:textId="77777777" w:rsidR="000177D5" w:rsidRPr="00993B55" w:rsidRDefault="000177D5" w:rsidP="007A60F3">
      <w:pPr>
        <w:widowControl w:val="0"/>
        <w:ind w:left="720"/>
        <w:rPr>
          <w:rFonts w:cs="Arial"/>
          <w:noProof/>
          <w:color w:val="FF0000"/>
        </w:rPr>
      </w:pPr>
      <w:r w:rsidRPr="00993B55">
        <w:rPr>
          <w:rFonts w:cs="Arial"/>
          <w:noProof/>
          <w:color w:val="FF0000"/>
        </w:rPr>
        <w:t>Please use the following section: otherwise delete.</w:t>
      </w:r>
    </w:p>
    <w:p w14:paraId="21F56F35" w14:textId="77777777" w:rsidR="000177D5" w:rsidRPr="00993B55" w:rsidRDefault="000177D5" w:rsidP="007A60F3">
      <w:pPr>
        <w:widowControl w:val="0"/>
        <w:ind w:left="720"/>
        <w:rPr>
          <w:rFonts w:cs="Arial"/>
          <w:noProof/>
        </w:rPr>
      </w:pPr>
    </w:p>
    <w:p w14:paraId="32CC6E65" w14:textId="360636D8" w:rsidR="000177D5" w:rsidRPr="00993B55" w:rsidRDefault="000177D5" w:rsidP="007A60F3">
      <w:pPr>
        <w:widowControl w:val="0"/>
        <w:ind w:left="720"/>
        <w:rPr>
          <w:bCs/>
          <w:iCs/>
        </w:rPr>
      </w:pPr>
      <w:r w:rsidRPr="00993B55">
        <w:rPr>
          <w:rFonts w:cs="Arial"/>
          <w:noProof/>
        </w:rPr>
        <w:t xml:space="preserve">The facility or the equipment evaluated under this project is listed as one of the categories specified in </w:t>
      </w:r>
      <w:r w:rsidRPr="00993B55">
        <w:rPr>
          <w:bCs/>
          <w:iCs/>
        </w:rPr>
        <w:t>40 CFR 52.21 (b)(1)(i)</w:t>
      </w:r>
      <w:r w:rsidR="00137E2A">
        <w:rPr>
          <w:bCs/>
          <w:iCs/>
        </w:rPr>
        <w:t>(A)</w:t>
      </w:r>
      <w:r w:rsidRPr="00993B55">
        <w:rPr>
          <w:bCs/>
          <w:iCs/>
        </w:rPr>
        <w:t>.  Therefore</w:t>
      </w:r>
      <w:r w:rsidR="00137E2A">
        <w:rPr>
          <w:bCs/>
          <w:iCs/>
        </w:rPr>
        <w:t>,</w:t>
      </w:r>
      <w:r w:rsidRPr="00993B55">
        <w:rPr>
          <w:bCs/>
          <w:iCs/>
        </w:rPr>
        <w:t xml:space="preserve"> the PSD Major Source threshold is 100 tpy for any regulated NSR pollutant.</w:t>
      </w:r>
    </w:p>
    <w:p w14:paraId="67B3EF15" w14:textId="77777777" w:rsidR="000177D5" w:rsidRPr="00993B55" w:rsidRDefault="000177D5" w:rsidP="007A60F3">
      <w:pPr>
        <w:widowControl w:val="0"/>
        <w:ind w:left="720"/>
        <w:rPr>
          <w:rFonts w:cs="Arial"/>
          <w:noProof/>
        </w:rPr>
      </w:pPr>
    </w:p>
    <w:tbl>
      <w:tblPr>
        <w:tblStyle w:val="TableGrid1"/>
        <w:tblW w:w="9800" w:type="dxa"/>
        <w:tblInd w:w="715" w:type="dxa"/>
        <w:tblLayout w:type="fixed"/>
        <w:tblLook w:val="04A0" w:firstRow="1" w:lastRow="0" w:firstColumn="1" w:lastColumn="0" w:noHBand="0" w:noVBand="1"/>
      </w:tblPr>
      <w:tblGrid>
        <w:gridCol w:w="4760"/>
        <w:gridCol w:w="840"/>
        <w:gridCol w:w="840"/>
        <w:gridCol w:w="840"/>
        <w:gridCol w:w="840"/>
        <w:gridCol w:w="840"/>
        <w:gridCol w:w="840"/>
      </w:tblGrid>
      <w:tr w:rsidR="000177D5" w:rsidRPr="00993B55" w14:paraId="208CCF02" w14:textId="77777777" w:rsidTr="00E9157E">
        <w:trPr>
          <w:trHeight w:val="609"/>
        </w:trPr>
        <w:tc>
          <w:tcPr>
            <w:tcW w:w="9800" w:type="dxa"/>
            <w:gridSpan w:val="7"/>
            <w:shd w:val="clear" w:color="auto" w:fill="D9D9D9" w:themeFill="background1" w:themeFillShade="D9"/>
            <w:vAlign w:val="center"/>
          </w:tcPr>
          <w:p w14:paraId="7CE7E306" w14:textId="77777777" w:rsidR="000177D5" w:rsidRPr="00993B55" w:rsidRDefault="000177D5" w:rsidP="00F744FE">
            <w:pPr>
              <w:keepNext/>
              <w:widowControl w:val="0"/>
              <w:jc w:val="center"/>
              <w:rPr>
                <w:b/>
                <w:sz w:val="22"/>
                <w:szCs w:val="22"/>
              </w:rPr>
            </w:pPr>
            <w:r w:rsidRPr="00993B55">
              <w:rPr>
                <w:rFonts w:cs="Arial"/>
                <w:noProof/>
                <w:color w:val="000000" w:themeColor="text1"/>
                <w:sz w:val="22"/>
                <w:szCs w:val="22"/>
              </w:rPr>
              <w:lastRenderedPageBreak/>
              <w:br w:type="page"/>
            </w:r>
            <w:r w:rsidRPr="00993B55">
              <w:rPr>
                <w:b/>
                <w:sz w:val="22"/>
                <w:szCs w:val="22"/>
              </w:rPr>
              <w:t>PSD Major Source Determination</w:t>
            </w:r>
          </w:p>
          <w:p w14:paraId="66FD5AAF" w14:textId="77777777" w:rsidR="000177D5" w:rsidRPr="00993B55" w:rsidRDefault="000177D5" w:rsidP="00F744FE">
            <w:pPr>
              <w:keepNext/>
              <w:widowControl w:val="0"/>
              <w:jc w:val="center"/>
              <w:rPr>
                <w:rFonts w:cs="Arial"/>
                <w:noProof/>
                <w:color w:val="000000" w:themeColor="text1"/>
                <w:sz w:val="22"/>
                <w:szCs w:val="22"/>
              </w:rPr>
            </w:pPr>
            <w:r w:rsidRPr="00993B55">
              <w:rPr>
                <w:b/>
                <w:sz w:val="22"/>
                <w:szCs w:val="22"/>
              </w:rPr>
              <w:t>(tons/year)</w:t>
            </w:r>
          </w:p>
        </w:tc>
      </w:tr>
      <w:tr w:rsidR="000177D5" w:rsidRPr="00993B55" w14:paraId="2FFE15FE" w14:textId="77777777" w:rsidTr="00CC160F">
        <w:trPr>
          <w:trHeight w:val="447"/>
        </w:trPr>
        <w:tc>
          <w:tcPr>
            <w:tcW w:w="4760" w:type="dxa"/>
            <w:shd w:val="clear" w:color="auto" w:fill="D9D9D9" w:themeFill="background1" w:themeFillShade="D9"/>
            <w:vAlign w:val="center"/>
          </w:tcPr>
          <w:p w14:paraId="54EE34A0" w14:textId="77777777" w:rsidR="000177D5" w:rsidRPr="00993B55" w:rsidRDefault="000177D5" w:rsidP="00F744FE">
            <w:pPr>
              <w:keepNext/>
              <w:widowControl w:val="0"/>
              <w:jc w:val="center"/>
              <w:rPr>
                <w:rFonts w:cs="Arial"/>
                <w:b/>
                <w:noProof/>
                <w:color w:val="000000" w:themeColor="text1"/>
                <w:sz w:val="22"/>
                <w:szCs w:val="22"/>
              </w:rPr>
            </w:pPr>
          </w:p>
        </w:tc>
        <w:tc>
          <w:tcPr>
            <w:tcW w:w="840" w:type="dxa"/>
            <w:shd w:val="clear" w:color="auto" w:fill="D9D9D9" w:themeFill="background1" w:themeFillShade="D9"/>
            <w:vAlign w:val="center"/>
          </w:tcPr>
          <w:p w14:paraId="5165C11B" w14:textId="77777777" w:rsidR="000177D5" w:rsidRPr="00993B55" w:rsidRDefault="000177D5" w:rsidP="00F744FE">
            <w:pPr>
              <w:keepNext/>
              <w:widowControl w:val="0"/>
              <w:jc w:val="center"/>
              <w:rPr>
                <w:rFonts w:cs="Arial"/>
                <w:b/>
                <w:noProof/>
                <w:color w:val="000000" w:themeColor="text1"/>
                <w:sz w:val="22"/>
                <w:szCs w:val="22"/>
              </w:rPr>
            </w:pPr>
            <w:r w:rsidRPr="00993B55">
              <w:rPr>
                <w:rFonts w:cs="Arial"/>
                <w:b/>
                <w:noProof/>
                <w:color w:val="000000" w:themeColor="text1"/>
                <w:sz w:val="22"/>
                <w:szCs w:val="22"/>
              </w:rPr>
              <w:t>NO</w:t>
            </w:r>
            <w:r w:rsidRPr="00993B55">
              <w:rPr>
                <w:rFonts w:cs="Arial"/>
                <w:b/>
                <w:noProof/>
                <w:color w:val="000000" w:themeColor="text1"/>
                <w:sz w:val="22"/>
                <w:szCs w:val="22"/>
                <w:vertAlign w:val="subscript"/>
              </w:rPr>
              <w:t>2</w:t>
            </w:r>
          </w:p>
        </w:tc>
        <w:tc>
          <w:tcPr>
            <w:tcW w:w="840" w:type="dxa"/>
            <w:shd w:val="clear" w:color="auto" w:fill="D9D9D9" w:themeFill="background1" w:themeFillShade="D9"/>
            <w:vAlign w:val="center"/>
          </w:tcPr>
          <w:p w14:paraId="47AE00A0" w14:textId="77777777" w:rsidR="000177D5" w:rsidRPr="00993B55" w:rsidRDefault="000177D5" w:rsidP="00F744FE">
            <w:pPr>
              <w:keepNext/>
              <w:widowControl w:val="0"/>
              <w:jc w:val="center"/>
              <w:rPr>
                <w:rFonts w:cs="Arial"/>
                <w:b/>
                <w:noProof/>
                <w:color w:val="000000" w:themeColor="text1"/>
                <w:sz w:val="22"/>
                <w:szCs w:val="22"/>
              </w:rPr>
            </w:pPr>
            <w:r w:rsidRPr="00993B55">
              <w:rPr>
                <w:rFonts w:cs="Arial"/>
                <w:b/>
                <w:noProof/>
                <w:color w:val="000000" w:themeColor="text1"/>
                <w:sz w:val="22"/>
                <w:szCs w:val="22"/>
              </w:rPr>
              <w:t>VOC</w:t>
            </w:r>
          </w:p>
        </w:tc>
        <w:tc>
          <w:tcPr>
            <w:tcW w:w="840" w:type="dxa"/>
            <w:shd w:val="clear" w:color="auto" w:fill="D9D9D9" w:themeFill="background1" w:themeFillShade="D9"/>
            <w:vAlign w:val="center"/>
          </w:tcPr>
          <w:p w14:paraId="795ACF77" w14:textId="77777777" w:rsidR="000177D5" w:rsidRPr="00993B55" w:rsidRDefault="000177D5" w:rsidP="00F744FE">
            <w:pPr>
              <w:keepNext/>
              <w:widowControl w:val="0"/>
              <w:jc w:val="center"/>
              <w:rPr>
                <w:rFonts w:cs="Arial"/>
                <w:b/>
                <w:noProof/>
                <w:color w:val="000000" w:themeColor="text1"/>
                <w:sz w:val="22"/>
                <w:szCs w:val="22"/>
              </w:rPr>
            </w:pPr>
            <w:r w:rsidRPr="00993B55">
              <w:rPr>
                <w:rFonts w:cs="Arial"/>
                <w:b/>
                <w:noProof/>
                <w:color w:val="000000" w:themeColor="text1"/>
                <w:sz w:val="22"/>
                <w:szCs w:val="22"/>
              </w:rPr>
              <w:t>SO</w:t>
            </w:r>
            <w:r w:rsidRPr="00993B55">
              <w:rPr>
                <w:rFonts w:cs="Arial"/>
                <w:b/>
                <w:noProof/>
                <w:color w:val="000000" w:themeColor="text1"/>
                <w:sz w:val="22"/>
                <w:szCs w:val="22"/>
                <w:vertAlign w:val="subscript"/>
              </w:rPr>
              <w:t>2</w:t>
            </w:r>
          </w:p>
        </w:tc>
        <w:tc>
          <w:tcPr>
            <w:tcW w:w="840" w:type="dxa"/>
            <w:shd w:val="clear" w:color="auto" w:fill="D9D9D9" w:themeFill="background1" w:themeFillShade="D9"/>
            <w:vAlign w:val="center"/>
          </w:tcPr>
          <w:p w14:paraId="2BD6042A" w14:textId="77777777" w:rsidR="000177D5" w:rsidRPr="00993B55" w:rsidRDefault="000177D5" w:rsidP="00F744FE">
            <w:pPr>
              <w:keepNext/>
              <w:widowControl w:val="0"/>
              <w:jc w:val="center"/>
              <w:rPr>
                <w:rFonts w:cs="Arial"/>
                <w:b/>
                <w:noProof/>
                <w:color w:val="000000" w:themeColor="text1"/>
                <w:sz w:val="22"/>
                <w:szCs w:val="22"/>
              </w:rPr>
            </w:pPr>
            <w:r w:rsidRPr="00993B55">
              <w:rPr>
                <w:rFonts w:cs="Arial"/>
                <w:b/>
                <w:noProof/>
                <w:color w:val="000000" w:themeColor="text1"/>
                <w:sz w:val="22"/>
                <w:szCs w:val="22"/>
              </w:rPr>
              <w:t>CO</w:t>
            </w:r>
          </w:p>
        </w:tc>
        <w:tc>
          <w:tcPr>
            <w:tcW w:w="840" w:type="dxa"/>
            <w:shd w:val="clear" w:color="auto" w:fill="D9D9D9" w:themeFill="background1" w:themeFillShade="D9"/>
            <w:vAlign w:val="center"/>
          </w:tcPr>
          <w:p w14:paraId="4C6A8384" w14:textId="1F9DC4CC" w:rsidR="000177D5" w:rsidRPr="00993B55" w:rsidRDefault="000177D5" w:rsidP="00F744FE">
            <w:pPr>
              <w:keepNext/>
              <w:widowControl w:val="0"/>
              <w:jc w:val="center"/>
              <w:rPr>
                <w:rFonts w:cs="Arial"/>
                <w:b/>
                <w:noProof/>
                <w:color w:val="000000" w:themeColor="text1"/>
                <w:sz w:val="22"/>
                <w:szCs w:val="22"/>
              </w:rPr>
            </w:pPr>
            <w:r w:rsidRPr="00993B55">
              <w:rPr>
                <w:rFonts w:cs="Arial"/>
                <w:b/>
                <w:noProof/>
                <w:color w:val="000000" w:themeColor="text1"/>
                <w:sz w:val="22"/>
                <w:szCs w:val="22"/>
              </w:rPr>
              <w:t>PM</w:t>
            </w:r>
            <w:r w:rsidR="00507E94">
              <w:rPr>
                <w:rFonts w:cs="Arial"/>
                <w:b/>
                <w:noProof/>
                <w:color w:val="000000" w:themeColor="text1"/>
                <w:sz w:val="22"/>
                <w:szCs w:val="22"/>
              </w:rPr>
              <w:t>*</w:t>
            </w:r>
          </w:p>
        </w:tc>
        <w:tc>
          <w:tcPr>
            <w:tcW w:w="840" w:type="dxa"/>
            <w:shd w:val="clear" w:color="auto" w:fill="D9D9D9" w:themeFill="background1" w:themeFillShade="D9"/>
            <w:vAlign w:val="center"/>
          </w:tcPr>
          <w:p w14:paraId="2D444B00" w14:textId="71632363" w:rsidR="000177D5" w:rsidRPr="00993B55" w:rsidRDefault="000177D5" w:rsidP="00F744FE">
            <w:pPr>
              <w:keepNext/>
              <w:widowControl w:val="0"/>
              <w:jc w:val="center"/>
              <w:rPr>
                <w:rFonts w:cs="Arial"/>
                <w:b/>
                <w:noProof/>
                <w:color w:val="000000" w:themeColor="text1"/>
                <w:sz w:val="22"/>
                <w:szCs w:val="22"/>
              </w:rPr>
            </w:pPr>
            <w:r w:rsidRPr="00993B55">
              <w:rPr>
                <w:rFonts w:cs="Arial"/>
                <w:b/>
                <w:noProof/>
                <w:color w:val="000000" w:themeColor="text1"/>
                <w:sz w:val="22"/>
                <w:szCs w:val="22"/>
              </w:rPr>
              <w:t>PM</w:t>
            </w:r>
            <w:r w:rsidR="008578CE">
              <w:rPr>
                <w:rFonts w:cs="Arial"/>
                <w:b/>
                <w:noProof/>
                <w:color w:val="000000" w:themeColor="text1"/>
                <w:sz w:val="22"/>
                <w:szCs w:val="22"/>
              </w:rPr>
              <w:t>10</w:t>
            </w:r>
          </w:p>
        </w:tc>
      </w:tr>
      <w:tr w:rsidR="000177D5" w:rsidRPr="00993B55" w14:paraId="1D045E10" w14:textId="77777777" w:rsidTr="00CC160F">
        <w:trPr>
          <w:trHeight w:val="609"/>
        </w:trPr>
        <w:tc>
          <w:tcPr>
            <w:tcW w:w="4760" w:type="dxa"/>
            <w:vAlign w:val="center"/>
          </w:tcPr>
          <w:p w14:paraId="419E86B1" w14:textId="77777777" w:rsidR="000177D5" w:rsidRPr="00993B55" w:rsidRDefault="000177D5" w:rsidP="00F744FE">
            <w:pPr>
              <w:keepNext/>
              <w:widowControl w:val="0"/>
              <w:jc w:val="left"/>
              <w:rPr>
                <w:rFonts w:cs="Arial"/>
                <w:noProof/>
                <w:color w:val="000000" w:themeColor="text1"/>
                <w:sz w:val="22"/>
                <w:szCs w:val="22"/>
              </w:rPr>
            </w:pPr>
            <w:r w:rsidRPr="00993B55">
              <w:rPr>
                <w:rFonts w:cs="Arial"/>
                <w:noProof/>
                <w:color w:val="000000" w:themeColor="text1"/>
                <w:sz w:val="22"/>
                <w:szCs w:val="22"/>
              </w:rPr>
              <w:t>Estimated Facility PE before Project Increase</w:t>
            </w:r>
          </w:p>
        </w:tc>
        <w:tc>
          <w:tcPr>
            <w:tcW w:w="840" w:type="dxa"/>
            <w:vAlign w:val="center"/>
          </w:tcPr>
          <w:p w14:paraId="79A210D6" w14:textId="77777777" w:rsidR="000177D5" w:rsidRPr="00DF39AC" w:rsidRDefault="000177D5" w:rsidP="00F744FE">
            <w:pPr>
              <w:keepNext/>
              <w:widowControl w:val="0"/>
              <w:jc w:val="center"/>
              <w:rPr>
                <w:rFonts w:cs="Arial"/>
                <w:noProof/>
                <w:color w:val="0000FF"/>
                <w:sz w:val="22"/>
                <w:szCs w:val="22"/>
              </w:rPr>
            </w:pPr>
            <w:r w:rsidRPr="00DF39AC">
              <w:rPr>
                <w:rFonts w:cs="Arial"/>
                <w:noProof/>
                <w:color w:val="0000FF"/>
                <w:sz w:val="22"/>
                <w:szCs w:val="22"/>
              </w:rPr>
              <w:t>XX</w:t>
            </w:r>
          </w:p>
        </w:tc>
        <w:tc>
          <w:tcPr>
            <w:tcW w:w="840" w:type="dxa"/>
            <w:vAlign w:val="center"/>
          </w:tcPr>
          <w:p w14:paraId="596CC818" w14:textId="77777777" w:rsidR="000177D5" w:rsidRPr="00DF39AC" w:rsidRDefault="000177D5" w:rsidP="00F744FE">
            <w:pPr>
              <w:keepNext/>
              <w:widowControl w:val="0"/>
              <w:jc w:val="center"/>
              <w:rPr>
                <w:rFonts w:cs="Arial"/>
                <w:noProof/>
                <w:color w:val="0000FF"/>
                <w:sz w:val="22"/>
                <w:szCs w:val="22"/>
              </w:rPr>
            </w:pPr>
            <w:r w:rsidRPr="00DF39AC">
              <w:rPr>
                <w:rFonts w:cs="Arial"/>
                <w:noProof/>
                <w:color w:val="0000FF"/>
                <w:sz w:val="22"/>
                <w:szCs w:val="22"/>
              </w:rPr>
              <w:t>XX</w:t>
            </w:r>
          </w:p>
        </w:tc>
        <w:tc>
          <w:tcPr>
            <w:tcW w:w="840" w:type="dxa"/>
            <w:vAlign w:val="center"/>
          </w:tcPr>
          <w:p w14:paraId="3D451F5B" w14:textId="77777777" w:rsidR="000177D5" w:rsidRPr="00DF39AC" w:rsidRDefault="000177D5" w:rsidP="00F744FE">
            <w:pPr>
              <w:keepNext/>
              <w:widowControl w:val="0"/>
              <w:jc w:val="center"/>
              <w:rPr>
                <w:rFonts w:cs="Arial"/>
                <w:noProof/>
                <w:color w:val="0000FF"/>
                <w:sz w:val="22"/>
                <w:szCs w:val="22"/>
              </w:rPr>
            </w:pPr>
            <w:r w:rsidRPr="00DF39AC">
              <w:rPr>
                <w:rFonts w:cs="Arial"/>
                <w:noProof/>
                <w:color w:val="0000FF"/>
                <w:sz w:val="22"/>
                <w:szCs w:val="22"/>
              </w:rPr>
              <w:t>XX</w:t>
            </w:r>
          </w:p>
        </w:tc>
        <w:tc>
          <w:tcPr>
            <w:tcW w:w="840" w:type="dxa"/>
            <w:vAlign w:val="center"/>
          </w:tcPr>
          <w:p w14:paraId="1FD0A959" w14:textId="77777777" w:rsidR="000177D5" w:rsidRPr="00DF39AC" w:rsidRDefault="000177D5" w:rsidP="00F744FE">
            <w:pPr>
              <w:keepNext/>
              <w:widowControl w:val="0"/>
              <w:jc w:val="center"/>
              <w:rPr>
                <w:rFonts w:cs="Arial"/>
                <w:noProof/>
                <w:color w:val="0000FF"/>
                <w:sz w:val="22"/>
                <w:szCs w:val="22"/>
              </w:rPr>
            </w:pPr>
            <w:r w:rsidRPr="00DF39AC">
              <w:rPr>
                <w:rFonts w:cs="Arial"/>
                <w:noProof/>
                <w:color w:val="0000FF"/>
                <w:sz w:val="22"/>
                <w:szCs w:val="22"/>
              </w:rPr>
              <w:t>XX</w:t>
            </w:r>
          </w:p>
        </w:tc>
        <w:tc>
          <w:tcPr>
            <w:tcW w:w="840" w:type="dxa"/>
            <w:vAlign w:val="center"/>
          </w:tcPr>
          <w:p w14:paraId="22FD7328" w14:textId="2CB6019D" w:rsidR="000177D5" w:rsidRPr="00DF39AC" w:rsidRDefault="000177D5" w:rsidP="00F744FE">
            <w:pPr>
              <w:keepNext/>
              <w:widowControl w:val="0"/>
              <w:jc w:val="center"/>
              <w:rPr>
                <w:rFonts w:cs="Arial"/>
                <w:noProof/>
                <w:color w:val="0000FF"/>
                <w:sz w:val="22"/>
                <w:szCs w:val="22"/>
              </w:rPr>
            </w:pPr>
            <w:r w:rsidRPr="00DF39AC">
              <w:rPr>
                <w:rFonts w:cs="Arial"/>
                <w:noProof/>
                <w:color w:val="0000FF"/>
                <w:sz w:val="22"/>
                <w:szCs w:val="22"/>
              </w:rPr>
              <w:t>XX</w:t>
            </w:r>
          </w:p>
        </w:tc>
        <w:tc>
          <w:tcPr>
            <w:tcW w:w="840" w:type="dxa"/>
            <w:vAlign w:val="center"/>
          </w:tcPr>
          <w:p w14:paraId="7037855E" w14:textId="77777777" w:rsidR="000177D5" w:rsidRPr="00DF39AC" w:rsidRDefault="000177D5" w:rsidP="00F744FE">
            <w:pPr>
              <w:keepNext/>
              <w:widowControl w:val="0"/>
              <w:jc w:val="center"/>
              <w:rPr>
                <w:rFonts w:cs="Arial"/>
                <w:noProof/>
                <w:color w:val="0000FF"/>
                <w:sz w:val="22"/>
                <w:szCs w:val="22"/>
              </w:rPr>
            </w:pPr>
            <w:r w:rsidRPr="00DF39AC">
              <w:rPr>
                <w:rFonts w:cs="Arial"/>
                <w:noProof/>
                <w:color w:val="0000FF"/>
                <w:sz w:val="22"/>
                <w:szCs w:val="22"/>
              </w:rPr>
              <w:t>XX</w:t>
            </w:r>
          </w:p>
        </w:tc>
      </w:tr>
      <w:tr w:rsidR="000177D5" w:rsidRPr="00993B55" w14:paraId="25A47BE9" w14:textId="77777777" w:rsidTr="00CC160F">
        <w:trPr>
          <w:trHeight w:val="359"/>
        </w:trPr>
        <w:tc>
          <w:tcPr>
            <w:tcW w:w="4760" w:type="dxa"/>
            <w:vAlign w:val="center"/>
          </w:tcPr>
          <w:p w14:paraId="4B99497A" w14:textId="77777777" w:rsidR="000177D5" w:rsidRPr="00993B55" w:rsidRDefault="000177D5" w:rsidP="00F744FE">
            <w:pPr>
              <w:keepNext/>
              <w:widowControl w:val="0"/>
              <w:jc w:val="left"/>
              <w:rPr>
                <w:rFonts w:cs="Arial"/>
                <w:noProof/>
                <w:color w:val="000000" w:themeColor="text1"/>
                <w:sz w:val="22"/>
                <w:szCs w:val="22"/>
              </w:rPr>
            </w:pPr>
            <w:r w:rsidRPr="00993B55">
              <w:rPr>
                <w:rFonts w:cs="Arial"/>
                <w:noProof/>
                <w:color w:val="000000" w:themeColor="text1"/>
                <w:sz w:val="22"/>
                <w:szCs w:val="22"/>
              </w:rPr>
              <w:t>PSD Major Source Thresholds</w:t>
            </w:r>
          </w:p>
        </w:tc>
        <w:tc>
          <w:tcPr>
            <w:tcW w:w="840" w:type="dxa"/>
            <w:vAlign w:val="center"/>
          </w:tcPr>
          <w:p w14:paraId="52A4B9F7" w14:textId="77777777" w:rsidR="000177D5" w:rsidRPr="00993B55" w:rsidRDefault="000177D5" w:rsidP="00F744FE">
            <w:pPr>
              <w:keepNext/>
              <w:widowControl w:val="0"/>
              <w:jc w:val="center"/>
              <w:rPr>
                <w:rFonts w:cs="Arial"/>
                <w:noProof/>
                <w:color w:val="000000" w:themeColor="text1"/>
                <w:sz w:val="22"/>
                <w:szCs w:val="22"/>
              </w:rPr>
            </w:pPr>
            <w:r w:rsidRPr="00993B55">
              <w:rPr>
                <w:rFonts w:cs="Arial"/>
                <w:noProof/>
                <w:color w:val="000000" w:themeColor="text1"/>
                <w:sz w:val="22"/>
                <w:szCs w:val="22"/>
              </w:rPr>
              <w:t>100</w:t>
            </w:r>
          </w:p>
        </w:tc>
        <w:tc>
          <w:tcPr>
            <w:tcW w:w="840" w:type="dxa"/>
            <w:vAlign w:val="center"/>
          </w:tcPr>
          <w:p w14:paraId="147F211C" w14:textId="77777777" w:rsidR="000177D5" w:rsidRPr="00993B55" w:rsidRDefault="000177D5" w:rsidP="00F744FE">
            <w:pPr>
              <w:keepNext/>
              <w:widowControl w:val="0"/>
              <w:jc w:val="center"/>
              <w:rPr>
                <w:rFonts w:cs="Arial"/>
                <w:noProof/>
                <w:color w:val="000000" w:themeColor="text1"/>
                <w:sz w:val="22"/>
                <w:szCs w:val="22"/>
              </w:rPr>
            </w:pPr>
            <w:r w:rsidRPr="00993B55">
              <w:rPr>
                <w:rFonts w:cs="Arial"/>
                <w:noProof/>
                <w:color w:val="000000" w:themeColor="text1"/>
                <w:sz w:val="22"/>
                <w:szCs w:val="22"/>
              </w:rPr>
              <w:t>100</w:t>
            </w:r>
          </w:p>
        </w:tc>
        <w:tc>
          <w:tcPr>
            <w:tcW w:w="840" w:type="dxa"/>
            <w:vAlign w:val="center"/>
          </w:tcPr>
          <w:p w14:paraId="6C25E39F" w14:textId="77777777" w:rsidR="000177D5" w:rsidRPr="00993B55" w:rsidRDefault="000177D5" w:rsidP="00F744FE">
            <w:pPr>
              <w:keepNext/>
              <w:widowControl w:val="0"/>
              <w:jc w:val="center"/>
              <w:rPr>
                <w:rFonts w:cs="Arial"/>
                <w:noProof/>
                <w:color w:val="000000" w:themeColor="text1"/>
                <w:sz w:val="22"/>
                <w:szCs w:val="22"/>
              </w:rPr>
            </w:pPr>
            <w:r w:rsidRPr="00993B55">
              <w:rPr>
                <w:rFonts w:cs="Arial"/>
                <w:noProof/>
                <w:color w:val="000000" w:themeColor="text1"/>
                <w:sz w:val="22"/>
                <w:szCs w:val="22"/>
              </w:rPr>
              <w:t>100</w:t>
            </w:r>
          </w:p>
        </w:tc>
        <w:tc>
          <w:tcPr>
            <w:tcW w:w="840" w:type="dxa"/>
            <w:vAlign w:val="center"/>
          </w:tcPr>
          <w:p w14:paraId="049A2A4D" w14:textId="77777777" w:rsidR="000177D5" w:rsidRPr="00993B55" w:rsidRDefault="000177D5" w:rsidP="00F744FE">
            <w:pPr>
              <w:keepNext/>
              <w:widowControl w:val="0"/>
              <w:jc w:val="center"/>
              <w:rPr>
                <w:rFonts w:cs="Arial"/>
                <w:noProof/>
                <w:color w:val="000000" w:themeColor="text1"/>
                <w:sz w:val="22"/>
                <w:szCs w:val="22"/>
              </w:rPr>
            </w:pPr>
            <w:r w:rsidRPr="00993B55">
              <w:rPr>
                <w:rFonts w:cs="Arial"/>
                <w:noProof/>
                <w:color w:val="000000" w:themeColor="text1"/>
                <w:sz w:val="22"/>
                <w:szCs w:val="22"/>
              </w:rPr>
              <w:t>100</w:t>
            </w:r>
          </w:p>
        </w:tc>
        <w:tc>
          <w:tcPr>
            <w:tcW w:w="840" w:type="dxa"/>
            <w:vAlign w:val="center"/>
          </w:tcPr>
          <w:p w14:paraId="29556FDD" w14:textId="77777777" w:rsidR="000177D5" w:rsidRPr="00993B55" w:rsidRDefault="000177D5" w:rsidP="00F744FE">
            <w:pPr>
              <w:keepNext/>
              <w:widowControl w:val="0"/>
              <w:jc w:val="center"/>
              <w:rPr>
                <w:rFonts w:cs="Arial"/>
                <w:noProof/>
                <w:color w:val="000000" w:themeColor="text1"/>
                <w:sz w:val="22"/>
                <w:szCs w:val="22"/>
              </w:rPr>
            </w:pPr>
            <w:r w:rsidRPr="00993B55">
              <w:rPr>
                <w:rFonts w:cs="Arial"/>
                <w:noProof/>
                <w:color w:val="000000" w:themeColor="text1"/>
                <w:sz w:val="22"/>
                <w:szCs w:val="22"/>
              </w:rPr>
              <w:t>100</w:t>
            </w:r>
          </w:p>
        </w:tc>
        <w:tc>
          <w:tcPr>
            <w:tcW w:w="840" w:type="dxa"/>
            <w:vAlign w:val="center"/>
          </w:tcPr>
          <w:p w14:paraId="4DB14B59" w14:textId="77777777" w:rsidR="000177D5" w:rsidRPr="00993B55" w:rsidRDefault="000177D5" w:rsidP="00F744FE">
            <w:pPr>
              <w:keepNext/>
              <w:widowControl w:val="0"/>
              <w:jc w:val="center"/>
              <w:rPr>
                <w:rFonts w:cs="Arial"/>
                <w:noProof/>
                <w:color w:val="000000" w:themeColor="text1"/>
                <w:sz w:val="22"/>
                <w:szCs w:val="22"/>
              </w:rPr>
            </w:pPr>
            <w:r w:rsidRPr="00993B55">
              <w:rPr>
                <w:rFonts w:cs="Arial"/>
                <w:noProof/>
                <w:color w:val="000000" w:themeColor="text1"/>
                <w:sz w:val="22"/>
                <w:szCs w:val="22"/>
              </w:rPr>
              <w:t>100</w:t>
            </w:r>
          </w:p>
        </w:tc>
      </w:tr>
      <w:tr w:rsidR="000177D5" w:rsidRPr="00993B55" w14:paraId="038AB8EF" w14:textId="77777777" w:rsidTr="00CC160F">
        <w:trPr>
          <w:trHeight w:val="456"/>
        </w:trPr>
        <w:tc>
          <w:tcPr>
            <w:tcW w:w="4760" w:type="dxa"/>
            <w:shd w:val="clear" w:color="auto" w:fill="D9D9D9" w:themeFill="background1" w:themeFillShade="D9"/>
            <w:vAlign w:val="center"/>
          </w:tcPr>
          <w:p w14:paraId="323266AC" w14:textId="77777777" w:rsidR="000177D5" w:rsidRPr="00505E9F" w:rsidRDefault="000177D5" w:rsidP="00F744FE">
            <w:pPr>
              <w:keepNext/>
              <w:widowControl w:val="0"/>
              <w:jc w:val="left"/>
              <w:rPr>
                <w:rFonts w:cs="Arial"/>
                <w:b/>
                <w:bCs/>
                <w:noProof/>
                <w:color w:val="000000" w:themeColor="text1"/>
                <w:sz w:val="22"/>
                <w:szCs w:val="22"/>
              </w:rPr>
            </w:pPr>
            <w:r w:rsidRPr="00505E9F">
              <w:rPr>
                <w:rFonts w:cs="Arial"/>
                <w:b/>
                <w:bCs/>
                <w:noProof/>
                <w:color w:val="000000" w:themeColor="text1"/>
                <w:sz w:val="22"/>
                <w:szCs w:val="22"/>
              </w:rPr>
              <w:t>PSD Major Source?</w:t>
            </w:r>
          </w:p>
        </w:tc>
        <w:tc>
          <w:tcPr>
            <w:tcW w:w="840" w:type="dxa"/>
            <w:shd w:val="clear" w:color="auto" w:fill="D9D9D9" w:themeFill="background1" w:themeFillShade="D9"/>
            <w:vAlign w:val="center"/>
          </w:tcPr>
          <w:p w14:paraId="5299A3D5" w14:textId="77777777" w:rsidR="000177D5" w:rsidRPr="00505E9F" w:rsidRDefault="000177D5" w:rsidP="00F744FE">
            <w:pPr>
              <w:keepNext/>
              <w:widowControl w:val="0"/>
              <w:jc w:val="center"/>
              <w:rPr>
                <w:rFonts w:cs="Arial"/>
                <w:b/>
                <w:bCs/>
                <w:noProof/>
                <w:color w:val="0000FF"/>
                <w:sz w:val="22"/>
                <w:szCs w:val="22"/>
              </w:rPr>
            </w:pPr>
            <w:r w:rsidRPr="00505E9F">
              <w:rPr>
                <w:rFonts w:cs="Arial"/>
                <w:b/>
                <w:bCs/>
                <w:noProof/>
                <w:color w:val="0000FF"/>
                <w:sz w:val="22"/>
                <w:szCs w:val="22"/>
              </w:rPr>
              <w:t>No</w:t>
            </w:r>
          </w:p>
        </w:tc>
        <w:tc>
          <w:tcPr>
            <w:tcW w:w="840" w:type="dxa"/>
            <w:shd w:val="clear" w:color="auto" w:fill="D9D9D9" w:themeFill="background1" w:themeFillShade="D9"/>
            <w:vAlign w:val="center"/>
          </w:tcPr>
          <w:p w14:paraId="6B2F09ED" w14:textId="77777777" w:rsidR="000177D5" w:rsidRPr="00505E9F" w:rsidRDefault="000177D5" w:rsidP="00F744FE">
            <w:pPr>
              <w:keepNext/>
              <w:widowControl w:val="0"/>
              <w:jc w:val="center"/>
              <w:rPr>
                <w:b/>
                <w:bCs/>
                <w:color w:val="0000FF"/>
              </w:rPr>
            </w:pPr>
            <w:r w:rsidRPr="00505E9F">
              <w:rPr>
                <w:rFonts w:cs="Arial"/>
                <w:b/>
                <w:bCs/>
                <w:noProof/>
                <w:color w:val="0000FF"/>
                <w:sz w:val="22"/>
                <w:szCs w:val="22"/>
              </w:rPr>
              <w:t>No</w:t>
            </w:r>
          </w:p>
        </w:tc>
        <w:tc>
          <w:tcPr>
            <w:tcW w:w="840" w:type="dxa"/>
            <w:shd w:val="clear" w:color="auto" w:fill="D9D9D9" w:themeFill="background1" w:themeFillShade="D9"/>
            <w:vAlign w:val="center"/>
          </w:tcPr>
          <w:p w14:paraId="069CCA5A" w14:textId="77777777" w:rsidR="000177D5" w:rsidRPr="00505E9F" w:rsidRDefault="000177D5" w:rsidP="00F744FE">
            <w:pPr>
              <w:keepNext/>
              <w:widowControl w:val="0"/>
              <w:jc w:val="center"/>
              <w:rPr>
                <w:b/>
                <w:bCs/>
                <w:color w:val="0000FF"/>
              </w:rPr>
            </w:pPr>
            <w:r w:rsidRPr="00505E9F">
              <w:rPr>
                <w:rFonts w:cs="Arial"/>
                <w:b/>
                <w:bCs/>
                <w:noProof/>
                <w:color w:val="0000FF"/>
                <w:sz w:val="22"/>
                <w:szCs w:val="22"/>
              </w:rPr>
              <w:t>No</w:t>
            </w:r>
          </w:p>
        </w:tc>
        <w:tc>
          <w:tcPr>
            <w:tcW w:w="840" w:type="dxa"/>
            <w:shd w:val="clear" w:color="auto" w:fill="D9D9D9" w:themeFill="background1" w:themeFillShade="D9"/>
            <w:vAlign w:val="center"/>
          </w:tcPr>
          <w:p w14:paraId="480B9EE9" w14:textId="77777777" w:rsidR="000177D5" w:rsidRPr="00505E9F" w:rsidRDefault="000177D5" w:rsidP="00F744FE">
            <w:pPr>
              <w:keepNext/>
              <w:widowControl w:val="0"/>
              <w:jc w:val="center"/>
              <w:rPr>
                <w:b/>
                <w:bCs/>
                <w:color w:val="0000FF"/>
              </w:rPr>
            </w:pPr>
            <w:r w:rsidRPr="00505E9F">
              <w:rPr>
                <w:rFonts w:cs="Arial"/>
                <w:b/>
                <w:bCs/>
                <w:noProof/>
                <w:color w:val="0000FF"/>
                <w:sz w:val="22"/>
                <w:szCs w:val="22"/>
              </w:rPr>
              <w:t>No</w:t>
            </w:r>
          </w:p>
        </w:tc>
        <w:tc>
          <w:tcPr>
            <w:tcW w:w="840" w:type="dxa"/>
            <w:shd w:val="clear" w:color="auto" w:fill="D9D9D9" w:themeFill="background1" w:themeFillShade="D9"/>
            <w:vAlign w:val="center"/>
          </w:tcPr>
          <w:p w14:paraId="00DC1DAD" w14:textId="77777777" w:rsidR="000177D5" w:rsidRPr="00505E9F" w:rsidRDefault="000177D5" w:rsidP="00F744FE">
            <w:pPr>
              <w:keepNext/>
              <w:widowControl w:val="0"/>
              <w:jc w:val="center"/>
              <w:rPr>
                <w:b/>
                <w:bCs/>
                <w:color w:val="0000FF"/>
              </w:rPr>
            </w:pPr>
            <w:r w:rsidRPr="00505E9F">
              <w:rPr>
                <w:rFonts w:cs="Arial"/>
                <w:b/>
                <w:bCs/>
                <w:noProof/>
                <w:color w:val="0000FF"/>
                <w:sz w:val="22"/>
                <w:szCs w:val="22"/>
              </w:rPr>
              <w:t>No</w:t>
            </w:r>
          </w:p>
        </w:tc>
        <w:tc>
          <w:tcPr>
            <w:tcW w:w="840" w:type="dxa"/>
            <w:shd w:val="clear" w:color="auto" w:fill="D9D9D9" w:themeFill="background1" w:themeFillShade="D9"/>
            <w:vAlign w:val="center"/>
          </w:tcPr>
          <w:p w14:paraId="176B1ED6" w14:textId="77777777" w:rsidR="000177D5" w:rsidRPr="00505E9F" w:rsidRDefault="000177D5" w:rsidP="00F744FE">
            <w:pPr>
              <w:keepNext/>
              <w:widowControl w:val="0"/>
              <w:jc w:val="center"/>
              <w:rPr>
                <w:b/>
                <w:bCs/>
                <w:color w:val="0000FF"/>
              </w:rPr>
            </w:pPr>
            <w:r w:rsidRPr="00505E9F">
              <w:rPr>
                <w:rFonts w:cs="Arial"/>
                <w:b/>
                <w:bCs/>
                <w:noProof/>
                <w:color w:val="0000FF"/>
                <w:sz w:val="22"/>
                <w:szCs w:val="22"/>
              </w:rPr>
              <w:t>No</w:t>
            </w:r>
          </w:p>
        </w:tc>
      </w:tr>
    </w:tbl>
    <w:p w14:paraId="7BE568D9" w14:textId="33E46BBF" w:rsidR="000177D5" w:rsidRPr="00507E94" w:rsidRDefault="00507E94" w:rsidP="007A60F3">
      <w:pPr>
        <w:widowControl w:val="0"/>
        <w:ind w:left="720" w:firstLine="144"/>
        <w:rPr>
          <w:rFonts w:cs="Arial"/>
          <w:noProof/>
          <w:color w:val="000000" w:themeColor="text1"/>
          <w:sz w:val="20"/>
        </w:rPr>
      </w:pPr>
      <w:r w:rsidRPr="005F3BBC">
        <w:rPr>
          <w:rFonts w:cs="Arial"/>
          <w:noProof/>
          <w:color w:val="000000" w:themeColor="text1"/>
          <w:sz w:val="20"/>
        </w:rPr>
        <w:t>*PM assumed to be equal to PM10.</w:t>
      </w:r>
    </w:p>
    <w:p w14:paraId="2AF441FC" w14:textId="77777777" w:rsidR="000177D5" w:rsidRPr="00B31232" w:rsidRDefault="000177D5" w:rsidP="007A60F3">
      <w:pPr>
        <w:widowControl w:val="0"/>
        <w:ind w:left="720"/>
        <w:rPr>
          <w:rFonts w:cs="Arial"/>
          <w:noProof/>
          <w:color w:val="000000" w:themeColor="text1"/>
          <w:szCs w:val="24"/>
        </w:rPr>
      </w:pPr>
    </w:p>
    <w:p w14:paraId="7794270D" w14:textId="77777777" w:rsidR="000177D5" w:rsidRPr="00993B55" w:rsidRDefault="000177D5" w:rsidP="007A60F3">
      <w:pPr>
        <w:widowControl w:val="0"/>
        <w:ind w:left="720"/>
        <w:rPr>
          <w:rFonts w:cs="Arial"/>
          <w:noProof/>
          <w:color w:val="FF0000"/>
        </w:rPr>
      </w:pPr>
      <w:r w:rsidRPr="00993B55">
        <w:rPr>
          <w:rFonts w:cs="Arial"/>
          <w:noProof/>
          <w:color w:val="FF0000"/>
        </w:rPr>
        <w:t>Please note once it is determined that a facility is a PSD major source for one pollutant, it is not necessary to determine if the facility is also a PSD major source for any other pollutants.</w:t>
      </w:r>
    </w:p>
    <w:p w14:paraId="09AB1B02" w14:textId="77777777" w:rsidR="000177D5" w:rsidRPr="00993B55" w:rsidRDefault="000177D5" w:rsidP="007A60F3">
      <w:pPr>
        <w:widowControl w:val="0"/>
        <w:ind w:left="720"/>
        <w:rPr>
          <w:rFonts w:cs="Arial"/>
          <w:noProof/>
          <w:color w:val="000000" w:themeColor="text1"/>
        </w:rPr>
      </w:pPr>
    </w:p>
    <w:p w14:paraId="0437C3D1" w14:textId="059CE51F" w:rsidR="000177D5" w:rsidRPr="00993B55" w:rsidRDefault="000177D5" w:rsidP="007A60F3">
      <w:pPr>
        <w:widowControl w:val="0"/>
        <w:ind w:left="720"/>
        <w:rPr>
          <w:rFonts w:cs="Arial"/>
          <w:noProof/>
        </w:rPr>
      </w:pPr>
      <w:r w:rsidRPr="00993B55">
        <w:rPr>
          <w:rFonts w:cs="Arial"/>
          <w:noProof/>
        </w:rPr>
        <w:t>As shown above, the facility is an existing PSD major source for at least one pollutant.</w:t>
      </w:r>
    </w:p>
    <w:p w14:paraId="6D7DD336" w14:textId="77777777" w:rsidR="00273314" w:rsidRDefault="00273314" w:rsidP="00273314">
      <w:pPr>
        <w:widowControl w:val="0"/>
        <w:ind w:left="720"/>
        <w:rPr>
          <w:rFonts w:cs="Arial"/>
          <w:noProof/>
          <w:color w:val="FF0000"/>
        </w:rPr>
      </w:pPr>
    </w:p>
    <w:p w14:paraId="6A5FE338" w14:textId="0F1CA2F3" w:rsidR="000177D5" w:rsidRDefault="000177D5" w:rsidP="00273314">
      <w:pPr>
        <w:widowControl w:val="0"/>
        <w:ind w:left="720"/>
        <w:rPr>
          <w:rFonts w:cs="Arial"/>
          <w:noProof/>
          <w:color w:val="FF0000"/>
        </w:rPr>
      </w:pPr>
      <w:r w:rsidRPr="00993B55">
        <w:rPr>
          <w:rFonts w:cs="Arial"/>
          <w:noProof/>
          <w:color w:val="FF0000"/>
        </w:rPr>
        <w:t>OR</w:t>
      </w:r>
    </w:p>
    <w:p w14:paraId="58A40025" w14:textId="77777777" w:rsidR="00273314" w:rsidRPr="00993B55" w:rsidRDefault="00273314" w:rsidP="00273314">
      <w:pPr>
        <w:widowControl w:val="0"/>
        <w:ind w:left="720"/>
        <w:rPr>
          <w:rFonts w:cs="Arial"/>
          <w:noProof/>
          <w:color w:val="FF0000"/>
        </w:rPr>
      </w:pPr>
    </w:p>
    <w:p w14:paraId="47B148CC" w14:textId="65643F02" w:rsidR="000177D5" w:rsidRPr="00993B55" w:rsidRDefault="000177D5" w:rsidP="007A60F3">
      <w:pPr>
        <w:widowControl w:val="0"/>
        <w:ind w:left="720"/>
        <w:rPr>
          <w:rFonts w:cs="Arial"/>
          <w:noProof/>
        </w:rPr>
      </w:pPr>
      <w:r w:rsidRPr="00993B55">
        <w:rPr>
          <w:rFonts w:cs="Arial"/>
          <w:noProof/>
        </w:rPr>
        <w:t>As shown above, the facility is not an existing PSD major source for any regulated NSR pollutant expected to be emitted at this facility.</w:t>
      </w:r>
    </w:p>
    <w:p w14:paraId="6A055433" w14:textId="77777777" w:rsidR="00273314" w:rsidRDefault="00273314" w:rsidP="00273314">
      <w:pPr>
        <w:widowControl w:val="0"/>
        <w:ind w:left="720"/>
        <w:rPr>
          <w:rFonts w:cs="Arial"/>
          <w:noProof/>
          <w:color w:val="FF0000"/>
        </w:rPr>
      </w:pPr>
    </w:p>
    <w:p w14:paraId="3E7DCACE" w14:textId="19293CC3" w:rsidR="000177D5" w:rsidRPr="0063101B" w:rsidRDefault="000177D5" w:rsidP="007C1ED2">
      <w:pPr>
        <w:pStyle w:val="Heading3"/>
        <w:widowControl w:val="0"/>
        <w:numPr>
          <w:ilvl w:val="0"/>
          <w:numId w:val="3"/>
        </w:numPr>
        <w:tabs>
          <w:tab w:val="clear" w:pos="1224"/>
        </w:tabs>
        <w:spacing w:before="240" w:after="240"/>
        <w:ind w:left="1080"/>
        <w:jc w:val="left"/>
        <w:rPr>
          <w:b/>
          <w:bCs/>
          <w:color w:val="000000"/>
          <w:sz w:val="24"/>
          <w:szCs w:val="24"/>
        </w:rPr>
      </w:pPr>
      <w:r w:rsidRPr="0063101B">
        <w:rPr>
          <w:b/>
          <w:bCs/>
          <w:color w:val="000000"/>
          <w:sz w:val="24"/>
          <w:szCs w:val="24"/>
        </w:rPr>
        <w:t>Baseline Emissions (BE)</w:t>
      </w:r>
    </w:p>
    <w:p w14:paraId="194FF247" w14:textId="64C48388" w:rsidR="000177D5" w:rsidRPr="00993B55" w:rsidRDefault="000177D5" w:rsidP="007A60F3">
      <w:pPr>
        <w:pStyle w:val="BodyTextIndent2"/>
        <w:widowControl w:val="0"/>
        <w:autoSpaceDE w:val="0"/>
        <w:autoSpaceDN w:val="0"/>
        <w:adjustRightInd w:val="0"/>
      </w:pPr>
      <w:r w:rsidRPr="00993B55">
        <w:t xml:space="preserve">The BE calculation (in lb/year) is performed pollutant-by-pollutant for each unit within the project to calculate the </w:t>
      </w:r>
      <w:r w:rsidR="00DD16A7">
        <w:t>Quarterly Net Emissions Change (</w:t>
      </w:r>
      <w:r w:rsidRPr="00993B55">
        <w:t>QNEC</w:t>
      </w:r>
      <w:r w:rsidR="00DD16A7">
        <w:t>)</w:t>
      </w:r>
      <w:r w:rsidRPr="00993B55">
        <w:t>, and if applicable, to determine the amount of offsets required.</w:t>
      </w:r>
    </w:p>
    <w:p w14:paraId="2B0E4252" w14:textId="77777777" w:rsidR="000177D5" w:rsidRPr="00993B55" w:rsidRDefault="000177D5" w:rsidP="007A60F3">
      <w:pPr>
        <w:widowControl w:val="0"/>
        <w:autoSpaceDE w:val="0"/>
        <w:autoSpaceDN w:val="0"/>
        <w:adjustRightInd w:val="0"/>
        <w:ind w:left="720"/>
        <w:rPr>
          <w:color w:val="000000"/>
        </w:rPr>
      </w:pPr>
    </w:p>
    <w:p w14:paraId="5D1303ED" w14:textId="77777777" w:rsidR="000177D5" w:rsidRPr="00993B55" w:rsidRDefault="000177D5" w:rsidP="007A60F3">
      <w:pPr>
        <w:widowControl w:val="0"/>
        <w:ind w:left="720"/>
      </w:pPr>
      <w:r w:rsidRPr="00993B55">
        <w:t>Pursuant to District Rule 2201, BE = PE1 for:</w:t>
      </w:r>
    </w:p>
    <w:p w14:paraId="3D8A8785" w14:textId="77777777" w:rsidR="000177D5" w:rsidRPr="00993B55" w:rsidRDefault="000177D5" w:rsidP="007A60F3">
      <w:pPr>
        <w:widowControl w:val="0"/>
        <w:numPr>
          <w:ilvl w:val="0"/>
          <w:numId w:val="4"/>
        </w:numPr>
        <w:tabs>
          <w:tab w:val="clear" w:pos="540"/>
        </w:tabs>
        <w:ind w:left="1260"/>
      </w:pPr>
      <w:r w:rsidRPr="00993B55">
        <w:t>Any unit located at a non-Major Source,</w:t>
      </w:r>
    </w:p>
    <w:p w14:paraId="067DCCCA" w14:textId="77777777" w:rsidR="000177D5" w:rsidRPr="00993B55" w:rsidRDefault="000177D5" w:rsidP="007A60F3">
      <w:pPr>
        <w:widowControl w:val="0"/>
        <w:numPr>
          <w:ilvl w:val="0"/>
          <w:numId w:val="4"/>
        </w:numPr>
        <w:tabs>
          <w:tab w:val="clear" w:pos="540"/>
        </w:tabs>
        <w:ind w:left="1260"/>
      </w:pPr>
      <w:r w:rsidRPr="00993B55">
        <w:t>Any Highly-Utilized Emissions Unit, located at a Major Source,</w:t>
      </w:r>
    </w:p>
    <w:p w14:paraId="23262233" w14:textId="77777777" w:rsidR="000177D5" w:rsidRPr="00993B55" w:rsidRDefault="000177D5" w:rsidP="007A60F3">
      <w:pPr>
        <w:widowControl w:val="0"/>
        <w:numPr>
          <w:ilvl w:val="0"/>
          <w:numId w:val="4"/>
        </w:numPr>
        <w:tabs>
          <w:tab w:val="clear" w:pos="540"/>
        </w:tabs>
        <w:ind w:left="1260"/>
      </w:pPr>
      <w:r w:rsidRPr="00993B55">
        <w:t>Any Fully-Offset Emissions Unit, located at a Major Source, or</w:t>
      </w:r>
    </w:p>
    <w:p w14:paraId="08FAB694" w14:textId="77777777" w:rsidR="000177D5" w:rsidRPr="00993B55" w:rsidRDefault="000177D5" w:rsidP="007A60F3">
      <w:pPr>
        <w:widowControl w:val="0"/>
        <w:numPr>
          <w:ilvl w:val="0"/>
          <w:numId w:val="4"/>
        </w:numPr>
        <w:tabs>
          <w:tab w:val="clear" w:pos="540"/>
        </w:tabs>
        <w:ind w:left="1260"/>
      </w:pPr>
      <w:r w:rsidRPr="00993B55">
        <w:t>Any Clean Emissions Unit, located at a Major Source.</w:t>
      </w:r>
    </w:p>
    <w:p w14:paraId="153AFA26" w14:textId="77777777" w:rsidR="000177D5" w:rsidRPr="00993B55" w:rsidRDefault="000177D5" w:rsidP="007A60F3">
      <w:pPr>
        <w:widowControl w:val="0"/>
        <w:ind w:left="900"/>
      </w:pPr>
    </w:p>
    <w:p w14:paraId="129B47FE" w14:textId="77777777" w:rsidR="000177D5" w:rsidRPr="00993B55" w:rsidRDefault="000177D5" w:rsidP="007A60F3">
      <w:pPr>
        <w:widowControl w:val="0"/>
        <w:ind w:left="720"/>
      </w:pPr>
      <w:r w:rsidRPr="00993B55">
        <w:t>otherwise,</w:t>
      </w:r>
    </w:p>
    <w:p w14:paraId="6A2599FC" w14:textId="77777777" w:rsidR="000177D5" w:rsidRPr="00993B55" w:rsidRDefault="000177D5" w:rsidP="007A60F3">
      <w:pPr>
        <w:widowControl w:val="0"/>
        <w:ind w:left="720"/>
      </w:pPr>
    </w:p>
    <w:p w14:paraId="3F915A06" w14:textId="77777777" w:rsidR="000177D5" w:rsidRPr="00993B55" w:rsidRDefault="000177D5" w:rsidP="007A60F3">
      <w:pPr>
        <w:widowControl w:val="0"/>
        <w:autoSpaceDE w:val="0"/>
        <w:autoSpaceDN w:val="0"/>
        <w:adjustRightInd w:val="0"/>
        <w:ind w:left="720"/>
        <w:rPr>
          <w:color w:val="000000"/>
        </w:rPr>
      </w:pPr>
      <w:r w:rsidRPr="00993B55">
        <w:rPr>
          <w:color w:val="000000"/>
          <w:szCs w:val="18"/>
        </w:rPr>
        <w:t>BE = Historic Actual Emissions (HAE), calculated pursuant to District Rule 2201.</w:t>
      </w:r>
    </w:p>
    <w:p w14:paraId="46376D39" w14:textId="77777777" w:rsidR="000177D5" w:rsidRPr="00993B55" w:rsidRDefault="000177D5" w:rsidP="007A60F3">
      <w:pPr>
        <w:widowControl w:val="0"/>
        <w:autoSpaceDE w:val="0"/>
        <w:autoSpaceDN w:val="0"/>
        <w:adjustRightInd w:val="0"/>
        <w:ind w:left="720"/>
        <w:rPr>
          <w:color w:val="000000"/>
        </w:rPr>
      </w:pPr>
    </w:p>
    <w:p w14:paraId="576603C4" w14:textId="77777777" w:rsidR="000177D5" w:rsidRPr="00993B55" w:rsidRDefault="000177D5" w:rsidP="007A60F3">
      <w:pPr>
        <w:widowControl w:val="0"/>
        <w:tabs>
          <w:tab w:val="left" w:pos="2250"/>
        </w:tabs>
        <w:autoSpaceDE w:val="0"/>
        <w:autoSpaceDN w:val="0"/>
        <w:adjustRightInd w:val="0"/>
        <w:ind w:left="720"/>
        <w:rPr>
          <w:i/>
          <w:iCs/>
          <w:color w:val="0000FF"/>
          <w:u w:val="single"/>
        </w:rPr>
      </w:pPr>
      <w:r w:rsidRPr="00993B55">
        <w:rPr>
          <w:i/>
          <w:iCs/>
          <w:color w:val="0000FF"/>
          <w:u w:val="single"/>
        </w:rPr>
        <w:t>Example (a)</w:t>
      </w:r>
      <w:r w:rsidRPr="00993B55">
        <w:rPr>
          <w:i/>
          <w:iCs/>
          <w:color w:val="0000FF"/>
        </w:rPr>
        <w:t>:</w:t>
      </w:r>
      <w:r w:rsidRPr="00993B55">
        <w:rPr>
          <w:i/>
          <w:iCs/>
          <w:color w:val="0000FF"/>
        </w:rPr>
        <w:tab/>
        <w:t>(For a Non-Major Source for all pollutants – Where the project includes a new emissions unit and a modified emissions unit.)</w:t>
      </w:r>
    </w:p>
    <w:p w14:paraId="7FAB4ACB" w14:textId="77777777" w:rsidR="000177D5" w:rsidRPr="00993B55" w:rsidRDefault="000177D5" w:rsidP="007A60F3">
      <w:pPr>
        <w:widowControl w:val="0"/>
        <w:ind w:left="720"/>
        <w:rPr>
          <w:rFonts w:cs="Arial"/>
        </w:rPr>
      </w:pPr>
      <w:r w:rsidRPr="00993B55">
        <w:rPr>
          <w:rFonts w:cs="Arial"/>
        </w:rPr>
        <w:t>As shown in Section VII.C.5 above, the facility is not a Major Source for any pollutant.</w:t>
      </w:r>
    </w:p>
    <w:p w14:paraId="696150B8" w14:textId="77777777" w:rsidR="000177D5" w:rsidRPr="00993B55" w:rsidRDefault="000177D5" w:rsidP="007A60F3">
      <w:pPr>
        <w:widowControl w:val="0"/>
        <w:ind w:left="720"/>
        <w:rPr>
          <w:rFonts w:cs="Arial"/>
        </w:rPr>
      </w:pPr>
    </w:p>
    <w:p w14:paraId="5562902A" w14:textId="6E8E9FA1" w:rsidR="000177D5" w:rsidRPr="00993B55" w:rsidRDefault="000177D5" w:rsidP="007A60F3">
      <w:pPr>
        <w:widowControl w:val="0"/>
        <w:ind w:left="720"/>
      </w:pPr>
      <w:r w:rsidRPr="00993B55">
        <w:t>Therefore</w:t>
      </w:r>
      <w:r w:rsidR="00464832">
        <w:t>,</w:t>
      </w:r>
      <w:r w:rsidRPr="00993B55">
        <w:t xml:space="preserve"> BE = PE1.</w:t>
      </w:r>
    </w:p>
    <w:p w14:paraId="4141759F" w14:textId="77777777" w:rsidR="000177D5" w:rsidRPr="00993B55" w:rsidRDefault="000177D5" w:rsidP="007A60F3">
      <w:pPr>
        <w:widowControl w:val="0"/>
        <w:autoSpaceDE w:val="0"/>
        <w:autoSpaceDN w:val="0"/>
        <w:adjustRightInd w:val="0"/>
        <w:ind w:left="720"/>
        <w:rPr>
          <w:color w:val="000000"/>
        </w:rPr>
      </w:pPr>
    </w:p>
    <w:p w14:paraId="77CD6081" w14:textId="77777777" w:rsidR="002071F4" w:rsidRPr="002071F4" w:rsidRDefault="002071F4" w:rsidP="00273314">
      <w:pPr>
        <w:widowControl w:val="0"/>
        <w:spacing w:line="240" w:lineRule="exact"/>
        <w:ind w:left="720"/>
        <w:rPr>
          <w:bCs/>
          <w:spacing w:val="-3"/>
        </w:rPr>
      </w:pPr>
      <w:r w:rsidRPr="002071F4">
        <w:rPr>
          <w:color w:val="0000FF"/>
          <w:sz w:val="22"/>
          <w:szCs w:val="22"/>
          <w:u w:val="single"/>
        </w:rPr>
        <w:t>X-XXXX-X-X</w:t>
      </w:r>
      <w:r w:rsidRPr="002071F4">
        <w:rPr>
          <w:bCs/>
          <w:spacing w:val="-3"/>
        </w:rPr>
        <w:t>:</w:t>
      </w:r>
    </w:p>
    <w:p w14:paraId="4440D7BD" w14:textId="77777777" w:rsidR="000177D5" w:rsidRPr="00993B55" w:rsidRDefault="000177D5" w:rsidP="007A60F3">
      <w:pPr>
        <w:widowControl w:val="0"/>
        <w:autoSpaceDE w:val="0"/>
        <w:autoSpaceDN w:val="0"/>
        <w:adjustRightInd w:val="0"/>
        <w:ind w:left="720"/>
      </w:pPr>
      <w:r w:rsidRPr="00993B55">
        <w:t>As calculated in Section VII.C.1 above, PE1 is summarized in the following table:</w:t>
      </w:r>
    </w:p>
    <w:p w14:paraId="06A13E83" w14:textId="77777777" w:rsidR="000177D5" w:rsidRPr="00993B55" w:rsidRDefault="000177D5" w:rsidP="007A60F3">
      <w:pPr>
        <w:widowControl w:val="0"/>
        <w:autoSpaceDE w:val="0"/>
        <w:autoSpaceDN w:val="0"/>
        <w:adjustRightInd w:val="0"/>
        <w:ind w:left="720"/>
      </w:pPr>
    </w:p>
    <w:tbl>
      <w:tblPr>
        <w:tblW w:w="962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0"/>
        <w:gridCol w:w="1185"/>
        <w:gridCol w:w="1185"/>
        <w:gridCol w:w="1185"/>
        <w:gridCol w:w="1185"/>
        <w:gridCol w:w="1185"/>
        <w:gridCol w:w="1185"/>
      </w:tblGrid>
      <w:tr w:rsidR="000177D5" w:rsidRPr="00993B55" w14:paraId="43BD8D7F" w14:textId="77777777" w:rsidTr="00CC160F">
        <w:trPr>
          <w:cantSplit/>
          <w:trHeight w:val="501"/>
        </w:trPr>
        <w:tc>
          <w:tcPr>
            <w:tcW w:w="9620" w:type="dxa"/>
            <w:gridSpan w:val="7"/>
            <w:shd w:val="clear" w:color="auto" w:fill="D9D9D9" w:themeFill="background1" w:themeFillShade="D9"/>
            <w:vAlign w:val="center"/>
          </w:tcPr>
          <w:p w14:paraId="72E7DAB0" w14:textId="77777777" w:rsidR="000177D5" w:rsidRPr="00993B55" w:rsidRDefault="000177D5" w:rsidP="00CC160F">
            <w:pPr>
              <w:keepNext/>
              <w:widowControl w:val="0"/>
              <w:jc w:val="center"/>
              <w:rPr>
                <w:b/>
                <w:sz w:val="22"/>
                <w:szCs w:val="22"/>
              </w:rPr>
            </w:pPr>
            <w:r w:rsidRPr="00993B55">
              <w:rPr>
                <w:b/>
                <w:sz w:val="22"/>
                <w:szCs w:val="22"/>
              </w:rPr>
              <w:t>BE (lb/year)</w:t>
            </w:r>
          </w:p>
        </w:tc>
      </w:tr>
      <w:tr w:rsidR="000177D5" w:rsidRPr="00993B55" w14:paraId="05664F0B" w14:textId="77777777" w:rsidTr="00CC160F">
        <w:trPr>
          <w:cantSplit/>
          <w:trHeight w:val="429"/>
        </w:trPr>
        <w:tc>
          <w:tcPr>
            <w:tcW w:w="2510" w:type="dxa"/>
            <w:shd w:val="clear" w:color="auto" w:fill="D9D9D9" w:themeFill="background1" w:themeFillShade="D9"/>
            <w:vAlign w:val="center"/>
          </w:tcPr>
          <w:p w14:paraId="59EA08D8" w14:textId="77777777" w:rsidR="000177D5" w:rsidRPr="00993B55" w:rsidRDefault="000177D5" w:rsidP="00CC160F">
            <w:pPr>
              <w:keepNext/>
              <w:widowControl w:val="0"/>
              <w:jc w:val="center"/>
              <w:rPr>
                <w:b/>
                <w:spacing w:val="-3"/>
                <w:sz w:val="22"/>
                <w:szCs w:val="22"/>
              </w:rPr>
            </w:pPr>
          </w:p>
        </w:tc>
        <w:tc>
          <w:tcPr>
            <w:tcW w:w="1185" w:type="dxa"/>
            <w:shd w:val="clear" w:color="auto" w:fill="D9D9D9" w:themeFill="background1" w:themeFillShade="D9"/>
            <w:vAlign w:val="center"/>
          </w:tcPr>
          <w:p w14:paraId="026219CB" w14:textId="03D5777A" w:rsidR="000177D5" w:rsidRPr="00993B55" w:rsidRDefault="000177D5" w:rsidP="00CC160F">
            <w:pPr>
              <w:keepNext/>
              <w:widowControl w:val="0"/>
              <w:jc w:val="center"/>
              <w:rPr>
                <w:b/>
                <w:sz w:val="22"/>
                <w:szCs w:val="22"/>
              </w:rPr>
            </w:pPr>
            <w:r w:rsidRPr="00993B55">
              <w:rPr>
                <w:b/>
                <w:sz w:val="22"/>
                <w:szCs w:val="22"/>
              </w:rPr>
              <w:t>NO</w:t>
            </w:r>
            <w:r w:rsidR="00EE2923">
              <w:rPr>
                <w:b/>
                <w:sz w:val="22"/>
                <w:szCs w:val="22"/>
              </w:rPr>
              <w:t>x</w:t>
            </w:r>
          </w:p>
        </w:tc>
        <w:tc>
          <w:tcPr>
            <w:tcW w:w="1185" w:type="dxa"/>
            <w:shd w:val="clear" w:color="auto" w:fill="D9D9D9" w:themeFill="background1" w:themeFillShade="D9"/>
            <w:vAlign w:val="center"/>
          </w:tcPr>
          <w:p w14:paraId="088433A0" w14:textId="4F4FEA94" w:rsidR="000177D5" w:rsidRPr="00993B55" w:rsidRDefault="000177D5" w:rsidP="00CC160F">
            <w:pPr>
              <w:keepNext/>
              <w:widowControl w:val="0"/>
              <w:jc w:val="center"/>
              <w:rPr>
                <w:b/>
                <w:spacing w:val="-3"/>
                <w:sz w:val="22"/>
                <w:szCs w:val="22"/>
              </w:rPr>
            </w:pPr>
            <w:r w:rsidRPr="00993B55">
              <w:rPr>
                <w:b/>
                <w:sz w:val="22"/>
                <w:szCs w:val="22"/>
              </w:rPr>
              <w:t>SO</w:t>
            </w:r>
            <w:r w:rsidR="00EE2923">
              <w:rPr>
                <w:b/>
                <w:sz w:val="22"/>
                <w:szCs w:val="22"/>
              </w:rPr>
              <w:t>x</w:t>
            </w:r>
          </w:p>
        </w:tc>
        <w:tc>
          <w:tcPr>
            <w:tcW w:w="1185" w:type="dxa"/>
            <w:shd w:val="clear" w:color="auto" w:fill="D9D9D9" w:themeFill="background1" w:themeFillShade="D9"/>
            <w:vAlign w:val="center"/>
          </w:tcPr>
          <w:p w14:paraId="52BD416A" w14:textId="09AAA7DF" w:rsidR="000177D5" w:rsidRPr="00993B55" w:rsidRDefault="000177D5" w:rsidP="00CC160F">
            <w:pPr>
              <w:keepNext/>
              <w:widowControl w:val="0"/>
              <w:jc w:val="center"/>
              <w:rPr>
                <w:b/>
                <w:spacing w:val="-3"/>
                <w:sz w:val="22"/>
                <w:szCs w:val="22"/>
              </w:rPr>
            </w:pPr>
            <w:r w:rsidRPr="00993B55">
              <w:rPr>
                <w:b/>
                <w:sz w:val="22"/>
                <w:szCs w:val="22"/>
              </w:rPr>
              <w:t>PM</w:t>
            </w:r>
            <w:r w:rsidR="00EE2923">
              <w:rPr>
                <w:b/>
                <w:sz w:val="22"/>
                <w:szCs w:val="22"/>
              </w:rPr>
              <w:t>10</w:t>
            </w:r>
          </w:p>
        </w:tc>
        <w:tc>
          <w:tcPr>
            <w:tcW w:w="1185" w:type="dxa"/>
            <w:shd w:val="clear" w:color="auto" w:fill="D9D9D9" w:themeFill="background1" w:themeFillShade="D9"/>
            <w:vAlign w:val="center"/>
          </w:tcPr>
          <w:p w14:paraId="41836A7F" w14:textId="73CF20B9" w:rsidR="000177D5" w:rsidRPr="00993B55" w:rsidRDefault="000177D5" w:rsidP="00CC160F">
            <w:pPr>
              <w:keepNext/>
              <w:widowControl w:val="0"/>
              <w:jc w:val="center"/>
              <w:rPr>
                <w:b/>
                <w:spacing w:val="-3"/>
                <w:sz w:val="22"/>
                <w:szCs w:val="22"/>
              </w:rPr>
            </w:pPr>
            <w:r w:rsidRPr="00993B55">
              <w:rPr>
                <w:b/>
                <w:sz w:val="22"/>
                <w:szCs w:val="22"/>
              </w:rPr>
              <w:t>PM</w:t>
            </w:r>
            <w:r w:rsidR="00EE2923">
              <w:rPr>
                <w:b/>
                <w:sz w:val="22"/>
                <w:szCs w:val="22"/>
              </w:rPr>
              <w:t>2.5</w:t>
            </w:r>
          </w:p>
        </w:tc>
        <w:tc>
          <w:tcPr>
            <w:tcW w:w="1185" w:type="dxa"/>
            <w:shd w:val="clear" w:color="auto" w:fill="D9D9D9" w:themeFill="background1" w:themeFillShade="D9"/>
            <w:vAlign w:val="center"/>
          </w:tcPr>
          <w:p w14:paraId="69996360" w14:textId="77777777" w:rsidR="000177D5" w:rsidRPr="00993B55" w:rsidRDefault="000177D5" w:rsidP="00CC160F">
            <w:pPr>
              <w:keepNext/>
              <w:widowControl w:val="0"/>
              <w:jc w:val="center"/>
              <w:rPr>
                <w:b/>
                <w:spacing w:val="-3"/>
                <w:sz w:val="22"/>
                <w:szCs w:val="22"/>
              </w:rPr>
            </w:pPr>
            <w:r w:rsidRPr="00993B55">
              <w:rPr>
                <w:b/>
                <w:sz w:val="22"/>
                <w:szCs w:val="22"/>
              </w:rPr>
              <w:t>CO</w:t>
            </w:r>
          </w:p>
        </w:tc>
        <w:tc>
          <w:tcPr>
            <w:tcW w:w="1185" w:type="dxa"/>
            <w:shd w:val="clear" w:color="auto" w:fill="D9D9D9" w:themeFill="background1" w:themeFillShade="D9"/>
            <w:vAlign w:val="center"/>
          </w:tcPr>
          <w:p w14:paraId="3C864087" w14:textId="77777777" w:rsidR="000177D5" w:rsidRPr="00993B55" w:rsidRDefault="000177D5" w:rsidP="00CC160F">
            <w:pPr>
              <w:keepNext/>
              <w:widowControl w:val="0"/>
              <w:jc w:val="center"/>
              <w:rPr>
                <w:b/>
                <w:spacing w:val="-3"/>
                <w:sz w:val="22"/>
                <w:szCs w:val="22"/>
              </w:rPr>
            </w:pPr>
            <w:r w:rsidRPr="00993B55">
              <w:rPr>
                <w:b/>
                <w:sz w:val="22"/>
                <w:szCs w:val="22"/>
              </w:rPr>
              <w:t>VOC</w:t>
            </w:r>
          </w:p>
        </w:tc>
      </w:tr>
      <w:tr w:rsidR="005D4FDF" w:rsidRPr="00993B55" w14:paraId="10DB8C6C" w14:textId="77777777" w:rsidTr="00CC160F">
        <w:trPr>
          <w:cantSplit/>
          <w:trHeight w:val="483"/>
        </w:trPr>
        <w:tc>
          <w:tcPr>
            <w:tcW w:w="2510" w:type="dxa"/>
            <w:shd w:val="clear" w:color="auto" w:fill="auto"/>
            <w:vAlign w:val="center"/>
          </w:tcPr>
          <w:p w14:paraId="40F2FDDC" w14:textId="70C53EBB" w:rsidR="005D4FDF" w:rsidRPr="00993B55" w:rsidRDefault="005D4FDF" w:rsidP="00CC160F">
            <w:pPr>
              <w:keepNext/>
              <w:widowControl w:val="0"/>
              <w:jc w:val="center"/>
              <w:rPr>
                <w:spacing w:val="-3"/>
                <w:sz w:val="22"/>
                <w:szCs w:val="22"/>
              </w:rPr>
            </w:pPr>
            <w:r w:rsidRPr="002071F4">
              <w:rPr>
                <w:color w:val="0000FF"/>
                <w:sz w:val="22"/>
                <w:szCs w:val="22"/>
              </w:rPr>
              <w:t>X-XXXX-X-X</w:t>
            </w:r>
          </w:p>
        </w:tc>
        <w:tc>
          <w:tcPr>
            <w:tcW w:w="1185" w:type="dxa"/>
            <w:shd w:val="clear" w:color="auto" w:fill="auto"/>
            <w:vAlign w:val="center"/>
          </w:tcPr>
          <w:p w14:paraId="4501C8D9" w14:textId="0FC2B1C4" w:rsidR="005D4FDF" w:rsidRPr="002071F4" w:rsidRDefault="005D4FDF" w:rsidP="00CC160F">
            <w:pPr>
              <w:keepNext/>
              <w:widowControl w:val="0"/>
              <w:jc w:val="center"/>
              <w:rPr>
                <w:color w:val="0000FF"/>
                <w:sz w:val="22"/>
                <w:szCs w:val="22"/>
              </w:rPr>
            </w:pPr>
            <w:r w:rsidRPr="002052A9">
              <w:rPr>
                <w:color w:val="0000FF"/>
                <w:sz w:val="22"/>
                <w:szCs w:val="22"/>
              </w:rPr>
              <w:t>X,XXX</w:t>
            </w:r>
          </w:p>
        </w:tc>
        <w:tc>
          <w:tcPr>
            <w:tcW w:w="1185" w:type="dxa"/>
            <w:shd w:val="clear" w:color="auto" w:fill="auto"/>
            <w:vAlign w:val="center"/>
          </w:tcPr>
          <w:p w14:paraId="70830432" w14:textId="64EFF902" w:rsidR="005D4FDF" w:rsidRPr="002071F4" w:rsidRDefault="005D4FDF" w:rsidP="00CC160F">
            <w:pPr>
              <w:keepNext/>
              <w:widowControl w:val="0"/>
              <w:jc w:val="center"/>
              <w:rPr>
                <w:color w:val="0000FF"/>
                <w:spacing w:val="-3"/>
                <w:sz w:val="22"/>
                <w:szCs w:val="22"/>
              </w:rPr>
            </w:pPr>
            <w:r w:rsidRPr="002052A9">
              <w:rPr>
                <w:color w:val="0000FF"/>
                <w:sz w:val="22"/>
                <w:szCs w:val="22"/>
              </w:rPr>
              <w:t>X,XXX</w:t>
            </w:r>
          </w:p>
        </w:tc>
        <w:tc>
          <w:tcPr>
            <w:tcW w:w="1185" w:type="dxa"/>
            <w:shd w:val="clear" w:color="auto" w:fill="auto"/>
            <w:vAlign w:val="center"/>
          </w:tcPr>
          <w:p w14:paraId="6D44EA6C" w14:textId="18731152" w:rsidR="005D4FDF" w:rsidRPr="002071F4" w:rsidRDefault="005D4FDF" w:rsidP="00CC160F">
            <w:pPr>
              <w:keepNext/>
              <w:widowControl w:val="0"/>
              <w:jc w:val="center"/>
              <w:rPr>
                <w:color w:val="0000FF"/>
                <w:sz w:val="22"/>
                <w:szCs w:val="22"/>
              </w:rPr>
            </w:pPr>
            <w:r w:rsidRPr="002052A9">
              <w:rPr>
                <w:color w:val="0000FF"/>
                <w:sz w:val="22"/>
                <w:szCs w:val="22"/>
              </w:rPr>
              <w:t>X,XXX</w:t>
            </w:r>
          </w:p>
        </w:tc>
        <w:tc>
          <w:tcPr>
            <w:tcW w:w="1185" w:type="dxa"/>
            <w:vAlign w:val="center"/>
          </w:tcPr>
          <w:p w14:paraId="07E21F9C" w14:textId="7E0E5F54" w:rsidR="005D4FDF" w:rsidRPr="002071F4" w:rsidRDefault="005D4FDF" w:rsidP="00CC160F">
            <w:pPr>
              <w:keepNext/>
              <w:widowControl w:val="0"/>
              <w:jc w:val="center"/>
              <w:rPr>
                <w:color w:val="0000FF"/>
                <w:sz w:val="22"/>
                <w:szCs w:val="22"/>
              </w:rPr>
            </w:pPr>
            <w:r w:rsidRPr="002052A9">
              <w:rPr>
                <w:color w:val="0000FF"/>
                <w:sz w:val="22"/>
                <w:szCs w:val="22"/>
              </w:rPr>
              <w:t>X,XXX</w:t>
            </w:r>
          </w:p>
        </w:tc>
        <w:tc>
          <w:tcPr>
            <w:tcW w:w="1185" w:type="dxa"/>
            <w:shd w:val="clear" w:color="auto" w:fill="auto"/>
            <w:vAlign w:val="center"/>
          </w:tcPr>
          <w:p w14:paraId="08E34638" w14:textId="34FB66D6" w:rsidR="005D4FDF" w:rsidRPr="002071F4" w:rsidRDefault="005D4FDF" w:rsidP="00CC160F">
            <w:pPr>
              <w:keepNext/>
              <w:widowControl w:val="0"/>
              <w:jc w:val="center"/>
              <w:rPr>
                <w:color w:val="0000FF"/>
                <w:sz w:val="22"/>
                <w:szCs w:val="22"/>
              </w:rPr>
            </w:pPr>
            <w:r w:rsidRPr="002052A9">
              <w:rPr>
                <w:color w:val="0000FF"/>
                <w:sz w:val="22"/>
                <w:szCs w:val="22"/>
              </w:rPr>
              <w:t>X,XXX</w:t>
            </w:r>
          </w:p>
        </w:tc>
        <w:tc>
          <w:tcPr>
            <w:tcW w:w="1185" w:type="dxa"/>
            <w:shd w:val="clear" w:color="auto" w:fill="auto"/>
            <w:vAlign w:val="center"/>
          </w:tcPr>
          <w:p w14:paraId="12097BB5" w14:textId="7355374E" w:rsidR="005D4FDF" w:rsidRPr="002071F4" w:rsidRDefault="005D4FDF" w:rsidP="00CC160F">
            <w:pPr>
              <w:keepNext/>
              <w:widowControl w:val="0"/>
              <w:jc w:val="center"/>
              <w:rPr>
                <w:color w:val="0000FF"/>
                <w:sz w:val="22"/>
                <w:szCs w:val="22"/>
              </w:rPr>
            </w:pPr>
            <w:r w:rsidRPr="002052A9">
              <w:rPr>
                <w:color w:val="0000FF"/>
                <w:sz w:val="22"/>
                <w:szCs w:val="22"/>
              </w:rPr>
              <w:t>X,XXX</w:t>
            </w:r>
          </w:p>
        </w:tc>
      </w:tr>
    </w:tbl>
    <w:p w14:paraId="51A6D184" w14:textId="77777777" w:rsidR="000177D5" w:rsidRPr="00993B55" w:rsidRDefault="000177D5" w:rsidP="007A60F3">
      <w:pPr>
        <w:widowControl w:val="0"/>
        <w:tabs>
          <w:tab w:val="left" w:pos="2160"/>
        </w:tabs>
        <w:autoSpaceDE w:val="0"/>
        <w:autoSpaceDN w:val="0"/>
        <w:adjustRightInd w:val="0"/>
        <w:ind w:left="720"/>
      </w:pPr>
    </w:p>
    <w:p w14:paraId="07C09D55" w14:textId="4B53BD15" w:rsidR="000177D5" w:rsidRPr="002071F4" w:rsidRDefault="002071F4" w:rsidP="00273314">
      <w:pPr>
        <w:widowControl w:val="0"/>
        <w:spacing w:line="240" w:lineRule="exact"/>
        <w:ind w:left="720"/>
        <w:rPr>
          <w:bCs/>
          <w:spacing w:val="-3"/>
        </w:rPr>
      </w:pPr>
      <w:r w:rsidRPr="002071F4">
        <w:rPr>
          <w:color w:val="0000FF"/>
          <w:sz w:val="22"/>
          <w:szCs w:val="22"/>
          <w:u w:val="single"/>
        </w:rPr>
        <w:t>X-XXXX-X-X</w:t>
      </w:r>
      <w:r w:rsidR="000177D5" w:rsidRPr="002071F4">
        <w:rPr>
          <w:bCs/>
          <w:spacing w:val="-3"/>
        </w:rPr>
        <w:t>:</w:t>
      </w:r>
    </w:p>
    <w:p w14:paraId="03607A55" w14:textId="77777777" w:rsidR="000177D5" w:rsidRPr="00993B55" w:rsidRDefault="000177D5" w:rsidP="007A60F3">
      <w:pPr>
        <w:widowControl w:val="0"/>
        <w:autoSpaceDE w:val="0"/>
        <w:autoSpaceDN w:val="0"/>
        <w:adjustRightInd w:val="0"/>
        <w:ind w:left="720"/>
        <w:rPr>
          <w:color w:val="000000"/>
        </w:rPr>
      </w:pPr>
      <w:r w:rsidRPr="00993B55">
        <w:rPr>
          <w:color w:val="000000"/>
        </w:rPr>
        <w:t>Since this is a new emissions unit, BE = PE1 = 0 for all pollutants.</w:t>
      </w:r>
    </w:p>
    <w:p w14:paraId="2741C80D" w14:textId="77777777" w:rsidR="000177D5" w:rsidRPr="00993B55" w:rsidRDefault="000177D5" w:rsidP="007A60F3">
      <w:pPr>
        <w:widowControl w:val="0"/>
        <w:autoSpaceDE w:val="0"/>
        <w:autoSpaceDN w:val="0"/>
        <w:adjustRightInd w:val="0"/>
        <w:ind w:left="720"/>
        <w:rPr>
          <w:color w:val="000000"/>
        </w:rPr>
      </w:pPr>
    </w:p>
    <w:p w14:paraId="21A464E7" w14:textId="79BEDACB" w:rsidR="000177D5" w:rsidRPr="00993B55" w:rsidRDefault="000177D5" w:rsidP="007A60F3">
      <w:pPr>
        <w:widowControl w:val="0"/>
        <w:autoSpaceDE w:val="0"/>
        <w:autoSpaceDN w:val="0"/>
        <w:adjustRightInd w:val="0"/>
        <w:ind w:left="2250" w:hanging="1530"/>
        <w:rPr>
          <w:i/>
          <w:iCs/>
          <w:color w:val="0000FF"/>
          <w:u w:val="single"/>
        </w:rPr>
      </w:pPr>
      <w:r w:rsidRPr="00993B55">
        <w:rPr>
          <w:i/>
          <w:iCs/>
          <w:color w:val="0000FF"/>
          <w:u w:val="single"/>
        </w:rPr>
        <w:t>Example (b)</w:t>
      </w:r>
      <w:r w:rsidRPr="00993B55">
        <w:rPr>
          <w:i/>
          <w:iCs/>
          <w:color w:val="0000FF"/>
        </w:rPr>
        <w:t>:</w:t>
      </w:r>
      <w:r w:rsidRPr="00993B55">
        <w:rPr>
          <w:i/>
          <w:iCs/>
          <w:color w:val="0000FF"/>
        </w:rPr>
        <w:tab/>
        <w:t>(For a Major Source – NO</w:t>
      </w:r>
      <w:r w:rsidR="00EE2923">
        <w:rPr>
          <w:i/>
          <w:iCs/>
          <w:color w:val="0000FF"/>
        </w:rPr>
        <w:t>x</w:t>
      </w:r>
      <w:r w:rsidRPr="00993B55">
        <w:rPr>
          <w:i/>
          <w:iCs/>
          <w:color w:val="0000FF"/>
        </w:rPr>
        <w:t xml:space="preserve"> only – Where the unit is a Clean Emissions Unit.)</w:t>
      </w:r>
    </w:p>
    <w:p w14:paraId="50BEC1EA" w14:textId="77777777" w:rsidR="00687A42" w:rsidRPr="00993B55" w:rsidRDefault="00687A42" w:rsidP="007A60F3">
      <w:pPr>
        <w:widowControl w:val="0"/>
        <w:tabs>
          <w:tab w:val="left" w:pos="1080"/>
        </w:tabs>
        <w:ind w:left="720"/>
      </w:pPr>
    </w:p>
    <w:p w14:paraId="69F5EEC9" w14:textId="6BAB2E8A" w:rsidR="000177D5" w:rsidRPr="00993B55" w:rsidRDefault="000177D5" w:rsidP="007A60F3">
      <w:pPr>
        <w:widowControl w:val="0"/>
        <w:tabs>
          <w:tab w:val="left" w:pos="1080"/>
        </w:tabs>
        <w:ind w:left="720"/>
        <w:rPr>
          <w:b/>
          <w:bCs/>
        </w:rPr>
      </w:pPr>
      <w:r w:rsidRPr="00993B55">
        <w:rPr>
          <w:b/>
          <w:bCs/>
        </w:rPr>
        <w:t>a.</w:t>
      </w:r>
      <w:r w:rsidRPr="00993B55">
        <w:rPr>
          <w:b/>
          <w:bCs/>
        </w:rPr>
        <w:tab/>
        <w:t>BE NO</w:t>
      </w:r>
      <w:r w:rsidR="00EE2923">
        <w:rPr>
          <w:b/>
          <w:bCs/>
        </w:rPr>
        <w:t>x</w:t>
      </w:r>
    </w:p>
    <w:p w14:paraId="1AD68809" w14:textId="77777777" w:rsidR="000177D5" w:rsidRPr="00EE6E5C" w:rsidRDefault="000177D5" w:rsidP="007A60F3">
      <w:pPr>
        <w:widowControl w:val="0"/>
        <w:ind w:left="720"/>
      </w:pPr>
    </w:p>
    <w:p w14:paraId="332D9424" w14:textId="77777777" w:rsidR="000177D5" w:rsidRPr="00993B55" w:rsidRDefault="000177D5" w:rsidP="007A60F3">
      <w:pPr>
        <w:widowControl w:val="0"/>
        <w:ind w:left="720"/>
        <w:rPr>
          <w:rFonts w:cs="Arial"/>
          <w:i/>
          <w:iCs/>
          <w:u w:val="single"/>
        </w:rPr>
      </w:pPr>
      <w:r w:rsidRPr="00993B55">
        <w:rPr>
          <w:i/>
          <w:iCs/>
          <w:u w:val="single"/>
        </w:rPr>
        <w:t>Unit Located at a Non-Major Source</w:t>
      </w:r>
    </w:p>
    <w:p w14:paraId="7698FEDE" w14:textId="2EA2C42D" w:rsidR="000177D5" w:rsidRPr="00993B55" w:rsidRDefault="000177D5" w:rsidP="007A60F3">
      <w:pPr>
        <w:widowControl w:val="0"/>
        <w:ind w:left="720"/>
      </w:pPr>
      <w:r w:rsidRPr="00993B55">
        <w:t>As shown in Section VII.C.5 above, the facility is a major source for NO</w:t>
      </w:r>
      <w:r w:rsidR="00EE2923">
        <w:t>x</w:t>
      </w:r>
      <w:r w:rsidRPr="00993B55">
        <w:t xml:space="preserve"> emissions.</w:t>
      </w:r>
    </w:p>
    <w:p w14:paraId="66768A06" w14:textId="77777777" w:rsidR="000177D5" w:rsidRPr="00993B55" w:rsidRDefault="000177D5" w:rsidP="007A60F3">
      <w:pPr>
        <w:widowControl w:val="0"/>
        <w:ind w:left="720"/>
      </w:pPr>
    </w:p>
    <w:p w14:paraId="6C9A004A" w14:textId="77777777" w:rsidR="000177D5" w:rsidRPr="00993B55" w:rsidRDefault="000177D5" w:rsidP="007A60F3">
      <w:pPr>
        <w:widowControl w:val="0"/>
        <w:ind w:left="720"/>
        <w:rPr>
          <w:rFonts w:cs="Arial"/>
          <w:i/>
          <w:iCs/>
          <w:u w:val="single"/>
        </w:rPr>
      </w:pPr>
      <w:r w:rsidRPr="00993B55">
        <w:rPr>
          <w:rFonts w:cs="Arial"/>
          <w:i/>
          <w:iCs/>
          <w:u w:val="single"/>
        </w:rPr>
        <w:t>Highly-Utilized Emissions Unit, located at a Major Source</w:t>
      </w:r>
    </w:p>
    <w:p w14:paraId="6B09F73D" w14:textId="292B0D77" w:rsidR="000177D5" w:rsidRPr="00993B55" w:rsidRDefault="000177D5" w:rsidP="007A60F3">
      <w:pPr>
        <w:widowControl w:val="0"/>
        <w:ind w:left="720"/>
        <w:rPr>
          <w:rFonts w:cs="Arial"/>
        </w:rPr>
      </w:pPr>
      <w:r w:rsidRPr="00993B55">
        <w:rPr>
          <w:rFonts w:cs="Arial"/>
        </w:rPr>
        <w:t xml:space="preserve">Rule 2201 defines a Highly Utilized Emissions Unit as “an emissions unit for which the average annual Actual Emissions during the </w:t>
      </w:r>
      <w:r w:rsidR="00304A92">
        <w:rPr>
          <w:rFonts w:cs="Arial"/>
        </w:rPr>
        <w:t>24</w:t>
      </w:r>
      <w:r w:rsidR="00304A92" w:rsidRPr="00993B55">
        <w:rPr>
          <w:rFonts w:cs="Arial"/>
        </w:rPr>
        <w:t xml:space="preserve"> </w:t>
      </w:r>
      <w:r w:rsidRPr="00993B55">
        <w:rPr>
          <w:rFonts w:cs="Arial"/>
        </w:rPr>
        <w:t xml:space="preserve">consecutive </w:t>
      </w:r>
      <w:r w:rsidR="00304A92">
        <w:rPr>
          <w:rFonts w:cs="Arial"/>
        </w:rPr>
        <w:t>months</w:t>
      </w:r>
      <w:r w:rsidRPr="00993B55">
        <w:rPr>
          <w:rFonts w:cs="Arial"/>
        </w:rPr>
        <w:t xml:space="preserve"> immediately prior to filing of an application for an Authority to Construct were equal to or greater than 80% of the unit’s pre-project Potential to Emit.” Since the application was filed </w:t>
      </w:r>
      <w:r w:rsidR="002F3779">
        <w:rPr>
          <w:rFonts w:cs="Arial"/>
        </w:rPr>
        <w:t>on</w:t>
      </w:r>
      <w:r w:rsidRPr="00993B55">
        <w:rPr>
          <w:rFonts w:cs="Arial"/>
        </w:rPr>
        <w:t xml:space="preserve"> </w:t>
      </w:r>
      <w:r w:rsidRPr="00B83E0D">
        <w:rPr>
          <w:rFonts w:cs="Arial"/>
          <w:color w:val="0000FF"/>
        </w:rPr>
        <w:t>January 6, 20</w:t>
      </w:r>
      <w:r w:rsidR="00965056" w:rsidRPr="00B83E0D">
        <w:rPr>
          <w:rFonts w:cs="Arial"/>
          <w:color w:val="0000FF"/>
        </w:rPr>
        <w:t>23</w:t>
      </w:r>
      <w:r w:rsidRPr="00993B55">
        <w:rPr>
          <w:rFonts w:cs="Arial"/>
        </w:rPr>
        <w:t xml:space="preserve">, the District will use information from the </w:t>
      </w:r>
      <w:r w:rsidR="00D93CC1">
        <w:rPr>
          <w:rFonts w:cs="Arial"/>
        </w:rPr>
        <w:t>24</w:t>
      </w:r>
      <w:r w:rsidRPr="00993B55">
        <w:rPr>
          <w:rFonts w:cs="Arial"/>
        </w:rPr>
        <w:t xml:space="preserve"> </w:t>
      </w:r>
      <w:r w:rsidR="00D93CC1">
        <w:rPr>
          <w:rFonts w:cs="Arial"/>
        </w:rPr>
        <w:t>months</w:t>
      </w:r>
      <w:r w:rsidRPr="00993B55">
        <w:rPr>
          <w:rFonts w:cs="Arial"/>
        </w:rPr>
        <w:t xml:space="preserve"> prior that date, to establish Actual Emissions from the unit.</w:t>
      </w:r>
    </w:p>
    <w:p w14:paraId="785ECFC6" w14:textId="77777777" w:rsidR="000177D5" w:rsidRPr="00993B55" w:rsidRDefault="000177D5" w:rsidP="007A60F3">
      <w:pPr>
        <w:widowControl w:val="0"/>
        <w:ind w:left="720"/>
        <w:rPr>
          <w:rFonts w:cs="Arial"/>
        </w:rPr>
      </w:pPr>
    </w:p>
    <w:p w14:paraId="6855DF6E" w14:textId="36384CAF" w:rsidR="000177D5" w:rsidRPr="00993B55" w:rsidRDefault="000177D5" w:rsidP="007A60F3">
      <w:pPr>
        <w:widowControl w:val="0"/>
        <w:ind w:left="720"/>
        <w:rPr>
          <w:rFonts w:cs="Arial"/>
        </w:rPr>
      </w:pPr>
      <w:r w:rsidRPr="00993B55">
        <w:rPr>
          <w:rFonts w:cs="Arial"/>
        </w:rPr>
        <w:t xml:space="preserve">In compliance with the determining Historical Actual Emissions (HAE), the applicant has provided the annual fuel usage for this unit for </w:t>
      </w:r>
      <w:r w:rsidRPr="00F11E6C">
        <w:rPr>
          <w:rFonts w:cs="Arial"/>
          <w:color w:val="0000FF"/>
        </w:rPr>
        <w:t>20</w:t>
      </w:r>
      <w:r w:rsidR="00CF5E42" w:rsidRPr="00F11E6C">
        <w:rPr>
          <w:rFonts w:cs="Arial"/>
          <w:color w:val="0000FF"/>
        </w:rPr>
        <w:t>21</w:t>
      </w:r>
      <w:r w:rsidRPr="00993B55">
        <w:rPr>
          <w:rFonts w:cs="Arial"/>
        </w:rPr>
        <w:t xml:space="preserve"> and </w:t>
      </w:r>
      <w:r w:rsidRPr="00F11E6C">
        <w:rPr>
          <w:rFonts w:cs="Arial"/>
          <w:color w:val="0000FF"/>
        </w:rPr>
        <w:t>20</w:t>
      </w:r>
      <w:r w:rsidR="00CF5E42" w:rsidRPr="00F11E6C">
        <w:rPr>
          <w:rFonts w:cs="Arial"/>
          <w:color w:val="0000FF"/>
        </w:rPr>
        <w:t>22</w:t>
      </w:r>
      <w:r w:rsidRPr="00993B55">
        <w:rPr>
          <w:rFonts w:cs="Arial"/>
        </w:rPr>
        <w:t xml:space="preserve"> (i.e. </w:t>
      </w:r>
      <w:r w:rsidR="00D540E8">
        <w:rPr>
          <w:rFonts w:cs="Arial"/>
        </w:rPr>
        <w:t>24 months</w:t>
      </w:r>
      <w:r w:rsidRPr="00993B55">
        <w:rPr>
          <w:rFonts w:cs="Arial"/>
        </w:rPr>
        <w:t xml:space="preserve"> prior to the application).  The District will also use NO</w:t>
      </w:r>
      <w:r w:rsidR="00EE2923">
        <w:rPr>
          <w:rFonts w:cs="Arial"/>
        </w:rPr>
        <w:t>x</w:t>
      </w:r>
      <w:r w:rsidRPr="00993B55">
        <w:rPr>
          <w:rFonts w:cs="Arial"/>
        </w:rPr>
        <w:t xml:space="preserve"> source test results from the </w:t>
      </w:r>
      <w:r w:rsidRPr="00333756">
        <w:rPr>
          <w:rFonts w:cs="Arial"/>
          <w:color w:val="0000FF"/>
        </w:rPr>
        <w:t>20</w:t>
      </w:r>
      <w:r w:rsidR="00CF5E42" w:rsidRPr="00333756">
        <w:rPr>
          <w:rFonts w:cs="Arial"/>
          <w:color w:val="0000FF"/>
        </w:rPr>
        <w:t>21</w:t>
      </w:r>
      <w:r w:rsidRPr="00993B55">
        <w:rPr>
          <w:rFonts w:cs="Arial"/>
        </w:rPr>
        <w:t xml:space="preserve"> and </w:t>
      </w:r>
      <w:r w:rsidRPr="00333756">
        <w:rPr>
          <w:rFonts w:cs="Arial"/>
          <w:color w:val="0000FF"/>
        </w:rPr>
        <w:t>20</w:t>
      </w:r>
      <w:r w:rsidR="00CF5E42" w:rsidRPr="00333756">
        <w:rPr>
          <w:rFonts w:cs="Arial"/>
          <w:color w:val="0000FF"/>
        </w:rPr>
        <w:t>22</w:t>
      </w:r>
      <w:r w:rsidRPr="00993B55">
        <w:rPr>
          <w:rFonts w:cs="Arial"/>
        </w:rPr>
        <w:t xml:space="preserve"> source tests for the unit to establish the HAE.</w:t>
      </w:r>
    </w:p>
    <w:p w14:paraId="41696C95" w14:textId="77777777" w:rsidR="000177D5" w:rsidRPr="00CB00FA" w:rsidRDefault="000177D5" w:rsidP="007A60F3">
      <w:pPr>
        <w:widowControl w:val="0"/>
        <w:ind w:left="720"/>
        <w:rPr>
          <w:rFonts w:cs="Arial"/>
        </w:rPr>
      </w:pPr>
    </w:p>
    <w:p w14:paraId="04776002" w14:textId="77777777" w:rsidR="000177D5" w:rsidRPr="00993B55" w:rsidRDefault="000177D5" w:rsidP="007A60F3">
      <w:pPr>
        <w:widowControl w:val="0"/>
        <w:ind w:left="720"/>
        <w:rPr>
          <w:rFonts w:cs="Arial"/>
          <w:u w:val="single"/>
        </w:rPr>
      </w:pPr>
      <w:r w:rsidRPr="00993B55">
        <w:rPr>
          <w:rFonts w:cs="Arial"/>
          <w:u w:val="single"/>
        </w:rPr>
        <w:t>HAE:</w:t>
      </w:r>
    </w:p>
    <w:p w14:paraId="10C01456" w14:textId="77777777" w:rsidR="00333756" w:rsidRPr="00993B55" w:rsidRDefault="00333756" w:rsidP="00333756">
      <w:pPr>
        <w:widowControl w:val="0"/>
        <w:tabs>
          <w:tab w:val="left" w:pos="1800"/>
          <w:tab w:val="left" w:pos="5670"/>
        </w:tabs>
        <w:ind w:left="1080"/>
        <w:rPr>
          <w:rFonts w:cs="Arial"/>
          <w:u w:val="single"/>
        </w:rPr>
      </w:pPr>
      <w:r w:rsidRPr="00432258">
        <w:rPr>
          <w:rFonts w:cs="Arial"/>
        </w:rPr>
        <w:tab/>
      </w:r>
      <w:r w:rsidRPr="00993B55">
        <w:rPr>
          <w:rFonts w:cs="Arial"/>
          <w:u w:val="single"/>
        </w:rPr>
        <w:t>Throughput</w:t>
      </w:r>
      <w:r w:rsidRPr="00432258">
        <w:rPr>
          <w:rFonts w:cs="Arial"/>
        </w:rPr>
        <w:tab/>
      </w:r>
      <w:r w:rsidRPr="00993B55">
        <w:rPr>
          <w:rFonts w:cs="Arial"/>
          <w:u w:val="single"/>
        </w:rPr>
        <w:t>Source test Results</w:t>
      </w:r>
    </w:p>
    <w:p w14:paraId="5DDF1B1E" w14:textId="77777777" w:rsidR="00333756" w:rsidRPr="00993B55" w:rsidRDefault="00333756" w:rsidP="00333756">
      <w:pPr>
        <w:widowControl w:val="0"/>
        <w:tabs>
          <w:tab w:val="left" w:pos="5310"/>
        </w:tabs>
        <w:ind w:left="720"/>
        <w:rPr>
          <w:rFonts w:cs="Arial"/>
        </w:rPr>
      </w:pPr>
      <w:r w:rsidRPr="00B43C53">
        <w:rPr>
          <w:rFonts w:cs="Arial"/>
          <w:color w:val="0000FF"/>
        </w:rPr>
        <w:t>2021</w:t>
      </w:r>
      <w:r w:rsidRPr="00993B55">
        <w:rPr>
          <w:rFonts w:cs="Arial"/>
        </w:rPr>
        <w:t xml:space="preserve">: </w:t>
      </w:r>
      <w:r>
        <w:rPr>
          <w:rFonts w:cs="Arial"/>
          <w:color w:val="0000FF"/>
        </w:rPr>
        <w:t>XXX,XXX</w:t>
      </w:r>
      <w:r w:rsidRPr="009A2968">
        <w:rPr>
          <w:rFonts w:cs="Arial"/>
          <w:color w:val="0000FF"/>
        </w:rPr>
        <w:t xml:space="preserve"> </w:t>
      </w:r>
      <w:r w:rsidRPr="00993B55">
        <w:rPr>
          <w:rFonts w:cs="Arial"/>
        </w:rPr>
        <w:t>MMBtu/year</w:t>
      </w:r>
      <w:r w:rsidRPr="00993B55">
        <w:rPr>
          <w:rFonts w:cs="Arial"/>
        </w:rPr>
        <w:tab/>
        <w:t>20</w:t>
      </w:r>
      <w:r>
        <w:rPr>
          <w:rFonts w:cs="Arial"/>
        </w:rPr>
        <w:t>21</w:t>
      </w:r>
      <w:r w:rsidRPr="00993B55">
        <w:rPr>
          <w:rFonts w:cs="Arial"/>
        </w:rPr>
        <w:t xml:space="preserve">: </w:t>
      </w:r>
      <w:r>
        <w:rPr>
          <w:rFonts w:cs="Arial"/>
          <w:color w:val="0000FF"/>
        </w:rPr>
        <w:t>X.XXX</w:t>
      </w:r>
      <w:r w:rsidRPr="009A2968">
        <w:rPr>
          <w:rFonts w:cs="Arial"/>
          <w:color w:val="0000FF"/>
        </w:rPr>
        <w:t xml:space="preserve"> </w:t>
      </w:r>
      <w:r w:rsidRPr="00993B55">
        <w:rPr>
          <w:rFonts w:cs="Arial"/>
        </w:rPr>
        <w:t>lb</w:t>
      </w:r>
      <w:r>
        <w:rPr>
          <w:rFonts w:cs="Arial"/>
        </w:rPr>
        <w:t>-</w:t>
      </w:r>
      <w:r w:rsidRPr="00993B55">
        <w:rPr>
          <w:rFonts w:cs="Arial"/>
        </w:rPr>
        <w:t>NO</w:t>
      </w:r>
      <w:r>
        <w:rPr>
          <w:rFonts w:cs="Arial"/>
        </w:rPr>
        <w:t>x</w:t>
      </w:r>
      <w:r w:rsidRPr="00993B55">
        <w:rPr>
          <w:rFonts w:cs="Arial"/>
        </w:rPr>
        <w:t>/MMBtu</w:t>
      </w:r>
    </w:p>
    <w:p w14:paraId="532039A5" w14:textId="77777777" w:rsidR="00333756" w:rsidRPr="00993B55" w:rsidRDefault="00333756" w:rsidP="00333756">
      <w:pPr>
        <w:widowControl w:val="0"/>
        <w:tabs>
          <w:tab w:val="left" w:pos="5310"/>
        </w:tabs>
        <w:ind w:left="720"/>
        <w:rPr>
          <w:rFonts w:cs="Arial"/>
          <w:u w:val="single"/>
        </w:rPr>
      </w:pPr>
      <w:r w:rsidRPr="00B43C53">
        <w:rPr>
          <w:rFonts w:cs="Arial"/>
          <w:color w:val="0000FF"/>
        </w:rPr>
        <w:t>2022</w:t>
      </w:r>
      <w:r w:rsidRPr="00993B55">
        <w:rPr>
          <w:rFonts w:cs="Arial"/>
        </w:rPr>
        <w:t xml:space="preserve">: </w:t>
      </w:r>
      <w:r>
        <w:rPr>
          <w:rFonts w:cs="Arial"/>
          <w:color w:val="0000FF"/>
          <w:u w:val="single"/>
        </w:rPr>
        <w:t>XXX,XXX</w:t>
      </w:r>
      <w:r w:rsidRPr="009A2968">
        <w:rPr>
          <w:rFonts w:cs="Arial"/>
          <w:color w:val="0000FF"/>
          <w:u w:val="single"/>
        </w:rPr>
        <w:t xml:space="preserve"> </w:t>
      </w:r>
      <w:r w:rsidRPr="00993B55">
        <w:rPr>
          <w:rFonts w:cs="Arial"/>
          <w:u w:val="single"/>
        </w:rPr>
        <w:t>MMBtu/year</w:t>
      </w:r>
      <w:r w:rsidRPr="00993B55">
        <w:rPr>
          <w:rFonts w:cs="Arial"/>
        </w:rPr>
        <w:tab/>
      </w:r>
      <w:r w:rsidRPr="00993B55">
        <w:rPr>
          <w:rFonts w:cs="Arial"/>
          <w:u w:val="single"/>
        </w:rPr>
        <w:t>20</w:t>
      </w:r>
      <w:r>
        <w:rPr>
          <w:rFonts w:cs="Arial"/>
          <w:u w:val="single"/>
        </w:rPr>
        <w:t>22</w:t>
      </w:r>
      <w:r w:rsidRPr="00993B55">
        <w:rPr>
          <w:rFonts w:cs="Arial"/>
          <w:u w:val="single"/>
        </w:rPr>
        <w:t xml:space="preserve">: </w:t>
      </w:r>
      <w:r>
        <w:rPr>
          <w:rFonts w:cs="Arial"/>
          <w:color w:val="0000FF"/>
          <w:u w:val="single"/>
        </w:rPr>
        <w:t>X.XXX</w:t>
      </w:r>
      <w:r w:rsidRPr="009A2968">
        <w:rPr>
          <w:rFonts w:cs="Arial"/>
          <w:color w:val="0000FF"/>
          <w:u w:val="single"/>
        </w:rPr>
        <w:t xml:space="preserve"> </w:t>
      </w:r>
      <w:r w:rsidRPr="00993B55">
        <w:rPr>
          <w:rFonts w:cs="Arial"/>
          <w:u w:val="single"/>
        </w:rPr>
        <w:t>lb</w:t>
      </w:r>
      <w:r>
        <w:rPr>
          <w:rFonts w:cs="Arial"/>
          <w:u w:val="single"/>
        </w:rPr>
        <w:t>-</w:t>
      </w:r>
      <w:r w:rsidRPr="00993B55">
        <w:rPr>
          <w:rFonts w:cs="Arial"/>
          <w:u w:val="single"/>
        </w:rPr>
        <w:t>NO</w:t>
      </w:r>
      <w:r>
        <w:rPr>
          <w:rFonts w:cs="Arial"/>
          <w:u w:val="single"/>
        </w:rPr>
        <w:t>x</w:t>
      </w:r>
      <w:r w:rsidRPr="00993B55">
        <w:rPr>
          <w:rFonts w:cs="Arial"/>
          <w:u w:val="single"/>
        </w:rPr>
        <w:t>/MMBtu</w:t>
      </w:r>
    </w:p>
    <w:p w14:paraId="1650506D" w14:textId="77777777" w:rsidR="00333756" w:rsidRPr="00993B55" w:rsidRDefault="00333756" w:rsidP="00333756">
      <w:pPr>
        <w:widowControl w:val="0"/>
        <w:tabs>
          <w:tab w:val="left" w:pos="5310"/>
        </w:tabs>
        <w:ind w:left="720"/>
        <w:rPr>
          <w:rFonts w:cs="Arial"/>
        </w:rPr>
      </w:pPr>
      <w:r w:rsidRPr="00993B55">
        <w:rPr>
          <w:rFonts w:cs="Arial"/>
        </w:rPr>
        <w:t xml:space="preserve">(avg): </w:t>
      </w:r>
      <w:r>
        <w:rPr>
          <w:rFonts w:cs="Arial"/>
          <w:color w:val="0000FF"/>
        </w:rPr>
        <w:t>XXX,XXX</w:t>
      </w:r>
      <w:r w:rsidRPr="009A2968">
        <w:rPr>
          <w:rFonts w:cs="Arial"/>
          <w:color w:val="0000FF"/>
        </w:rPr>
        <w:t xml:space="preserve"> </w:t>
      </w:r>
      <w:r w:rsidRPr="00993B55">
        <w:rPr>
          <w:rFonts w:cs="Arial"/>
        </w:rPr>
        <w:t>MMBtu/year</w:t>
      </w:r>
      <w:r w:rsidRPr="00993B55">
        <w:rPr>
          <w:rFonts w:cs="Arial"/>
        </w:rPr>
        <w:tab/>
        <w:t xml:space="preserve">(avg): </w:t>
      </w:r>
      <w:r>
        <w:rPr>
          <w:rFonts w:cs="Arial"/>
          <w:color w:val="0000FF"/>
        </w:rPr>
        <w:t>X.XXX</w:t>
      </w:r>
      <w:r w:rsidRPr="009A2968">
        <w:rPr>
          <w:rFonts w:cs="Arial"/>
          <w:color w:val="0000FF"/>
        </w:rPr>
        <w:t xml:space="preserve"> </w:t>
      </w:r>
      <w:r w:rsidRPr="00993B55">
        <w:rPr>
          <w:rFonts w:cs="Arial"/>
        </w:rPr>
        <w:t>lb</w:t>
      </w:r>
      <w:r>
        <w:rPr>
          <w:rFonts w:cs="Arial"/>
        </w:rPr>
        <w:t>-</w:t>
      </w:r>
      <w:r w:rsidRPr="00993B55">
        <w:rPr>
          <w:rFonts w:cs="Arial"/>
        </w:rPr>
        <w:t>NO</w:t>
      </w:r>
      <w:r>
        <w:rPr>
          <w:rFonts w:cs="Arial"/>
        </w:rPr>
        <w:t>x</w:t>
      </w:r>
      <w:r w:rsidRPr="00993B55">
        <w:rPr>
          <w:rFonts w:cs="Arial"/>
        </w:rPr>
        <w:t>/MMBtu</w:t>
      </w:r>
    </w:p>
    <w:p w14:paraId="132A6D32" w14:textId="77777777" w:rsidR="000177D5" w:rsidRPr="00993B55" w:rsidRDefault="000177D5" w:rsidP="009F1549">
      <w:pPr>
        <w:widowControl w:val="0"/>
        <w:tabs>
          <w:tab w:val="left" w:pos="5310"/>
        </w:tabs>
        <w:ind w:left="720"/>
        <w:rPr>
          <w:rFonts w:cs="Arial"/>
        </w:rPr>
      </w:pPr>
    </w:p>
    <w:p w14:paraId="58FBA26A" w14:textId="26C55C34" w:rsidR="00333756" w:rsidRPr="00993B55" w:rsidRDefault="00333756" w:rsidP="00B83E0D">
      <w:pPr>
        <w:widowControl w:val="0"/>
        <w:ind w:left="720"/>
        <w:rPr>
          <w:rFonts w:cs="Arial"/>
          <w:color w:val="000000"/>
        </w:rPr>
      </w:pPr>
      <w:r w:rsidRPr="009A2968">
        <w:rPr>
          <w:rFonts w:cs="Arial"/>
          <w:color w:val="0000FF"/>
        </w:rPr>
        <w:t>2021</w:t>
      </w:r>
      <w:r>
        <w:rPr>
          <w:rFonts w:cs="Arial"/>
          <w:color w:val="000000"/>
        </w:rPr>
        <w:t xml:space="preserve"> </w:t>
      </w:r>
      <w:r w:rsidR="00B83E0D">
        <w:rPr>
          <w:rFonts w:cs="Arial"/>
          <w:color w:val="000000"/>
        </w:rPr>
        <w:t>H</w:t>
      </w:r>
      <w:r w:rsidRPr="00993B55">
        <w:rPr>
          <w:rFonts w:cs="Arial"/>
          <w:color w:val="000000"/>
        </w:rPr>
        <w:t>AE</w:t>
      </w:r>
    </w:p>
    <w:p w14:paraId="4892B418" w14:textId="77777777" w:rsidR="00333756" w:rsidRPr="00993B55" w:rsidRDefault="00333756" w:rsidP="00B83E0D">
      <w:pPr>
        <w:widowControl w:val="0"/>
        <w:ind w:left="720"/>
        <w:rPr>
          <w:rFonts w:cs="Arial"/>
          <w:color w:val="000000"/>
        </w:rPr>
      </w:pPr>
      <w:r>
        <w:rPr>
          <w:rFonts w:cs="Arial"/>
          <w:color w:val="0000FF"/>
        </w:rPr>
        <w:t>XXX,XXX</w:t>
      </w:r>
      <w:r w:rsidRPr="00993B55">
        <w:rPr>
          <w:rFonts w:cs="Arial"/>
          <w:color w:val="000000"/>
        </w:rPr>
        <w:t xml:space="preserve"> MMBtu/year x </w:t>
      </w:r>
      <w:r>
        <w:rPr>
          <w:rFonts w:cs="Arial"/>
          <w:color w:val="0000FF"/>
        </w:rPr>
        <w:t>X.XXX</w:t>
      </w:r>
      <w:r w:rsidRPr="009A2968">
        <w:rPr>
          <w:rFonts w:cs="Arial"/>
          <w:color w:val="0000FF"/>
        </w:rPr>
        <w:t xml:space="preserve"> </w:t>
      </w:r>
      <w:r w:rsidRPr="00993B55">
        <w:rPr>
          <w:rFonts w:cs="Arial"/>
          <w:color w:val="000000"/>
        </w:rPr>
        <w:t>lb NO</w:t>
      </w:r>
      <w:r>
        <w:rPr>
          <w:rFonts w:cs="Arial"/>
          <w:color w:val="000000"/>
        </w:rPr>
        <w:t>x</w:t>
      </w:r>
      <w:r w:rsidRPr="00993B55">
        <w:rPr>
          <w:rFonts w:cs="Arial"/>
          <w:color w:val="000000"/>
        </w:rPr>
        <w:t xml:space="preserve">/MMBtu = </w:t>
      </w:r>
      <w:r>
        <w:rPr>
          <w:rFonts w:cs="Arial"/>
          <w:color w:val="0000FF"/>
        </w:rPr>
        <w:t>X,XXX</w:t>
      </w:r>
      <w:r w:rsidRPr="009A2968">
        <w:rPr>
          <w:rFonts w:cs="Arial"/>
          <w:color w:val="0000FF"/>
        </w:rPr>
        <w:t xml:space="preserve"> </w:t>
      </w:r>
      <w:r w:rsidRPr="00993B55">
        <w:rPr>
          <w:rFonts w:cs="Arial"/>
          <w:color w:val="000000"/>
        </w:rPr>
        <w:t>lb</w:t>
      </w:r>
      <w:r>
        <w:rPr>
          <w:rFonts w:cs="Arial"/>
          <w:color w:val="000000"/>
        </w:rPr>
        <w:t>-</w:t>
      </w:r>
      <w:r w:rsidRPr="00993B55">
        <w:rPr>
          <w:rFonts w:cs="Arial"/>
          <w:color w:val="000000"/>
        </w:rPr>
        <w:t xml:space="preserve">NOx/yr </w:t>
      </w:r>
    </w:p>
    <w:p w14:paraId="3F13D2A9" w14:textId="77777777" w:rsidR="00333756" w:rsidRPr="00993B55" w:rsidRDefault="00333756" w:rsidP="00B83E0D">
      <w:pPr>
        <w:widowControl w:val="0"/>
        <w:ind w:left="720"/>
        <w:rPr>
          <w:rFonts w:cs="Arial"/>
          <w:color w:val="000000"/>
        </w:rPr>
      </w:pPr>
    </w:p>
    <w:p w14:paraId="76858458" w14:textId="7C6EF048" w:rsidR="00333756" w:rsidRPr="00993B55" w:rsidRDefault="00333756" w:rsidP="00B83E0D">
      <w:pPr>
        <w:widowControl w:val="0"/>
        <w:ind w:left="720"/>
        <w:rPr>
          <w:rFonts w:cs="Arial"/>
          <w:color w:val="000000"/>
        </w:rPr>
      </w:pPr>
      <w:r w:rsidRPr="009A2968">
        <w:rPr>
          <w:rFonts w:cs="Arial"/>
          <w:color w:val="0000FF"/>
        </w:rPr>
        <w:t xml:space="preserve">2022 </w:t>
      </w:r>
      <w:r w:rsidR="00B83E0D">
        <w:rPr>
          <w:rFonts w:cs="Arial"/>
          <w:color w:val="0000FF"/>
        </w:rPr>
        <w:t>H</w:t>
      </w:r>
      <w:r w:rsidRPr="00993B55">
        <w:rPr>
          <w:rFonts w:cs="Arial"/>
          <w:color w:val="000000"/>
        </w:rPr>
        <w:t>AE</w:t>
      </w:r>
    </w:p>
    <w:p w14:paraId="7B3313D5" w14:textId="77777777" w:rsidR="00333756" w:rsidRPr="00993B55" w:rsidRDefault="00333756" w:rsidP="00B83E0D">
      <w:pPr>
        <w:widowControl w:val="0"/>
        <w:ind w:left="720"/>
        <w:rPr>
          <w:rFonts w:cs="Arial"/>
          <w:color w:val="000000"/>
        </w:rPr>
      </w:pPr>
      <w:r>
        <w:rPr>
          <w:rFonts w:cs="Arial"/>
          <w:color w:val="0000FF"/>
        </w:rPr>
        <w:t>XXX,XXX</w:t>
      </w:r>
      <w:r w:rsidRPr="009A2968">
        <w:rPr>
          <w:rFonts w:cs="Arial"/>
          <w:color w:val="0000FF"/>
        </w:rPr>
        <w:t xml:space="preserve"> </w:t>
      </w:r>
      <w:r w:rsidRPr="00993B55">
        <w:rPr>
          <w:rFonts w:cs="Arial"/>
          <w:color w:val="000000"/>
        </w:rPr>
        <w:t xml:space="preserve">MMBtu/year x </w:t>
      </w:r>
      <w:r>
        <w:rPr>
          <w:rFonts w:cs="Arial"/>
          <w:color w:val="0000FF"/>
        </w:rPr>
        <w:t>X.XXX</w:t>
      </w:r>
      <w:r w:rsidRPr="009A2968">
        <w:rPr>
          <w:rFonts w:cs="Arial"/>
          <w:color w:val="0000FF"/>
        </w:rPr>
        <w:t xml:space="preserve"> </w:t>
      </w:r>
      <w:r w:rsidRPr="00993B55">
        <w:rPr>
          <w:rFonts w:cs="Arial"/>
          <w:color w:val="000000"/>
        </w:rPr>
        <w:t>lb NO</w:t>
      </w:r>
      <w:r>
        <w:rPr>
          <w:rFonts w:cs="Arial"/>
          <w:color w:val="000000"/>
        </w:rPr>
        <w:t>x</w:t>
      </w:r>
      <w:r w:rsidRPr="00993B55">
        <w:rPr>
          <w:rFonts w:cs="Arial"/>
          <w:color w:val="000000"/>
        </w:rPr>
        <w:t xml:space="preserve">/MMBtu = </w:t>
      </w:r>
      <w:r>
        <w:rPr>
          <w:rFonts w:cs="Arial"/>
          <w:color w:val="0000FF"/>
        </w:rPr>
        <w:t>X,XXX</w:t>
      </w:r>
      <w:r w:rsidRPr="009A2968">
        <w:rPr>
          <w:rFonts w:cs="Arial"/>
          <w:color w:val="0000FF"/>
        </w:rPr>
        <w:t xml:space="preserve"> </w:t>
      </w:r>
      <w:r w:rsidRPr="00993B55">
        <w:rPr>
          <w:rFonts w:cs="Arial"/>
          <w:color w:val="000000"/>
        </w:rPr>
        <w:t>lb</w:t>
      </w:r>
      <w:r>
        <w:rPr>
          <w:rFonts w:cs="Arial"/>
          <w:color w:val="000000"/>
        </w:rPr>
        <w:t>-</w:t>
      </w:r>
      <w:r w:rsidRPr="00993B55">
        <w:rPr>
          <w:rFonts w:cs="Arial"/>
          <w:color w:val="000000"/>
        </w:rPr>
        <w:t xml:space="preserve">NOx/yr </w:t>
      </w:r>
    </w:p>
    <w:p w14:paraId="718CD9EC" w14:textId="77777777" w:rsidR="00333756" w:rsidRPr="00993B55" w:rsidRDefault="00333756" w:rsidP="00B83E0D">
      <w:pPr>
        <w:widowControl w:val="0"/>
        <w:ind w:left="720"/>
        <w:rPr>
          <w:rFonts w:cs="Arial"/>
        </w:rPr>
      </w:pPr>
    </w:p>
    <w:p w14:paraId="43912334" w14:textId="4704FF9A" w:rsidR="00333756" w:rsidRPr="00993B55" w:rsidRDefault="00333756" w:rsidP="00B83E0D">
      <w:pPr>
        <w:widowControl w:val="0"/>
        <w:tabs>
          <w:tab w:val="left" w:pos="2430"/>
        </w:tabs>
        <w:ind w:left="720"/>
        <w:rPr>
          <w:rFonts w:cs="Arial"/>
        </w:rPr>
      </w:pPr>
      <w:r>
        <w:rPr>
          <w:rFonts w:cs="Arial"/>
        </w:rPr>
        <w:t xml:space="preserve">Average </w:t>
      </w:r>
      <w:r w:rsidR="00B83E0D">
        <w:rPr>
          <w:rFonts w:cs="Arial"/>
        </w:rPr>
        <w:t>H</w:t>
      </w:r>
      <w:r>
        <w:rPr>
          <w:rFonts w:cs="Arial"/>
        </w:rPr>
        <w:t>AE</w:t>
      </w:r>
      <w:r>
        <w:rPr>
          <w:rFonts w:cs="Arial"/>
        </w:rPr>
        <w:tab/>
      </w:r>
      <w:r w:rsidRPr="00993B55">
        <w:rPr>
          <w:rFonts w:cs="Arial"/>
        </w:rPr>
        <w:t>= (</w:t>
      </w:r>
      <w:r>
        <w:rPr>
          <w:rFonts w:cs="Arial"/>
          <w:color w:val="0000FF"/>
        </w:rPr>
        <w:t>X,XXX</w:t>
      </w:r>
      <w:r w:rsidRPr="009A2968">
        <w:rPr>
          <w:rFonts w:cs="Arial"/>
          <w:color w:val="0000FF"/>
        </w:rPr>
        <w:t xml:space="preserve"> </w:t>
      </w:r>
      <w:r w:rsidRPr="00993B55">
        <w:rPr>
          <w:rFonts w:cs="Arial"/>
        </w:rPr>
        <w:t xml:space="preserve">+ </w:t>
      </w:r>
      <w:r>
        <w:rPr>
          <w:rFonts w:cs="Arial"/>
          <w:color w:val="0000FF"/>
        </w:rPr>
        <w:t>X,XXX</w:t>
      </w:r>
      <w:r w:rsidRPr="00993B55">
        <w:rPr>
          <w:rFonts w:cs="Arial"/>
        </w:rPr>
        <w:t>)/2</w:t>
      </w:r>
    </w:p>
    <w:p w14:paraId="32004E18" w14:textId="77777777" w:rsidR="00333756" w:rsidRPr="00993B55" w:rsidRDefault="00333756" w:rsidP="00333756">
      <w:pPr>
        <w:widowControl w:val="0"/>
        <w:tabs>
          <w:tab w:val="left" w:pos="2430"/>
        </w:tabs>
        <w:ind w:left="1080"/>
        <w:rPr>
          <w:rFonts w:cs="Arial"/>
        </w:rPr>
      </w:pPr>
      <w:r>
        <w:rPr>
          <w:rFonts w:cs="Arial"/>
        </w:rPr>
        <w:tab/>
      </w:r>
      <w:r w:rsidRPr="00993B55">
        <w:rPr>
          <w:rFonts w:cs="Arial"/>
        </w:rPr>
        <w:t xml:space="preserve">= </w:t>
      </w:r>
      <w:r>
        <w:rPr>
          <w:rFonts w:cs="Arial"/>
          <w:color w:val="0000FF"/>
        </w:rPr>
        <w:t>X,XXX</w:t>
      </w:r>
      <w:r w:rsidRPr="00993B55">
        <w:rPr>
          <w:rFonts w:cs="Arial"/>
        </w:rPr>
        <w:t xml:space="preserve"> lb</w:t>
      </w:r>
      <w:r>
        <w:rPr>
          <w:rFonts w:cs="Arial"/>
        </w:rPr>
        <w:t>-</w:t>
      </w:r>
      <w:r w:rsidRPr="00993B55">
        <w:rPr>
          <w:rFonts w:cs="Arial"/>
        </w:rPr>
        <w:t>NOx/</w:t>
      </w:r>
      <w:r>
        <w:rPr>
          <w:rFonts w:cs="Arial"/>
        </w:rPr>
        <w:t>y</w:t>
      </w:r>
      <w:r w:rsidRPr="00993B55">
        <w:rPr>
          <w:rFonts w:cs="Arial"/>
        </w:rPr>
        <w:t>r</w:t>
      </w:r>
    </w:p>
    <w:p w14:paraId="1FBEDC68" w14:textId="77777777" w:rsidR="000177D5" w:rsidRPr="00993B55" w:rsidRDefault="000177D5" w:rsidP="007A60F3">
      <w:pPr>
        <w:widowControl w:val="0"/>
        <w:ind w:left="720"/>
        <w:rPr>
          <w:rFonts w:cs="Arial"/>
        </w:rPr>
      </w:pPr>
    </w:p>
    <w:p w14:paraId="781A3687" w14:textId="789908F2" w:rsidR="000177D5" w:rsidRPr="00993B55" w:rsidRDefault="000177D5" w:rsidP="007A60F3">
      <w:pPr>
        <w:widowControl w:val="0"/>
        <w:ind w:left="720"/>
        <w:rPr>
          <w:rFonts w:cs="Arial"/>
        </w:rPr>
      </w:pPr>
      <w:r w:rsidRPr="00993B55">
        <w:rPr>
          <w:rFonts w:cs="Arial"/>
        </w:rPr>
        <w:t xml:space="preserve">PE1 for this unit was </w:t>
      </w:r>
      <w:r w:rsidR="00B83E0D">
        <w:rPr>
          <w:color w:val="0000FF"/>
        </w:rPr>
        <w:t>X,XXX</w:t>
      </w:r>
      <w:r w:rsidR="00B83E0D" w:rsidRPr="009A2968">
        <w:rPr>
          <w:color w:val="0000FF"/>
        </w:rPr>
        <w:t xml:space="preserve"> </w:t>
      </w:r>
      <w:r w:rsidRPr="00993B55">
        <w:t>lb NO</w:t>
      </w:r>
      <w:r w:rsidR="00EE2923">
        <w:t>x</w:t>
      </w:r>
      <w:r w:rsidRPr="00993B55">
        <w:t xml:space="preserve">/year, </w:t>
      </w:r>
      <w:r w:rsidRPr="00993B55">
        <w:rPr>
          <w:rFonts w:cs="Arial"/>
        </w:rPr>
        <w:t>calculated in Section VII.C.1 above.  The HAE for NO</w:t>
      </w:r>
      <w:r w:rsidR="00EE2923">
        <w:rPr>
          <w:rFonts w:cs="Arial"/>
        </w:rPr>
        <w:t>x</w:t>
      </w:r>
      <w:r w:rsidRPr="00993B55">
        <w:rPr>
          <w:rFonts w:cs="Arial"/>
        </w:rPr>
        <w:t xml:space="preserve"> only represents </w:t>
      </w:r>
      <w:r w:rsidR="00B83E0D">
        <w:rPr>
          <w:rFonts w:cs="Arial"/>
          <w:color w:val="0000FF"/>
        </w:rPr>
        <w:t>XX</w:t>
      </w:r>
      <w:r w:rsidRPr="00993B55">
        <w:rPr>
          <w:rFonts w:cs="Arial"/>
        </w:rPr>
        <w:t xml:space="preserve">% of the unit’s pre-project PE.  Therefore, this unit is not </w:t>
      </w:r>
      <w:r w:rsidRPr="00993B55">
        <w:rPr>
          <w:rFonts w:cs="Arial"/>
        </w:rPr>
        <w:lastRenderedPageBreak/>
        <w:t>considered as a Highly Utilized Emissions Unit for NO</w:t>
      </w:r>
      <w:r w:rsidR="00EE2923">
        <w:rPr>
          <w:rFonts w:cs="Arial"/>
        </w:rPr>
        <w:t>x</w:t>
      </w:r>
      <w:r w:rsidRPr="00993B55">
        <w:rPr>
          <w:rFonts w:cs="Arial"/>
        </w:rPr>
        <w:t xml:space="preserve"> emissions.</w:t>
      </w:r>
    </w:p>
    <w:p w14:paraId="20AAD474" w14:textId="77777777" w:rsidR="000177D5" w:rsidRPr="00237768" w:rsidRDefault="000177D5" w:rsidP="007A60F3">
      <w:pPr>
        <w:widowControl w:val="0"/>
        <w:ind w:left="720"/>
        <w:rPr>
          <w:rFonts w:cs="Arial"/>
        </w:rPr>
      </w:pPr>
    </w:p>
    <w:p w14:paraId="54A51FE9" w14:textId="36DB9A60" w:rsidR="000177D5" w:rsidRPr="00993B55" w:rsidRDefault="000177D5" w:rsidP="007A60F3">
      <w:pPr>
        <w:widowControl w:val="0"/>
        <w:ind w:left="720"/>
        <w:rPr>
          <w:rFonts w:cs="Arial"/>
          <w:i/>
          <w:iCs/>
          <w:u w:val="single"/>
        </w:rPr>
      </w:pPr>
      <w:r w:rsidRPr="00993B55">
        <w:rPr>
          <w:rFonts w:cs="Arial"/>
          <w:i/>
          <w:iCs/>
          <w:u w:val="single"/>
        </w:rPr>
        <w:t>Fully</w:t>
      </w:r>
      <w:r w:rsidR="0029563E">
        <w:rPr>
          <w:rFonts w:cs="Arial"/>
          <w:i/>
          <w:iCs/>
          <w:u w:val="single"/>
        </w:rPr>
        <w:t>-</w:t>
      </w:r>
      <w:r w:rsidRPr="00993B55">
        <w:rPr>
          <w:rFonts w:cs="Arial"/>
          <w:i/>
          <w:iCs/>
          <w:u w:val="single"/>
        </w:rPr>
        <w:t>Offset Emissions Unit, located at a Major Source</w:t>
      </w:r>
    </w:p>
    <w:p w14:paraId="5DC60935" w14:textId="621961C8" w:rsidR="000177D5" w:rsidRPr="00993B55" w:rsidRDefault="000177D5" w:rsidP="007A60F3">
      <w:pPr>
        <w:widowControl w:val="0"/>
        <w:ind w:left="720"/>
        <w:rPr>
          <w:rFonts w:cs="Arial"/>
        </w:rPr>
      </w:pPr>
      <w:r w:rsidRPr="00993B55">
        <w:rPr>
          <w:rFonts w:cs="Arial"/>
        </w:rPr>
        <w:t>Offsets have not previously been provided for this permit unit.  Therefore, pursuant to District Rule 2201, this permitted unit is not considered as a Fully</w:t>
      </w:r>
      <w:r w:rsidR="0029563E">
        <w:rPr>
          <w:rFonts w:cs="Arial"/>
        </w:rPr>
        <w:t>-</w:t>
      </w:r>
      <w:r w:rsidRPr="00993B55">
        <w:rPr>
          <w:rFonts w:cs="Arial"/>
        </w:rPr>
        <w:t>Offset Emissions Unit.</w:t>
      </w:r>
    </w:p>
    <w:p w14:paraId="115C0EBF" w14:textId="77777777" w:rsidR="000177D5" w:rsidRPr="00993B55" w:rsidRDefault="000177D5" w:rsidP="007A60F3">
      <w:pPr>
        <w:widowControl w:val="0"/>
        <w:ind w:left="720"/>
        <w:rPr>
          <w:rFonts w:cs="Arial"/>
        </w:rPr>
      </w:pPr>
    </w:p>
    <w:p w14:paraId="13AE7CB9" w14:textId="77777777" w:rsidR="000177D5" w:rsidRPr="00993B55" w:rsidRDefault="000177D5" w:rsidP="007A60F3">
      <w:pPr>
        <w:widowControl w:val="0"/>
        <w:ind w:left="720"/>
        <w:rPr>
          <w:rFonts w:cs="Arial"/>
          <w:i/>
          <w:iCs/>
          <w:u w:val="single"/>
        </w:rPr>
      </w:pPr>
      <w:r w:rsidRPr="00993B55">
        <w:rPr>
          <w:rFonts w:cs="Arial"/>
          <w:i/>
          <w:iCs/>
          <w:u w:val="single"/>
        </w:rPr>
        <w:t>Clean Emissions Unit, Located at a Major Source</w:t>
      </w:r>
    </w:p>
    <w:p w14:paraId="27F375B0" w14:textId="77777777" w:rsidR="000177D5" w:rsidRPr="00993B55" w:rsidRDefault="000177D5" w:rsidP="007A60F3">
      <w:pPr>
        <w:widowControl w:val="0"/>
        <w:autoSpaceDE w:val="0"/>
        <w:autoSpaceDN w:val="0"/>
        <w:adjustRightInd w:val="0"/>
        <w:ind w:left="720"/>
      </w:pPr>
      <w:r w:rsidRPr="00993B55">
        <w:t>Pursuant to Rule 2201, a Clean Emissions Unit is defined as an emissions unit that is “equipped with an emissions control technology with a minimum control efficiency of at least 95% or is equipped with emission control technology that meets the requirements for achieved-in-practice BACT as accepted by the APCO during the five years immediately prior to the submission of the complete application.</w:t>
      </w:r>
    </w:p>
    <w:p w14:paraId="41F6A86B" w14:textId="77777777" w:rsidR="000177D5" w:rsidRPr="00993B55" w:rsidRDefault="000177D5" w:rsidP="007A60F3">
      <w:pPr>
        <w:widowControl w:val="0"/>
        <w:autoSpaceDE w:val="0"/>
        <w:autoSpaceDN w:val="0"/>
        <w:adjustRightInd w:val="0"/>
        <w:ind w:left="720"/>
      </w:pPr>
    </w:p>
    <w:p w14:paraId="2EA7F5A7" w14:textId="2E97791C" w:rsidR="000177D5" w:rsidRPr="00993B55" w:rsidRDefault="000177D5" w:rsidP="007A60F3">
      <w:pPr>
        <w:widowControl w:val="0"/>
        <w:ind w:left="720"/>
        <w:rPr>
          <w:bCs/>
          <w:spacing w:val="-3"/>
        </w:rPr>
      </w:pPr>
      <w:r w:rsidRPr="00993B55">
        <w:t>This emissions unit is equipped with an ultra low NO</w:t>
      </w:r>
      <w:r w:rsidR="00EE2923">
        <w:t>x</w:t>
      </w:r>
      <w:r w:rsidRPr="00993B55">
        <w:t xml:space="preserve"> burner, which meets the requirements for achieved-in-practice BACT.  Therefore, BE=PE1.</w:t>
      </w:r>
    </w:p>
    <w:p w14:paraId="7C87C6E7" w14:textId="77777777" w:rsidR="000177D5" w:rsidRPr="00993B55" w:rsidRDefault="000177D5" w:rsidP="007A60F3">
      <w:pPr>
        <w:widowControl w:val="0"/>
        <w:ind w:left="720"/>
        <w:rPr>
          <w:bCs/>
          <w:spacing w:val="-3"/>
        </w:rPr>
      </w:pPr>
    </w:p>
    <w:p w14:paraId="7FE697CE" w14:textId="00E7E508" w:rsidR="000177D5" w:rsidRPr="00993B55" w:rsidRDefault="000177D5" w:rsidP="007A60F3">
      <w:pPr>
        <w:widowControl w:val="0"/>
        <w:tabs>
          <w:tab w:val="left" w:pos="1890"/>
        </w:tabs>
        <w:ind w:left="720"/>
      </w:pPr>
      <w:r w:rsidRPr="00993B55">
        <w:rPr>
          <w:rFonts w:cs="Arial"/>
        </w:rPr>
        <w:t>BE = PE1</w:t>
      </w:r>
      <w:r w:rsidRPr="00993B55">
        <w:rPr>
          <w:rFonts w:cs="Arial"/>
        </w:rPr>
        <w:tab/>
        <w:t xml:space="preserve">= </w:t>
      </w:r>
      <w:r w:rsidRPr="00993B55">
        <w:t>(</w:t>
      </w:r>
      <w:r w:rsidR="009C0D4D">
        <w:rPr>
          <w:color w:val="0000FF"/>
          <w:spacing w:val="-3"/>
        </w:rPr>
        <w:t>X.XXX</w:t>
      </w:r>
      <w:r w:rsidRPr="009C0D4D">
        <w:rPr>
          <w:color w:val="0000FF"/>
        </w:rPr>
        <w:t xml:space="preserve"> </w:t>
      </w:r>
      <w:r w:rsidRPr="00993B55">
        <w:t xml:space="preserve">lb/MMBtu) </w:t>
      </w:r>
      <w:r w:rsidRPr="00993B55">
        <w:sym w:font="Symbol" w:char="F02A"/>
      </w:r>
      <w:r w:rsidRPr="00993B55">
        <w:t xml:space="preserve"> (</w:t>
      </w:r>
      <w:r w:rsidR="009C0D4D">
        <w:rPr>
          <w:color w:val="0000FF"/>
          <w:spacing w:val="-3"/>
        </w:rPr>
        <w:t>XXX</w:t>
      </w:r>
      <w:r w:rsidRPr="00993B55">
        <w:rPr>
          <w:spacing w:val="-3"/>
        </w:rPr>
        <w:t xml:space="preserve"> MMBtu/hr</w:t>
      </w:r>
      <w:r w:rsidRPr="00993B55">
        <w:t xml:space="preserve">) </w:t>
      </w:r>
      <w:r w:rsidRPr="00993B55">
        <w:sym w:font="Symbol" w:char="F02A"/>
      </w:r>
      <w:r w:rsidRPr="00993B55">
        <w:t xml:space="preserve"> (24 hr/day) </w:t>
      </w:r>
      <w:r w:rsidRPr="00993B55">
        <w:sym w:font="Symbol" w:char="F02A"/>
      </w:r>
      <w:r w:rsidRPr="00993B55">
        <w:t xml:space="preserve"> (365 day/year)</w:t>
      </w:r>
    </w:p>
    <w:p w14:paraId="4C5ABED5" w14:textId="2882C6C2" w:rsidR="000177D5" w:rsidRPr="00993B55" w:rsidRDefault="000177D5" w:rsidP="007A60F3">
      <w:pPr>
        <w:widowControl w:val="0"/>
        <w:tabs>
          <w:tab w:val="left" w:pos="1890"/>
        </w:tabs>
        <w:ind w:left="720"/>
      </w:pPr>
      <w:r w:rsidRPr="00993B55">
        <w:tab/>
        <w:t xml:space="preserve">= </w:t>
      </w:r>
      <w:r w:rsidR="009C0D4D">
        <w:rPr>
          <w:color w:val="0000FF"/>
        </w:rPr>
        <w:t>XX,XXX</w:t>
      </w:r>
      <w:r w:rsidRPr="009C0D4D">
        <w:rPr>
          <w:color w:val="0000FF"/>
        </w:rPr>
        <w:t xml:space="preserve"> </w:t>
      </w:r>
      <w:r w:rsidRPr="00993B55">
        <w:t>lb NO</w:t>
      </w:r>
      <w:r w:rsidR="00EE2923">
        <w:t>x</w:t>
      </w:r>
      <w:r w:rsidRPr="00993B55">
        <w:t>/year</w:t>
      </w:r>
    </w:p>
    <w:p w14:paraId="5057DB1A" w14:textId="77777777" w:rsidR="000177D5" w:rsidRPr="00993B55" w:rsidRDefault="000177D5" w:rsidP="007A60F3">
      <w:pPr>
        <w:widowControl w:val="0"/>
        <w:tabs>
          <w:tab w:val="left" w:pos="1890"/>
        </w:tabs>
        <w:ind w:left="720"/>
        <w:rPr>
          <w:bCs/>
          <w:spacing w:val="-3"/>
        </w:rPr>
      </w:pPr>
    </w:p>
    <w:p w14:paraId="557D5999" w14:textId="30618F16" w:rsidR="000177D5" w:rsidRPr="00993B55" w:rsidRDefault="000177D5" w:rsidP="007A60F3">
      <w:pPr>
        <w:widowControl w:val="0"/>
        <w:tabs>
          <w:tab w:val="left" w:pos="1080"/>
        </w:tabs>
        <w:ind w:left="720"/>
        <w:rPr>
          <w:b/>
          <w:bCs/>
        </w:rPr>
      </w:pPr>
      <w:r w:rsidRPr="00993B55">
        <w:rPr>
          <w:b/>
          <w:bCs/>
        </w:rPr>
        <w:t>b.</w:t>
      </w:r>
      <w:r w:rsidRPr="00993B55">
        <w:rPr>
          <w:b/>
          <w:bCs/>
        </w:rPr>
        <w:tab/>
        <w:t>BE SO</w:t>
      </w:r>
      <w:r w:rsidR="004F38B5">
        <w:rPr>
          <w:b/>
          <w:bCs/>
        </w:rPr>
        <w:t>x</w:t>
      </w:r>
    </w:p>
    <w:p w14:paraId="44E324AA" w14:textId="77777777" w:rsidR="000177D5" w:rsidRPr="00237768" w:rsidRDefault="000177D5" w:rsidP="007A60F3">
      <w:pPr>
        <w:widowControl w:val="0"/>
        <w:ind w:left="720"/>
      </w:pPr>
    </w:p>
    <w:p w14:paraId="59025EAE" w14:textId="77777777" w:rsidR="000177D5" w:rsidRPr="00993B55" w:rsidRDefault="000177D5" w:rsidP="007A60F3">
      <w:pPr>
        <w:widowControl w:val="0"/>
        <w:ind w:left="720"/>
        <w:rPr>
          <w:rFonts w:cs="Arial"/>
          <w:i/>
          <w:iCs/>
          <w:u w:val="single"/>
        </w:rPr>
      </w:pPr>
      <w:r w:rsidRPr="00993B55">
        <w:rPr>
          <w:i/>
          <w:iCs/>
          <w:u w:val="single"/>
        </w:rPr>
        <w:t>Unit Located at a Non-Major Source</w:t>
      </w:r>
    </w:p>
    <w:p w14:paraId="4AF719A5" w14:textId="69264433" w:rsidR="000177D5" w:rsidRPr="00993B55" w:rsidRDefault="000177D5" w:rsidP="007A60F3">
      <w:pPr>
        <w:widowControl w:val="0"/>
        <w:ind w:left="720"/>
      </w:pPr>
      <w:r w:rsidRPr="00993B55">
        <w:t>As shown in Section VII.C.5 above, the facility is not a major source for SO</w:t>
      </w:r>
      <w:r w:rsidR="004F38B5">
        <w:t>x</w:t>
      </w:r>
      <w:r w:rsidRPr="00993B55">
        <w:t xml:space="preserve"> emissions.</w:t>
      </w:r>
    </w:p>
    <w:p w14:paraId="049FA005" w14:textId="77777777" w:rsidR="000177D5" w:rsidRPr="00993B55" w:rsidRDefault="000177D5" w:rsidP="007A60F3">
      <w:pPr>
        <w:widowControl w:val="0"/>
        <w:tabs>
          <w:tab w:val="left" w:pos="1890"/>
        </w:tabs>
        <w:ind w:left="720"/>
        <w:rPr>
          <w:bCs/>
          <w:spacing w:val="-3"/>
        </w:rPr>
      </w:pPr>
    </w:p>
    <w:p w14:paraId="7ACA8175" w14:textId="5FF85352" w:rsidR="000177D5" w:rsidRPr="00993B55" w:rsidRDefault="000177D5" w:rsidP="007A60F3">
      <w:pPr>
        <w:widowControl w:val="0"/>
        <w:ind w:left="720"/>
      </w:pPr>
      <w:r w:rsidRPr="00993B55">
        <w:t>Therefore</w:t>
      </w:r>
      <w:r w:rsidR="001746F1">
        <w:t>,</w:t>
      </w:r>
      <w:r w:rsidRPr="00993B55">
        <w:t xml:space="preserve"> Baseline Emissions BE=PE1.</w:t>
      </w:r>
    </w:p>
    <w:p w14:paraId="45D554B3" w14:textId="77777777" w:rsidR="000177D5" w:rsidRPr="00993B55" w:rsidRDefault="000177D5" w:rsidP="007A60F3">
      <w:pPr>
        <w:widowControl w:val="0"/>
        <w:ind w:left="720"/>
      </w:pPr>
    </w:p>
    <w:p w14:paraId="7016B178" w14:textId="77777777" w:rsidR="00F16766" w:rsidRPr="00993B55" w:rsidRDefault="00F16766" w:rsidP="00F16766">
      <w:pPr>
        <w:widowControl w:val="0"/>
        <w:tabs>
          <w:tab w:val="left" w:pos="1890"/>
        </w:tabs>
        <w:ind w:left="720"/>
      </w:pPr>
      <w:r w:rsidRPr="00993B55">
        <w:rPr>
          <w:rFonts w:cs="Arial"/>
        </w:rPr>
        <w:t>BE = PE1</w:t>
      </w:r>
      <w:r w:rsidRPr="00993B55">
        <w:rPr>
          <w:rFonts w:cs="Arial"/>
        </w:rPr>
        <w:tab/>
        <w:t xml:space="preserve">= </w:t>
      </w:r>
      <w:r w:rsidRPr="00993B55">
        <w:t>(</w:t>
      </w:r>
      <w:r>
        <w:rPr>
          <w:color w:val="0000FF"/>
          <w:spacing w:val="-3"/>
        </w:rPr>
        <w:t>X.XXX</w:t>
      </w:r>
      <w:r w:rsidRPr="009C0D4D">
        <w:rPr>
          <w:color w:val="0000FF"/>
        </w:rPr>
        <w:t xml:space="preserve"> </w:t>
      </w:r>
      <w:r w:rsidRPr="00993B55">
        <w:t xml:space="preserve">lb/MMBtu) </w:t>
      </w:r>
      <w:r w:rsidRPr="00993B55">
        <w:sym w:font="Symbol" w:char="F02A"/>
      </w:r>
      <w:r w:rsidRPr="00993B55">
        <w:t xml:space="preserve"> (</w:t>
      </w:r>
      <w:r>
        <w:rPr>
          <w:color w:val="0000FF"/>
          <w:spacing w:val="-3"/>
        </w:rPr>
        <w:t>XXX</w:t>
      </w:r>
      <w:r w:rsidRPr="00993B55">
        <w:rPr>
          <w:spacing w:val="-3"/>
        </w:rPr>
        <w:t xml:space="preserve"> MMBtu/hr</w:t>
      </w:r>
      <w:r w:rsidRPr="00993B55">
        <w:t xml:space="preserve">) </w:t>
      </w:r>
      <w:r w:rsidRPr="00993B55">
        <w:sym w:font="Symbol" w:char="F02A"/>
      </w:r>
      <w:r w:rsidRPr="00993B55">
        <w:t xml:space="preserve"> (24 hr/day) </w:t>
      </w:r>
      <w:r w:rsidRPr="00993B55">
        <w:sym w:font="Symbol" w:char="F02A"/>
      </w:r>
      <w:r w:rsidRPr="00993B55">
        <w:t xml:space="preserve"> (365 day/year)</w:t>
      </w:r>
    </w:p>
    <w:p w14:paraId="31A32E46" w14:textId="2A9FC3A0" w:rsidR="00F16766" w:rsidRPr="00993B55" w:rsidRDefault="00F16766" w:rsidP="00F16766">
      <w:pPr>
        <w:widowControl w:val="0"/>
        <w:tabs>
          <w:tab w:val="left" w:pos="1890"/>
        </w:tabs>
        <w:ind w:left="720"/>
      </w:pPr>
      <w:r w:rsidRPr="00993B55">
        <w:tab/>
        <w:t xml:space="preserve">= </w:t>
      </w:r>
      <w:r>
        <w:rPr>
          <w:color w:val="0000FF"/>
        </w:rPr>
        <w:t>XX,XXX</w:t>
      </w:r>
      <w:r w:rsidRPr="009C0D4D">
        <w:rPr>
          <w:color w:val="0000FF"/>
        </w:rPr>
        <w:t xml:space="preserve"> </w:t>
      </w:r>
      <w:r w:rsidRPr="00993B55">
        <w:t xml:space="preserve">lb </w:t>
      </w:r>
      <w:r>
        <w:t>S</w:t>
      </w:r>
      <w:r w:rsidRPr="00993B55">
        <w:t>O</w:t>
      </w:r>
      <w:r>
        <w:t>x</w:t>
      </w:r>
      <w:r w:rsidRPr="00993B55">
        <w:t>/year</w:t>
      </w:r>
    </w:p>
    <w:p w14:paraId="4E51821B" w14:textId="77777777" w:rsidR="000177D5" w:rsidRPr="00993B55" w:rsidRDefault="000177D5" w:rsidP="007A60F3">
      <w:pPr>
        <w:widowControl w:val="0"/>
        <w:tabs>
          <w:tab w:val="left" w:pos="1890"/>
        </w:tabs>
        <w:ind w:left="720"/>
        <w:rPr>
          <w:bCs/>
          <w:spacing w:val="-3"/>
        </w:rPr>
      </w:pPr>
    </w:p>
    <w:p w14:paraId="27F931B5" w14:textId="7D67F6BD" w:rsidR="000177D5" w:rsidRPr="00993B55" w:rsidRDefault="000177D5" w:rsidP="007A60F3">
      <w:pPr>
        <w:widowControl w:val="0"/>
        <w:tabs>
          <w:tab w:val="left" w:pos="1080"/>
        </w:tabs>
        <w:ind w:left="720"/>
        <w:rPr>
          <w:b/>
          <w:bCs/>
        </w:rPr>
      </w:pPr>
      <w:r w:rsidRPr="00993B55">
        <w:rPr>
          <w:b/>
          <w:bCs/>
        </w:rPr>
        <w:t>c.</w:t>
      </w:r>
      <w:r w:rsidRPr="00993B55">
        <w:rPr>
          <w:b/>
          <w:bCs/>
        </w:rPr>
        <w:tab/>
        <w:t>BE PM</w:t>
      </w:r>
      <w:r w:rsidR="008578CE">
        <w:rPr>
          <w:b/>
          <w:bCs/>
        </w:rPr>
        <w:t>10</w:t>
      </w:r>
    </w:p>
    <w:p w14:paraId="1DF4B5D0" w14:textId="77777777" w:rsidR="000177D5" w:rsidRPr="00237768" w:rsidRDefault="000177D5" w:rsidP="007A60F3">
      <w:pPr>
        <w:widowControl w:val="0"/>
        <w:ind w:left="720"/>
      </w:pPr>
    </w:p>
    <w:p w14:paraId="4FEFA3DC" w14:textId="77777777" w:rsidR="000177D5" w:rsidRPr="00993B55" w:rsidRDefault="000177D5" w:rsidP="007A60F3">
      <w:pPr>
        <w:widowControl w:val="0"/>
        <w:ind w:left="720"/>
        <w:rPr>
          <w:rFonts w:cs="Arial"/>
          <w:i/>
          <w:iCs/>
          <w:u w:val="single"/>
        </w:rPr>
      </w:pPr>
      <w:r w:rsidRPr="00993B55">
        <w:rPr>
          <w:i/>
          <w:iCs/>
          <w:u w:val="single"/>
        </w:rPr>
        <w:t>Unit Located at a Non-Major Source</w:t>
      </w:r>
    </w:p>
    <w:p w14:paraId="376E0AB6" w14:textId="27EABB8B" w:rsidR="000177D5" w:rsidRPr="00993B55" w:rsidRDefault="000177D5" w:rsidP="007A60F3">
      <w:pPr>
        <w:widowControl w:val="0"/>
        <w:ind w:left="720"/>
      </w:pPr>
      <w:r w:rsidRPr="00993B55">
        <w:t>As shown in Section VII.C.5 above, the facility is not a major source for PM</w:t>
      </w:r>
      <w:r w:rsidR="008578CE">
        <w:t>10</w:t>
      </w:r>
      <w:r w:rsidRPr="00993B55">
        <w:t xml:space="preserve"> emissions.</w:t>
      </w:r>
    </w:p>
    <w:p w14:paraId="139DAF27" w14:textId="77777777" w:rsidR="000177D5" w:rsidRPr="00993B55" w:rsidRDefault="000177D5" w:rsidP="007A60F3">
      <w:pPr>
        <w:widowControl w:val="0"/>
        <w:tabs>
          <w:tab w:val="left" w:pos="1080"/>
        </w:tabs>
        <w:ind w:left="720"/>
      </w:pPr>
    </w:p>
    <w:p w14:paraId="23552623" w14:textId="54A1557E" w:rsidR="000177D5" w:rsidRPr="00993B55" w:rsidRDefault="000177D5" w:rsidP="007A60F3">
      <w:pPr>
        <w:widowControl w:val="0"/>
        <w:ind w:left="720"/>
      </w:pPr>
      <w:r w:rsidRPr="00993B55">
        <w:t>Therefore</w:t>
      </w:r>
      <w:r w:rsidR="001746F1">
        <w:t>,</w:t>
      </w:r>
      <w:r w:rsidRPr="00993B55">
        <w:t xml:space="preserve"> BE=PE1.</w:t>
      </w:r>
    </w:p>
    <w:p w14:paraId="14A4E4AF" w14:textId="77777777" w:rsidR="000177D5" w:rsidRPr="00993B55" w:rsidRDefault="000177D5" w:rsidP="007A60F3">
      <w:pPr>
        <w:widowControl w:val="0"/>
        <w:ind w:left="720"/>
      </w:pPr>
    </w:p>
    <w:p w14:paraId="4E2089B2" w14:textId="77777777" w:rsidR="00F16766" w:rsidRPr="00993B55" w:rsidRDefault="00F16766" w:rsidP="00F16766">
      <w:pPr>
        <w:widowControl w:val="0"/>
        <w:tabs>
          <w:tab w:val="left" w:pos="1890"/>
        </w:tabs>
        <w:ind w:left="720"/>
      </w:pPr>
      <w:r w:rsidRPr="00993B55">
        <w:rPr>
          <w:rFonts w:cs="Arial"/>
        </w:rPr>
        <w:t>BE = PE1</w:t>
      </w:r>
      <w:r w:rsidRPr="00993B55">
        <w:rPr>
          <w:rFonts w:cs="Arial"/>
        </w:rPr>
        <w:tab/>
        <w:t xml:space="preserve">= </w:t>
      </w:r>
      <w:r w:rsidRPr="00993B55">
        <w:t>(</w:t>
      </w:r>
      <w:r>
        <w:rPr>
          <w:color w:val="0000FF"/>
          <w:spacing w:val="-3"/>
        </w:rPr>
        <w:t>X.XXX</w:t>
      </w:r>
      <w:r w:rsidRPr="009C0D4D">
        <w:rPr>
          <w:color w:val="0000FF"/>
        </w:rPr>
        <w:t xml:space="preserve"> </w:t>
      </w:r>
      <w:r w:rsidRPr="00993B55">
        <w:t xml:space="preserve">lb/MMBtu) </w:t>
      </w:r>
      <w:r w:rsidRPr="00993B55">
        <w:sym w:font="Symbol" w:char="F02A"/>
      </w:r>
      <w:r w:rsidRPr="00993B55">
        <w:t xml:space="preserve"> (</w:t>
      </w:r>
      <w:r>
        <w:rPr>
          <w:color w:val="0000FF"/>
          <w:spacing w:val="-3"/>
        </w:rPr>
        <w:t>XXX</w:t>
      </w:r>
      <w:r w:rsidRPr="00993B55">
        <w:rPr>
          <w:spacing w:val="-3"/>
        </w:rPr>
        <w:t xml:space="preserve"> MMBtu/hr</w:t>
      </w:r>
      <w:r w:rsidRPr="00993B55">
        <w:t xml:space="preserve">) </w:t>
      </w:r>
      <w:r w:rsidRPr="00993B55">
        <w:sym w:font="Symbol" w:char="F02A"/>
      </w:r>
      <w:r w:rsidRPr="00993B55">
        <w:t xml:space="preserve"> (24 hr/day) </w:t>
      </w:r>
      <w:r w:rsidRPr="00993B55">
        <w:sym w:font="Symbol" w:char="F02A"/>
      </w:r>
      <w:r w:rsidRPr="00993B55">
        <w:t xml:space="preserve"> (365 day/year)</w:t>
      </w:r>
    </w:p>
    <w:p w14:paraId="514F50D2" w14:textId="064225CB" w:rsidR="00F16766" w:rsidRPr="00993B55" w:rsidRDefault="00F16766" w:rsidP="00F16766">
      <w:pPr>
        <w:widowControl w:val="0"/>
        <w:tabs>
          <w:tab w:val="left" w:pos="1890"/>
        </w:tabs>
        <w:ind w:left="720"/>
      </w:pPr>
      <w:r w:rsidRPr="00993B55">
        <w:tab/>
        <w:t xml:space="preserve">= </w:t>
      </w:r>
      <w:r>
        <w:rPr>
          <w:color w:val="0000FF"/>
        </w:rPr>
        <w:t>XX,XXX</w:t>
      </w:r>
      <w:r w:rsidRPr="009C0D4D">
        <w:rPr>
          <w:color w:val="0000FF"/>
        </w:rPr>
        <w:t xml:space="preserve"> </w:t>
      </w:r>
      <w:r w:rsidRPr="00993B55">
        <w:t xml:space="preserve">lb </w:t>
      </w:r>
      <w:r>
        <w:t>PM10</w:t>
      </w:r>
      <w:r w:rsidRPr="00993B55">
        <w:t>/year</w:t>
      </w:r>
    </w:p>
    <w:p w14:paraId="25692CB0" w14:textId="3E56427C" w:rsidR="00E226D6" w:rsidRPr="00993B55" w:rsidRDefault="00E226D6" w:rsidP="007A60F3">
      <w:pPr>
        <w:widowControl w:val="0"/>
        <w:tabs>
          <w:tab w:val="left" w:pos="2520"/>
        </w:tabs>
        <w:ind w:left="720"/>
        <w:rPr>
          <w:bCs/>
          <w:spacing w:val="-3"/>
        </w:rPr>
      </w:pPr>
    </w:p>
    <w:p w14:paraId="16C2A268" w14:textId="77777777" w:rsidR="000177D5" w:rsidRPr="00993B55" w:rsidRDefault="000177D5" w:rsidP="007A60F3">
      <w:pPr>
        <w:widowControl w:val="0"/>
        <w:tabs>
          <w:tab w:val="left" w:pos="1080"/>
        </w:tabs>
        <w:ind w:left="720"/>
        <w:rPr>
          <w:b/>
          <w:bCs/>
        </w:rPr>
      </w:pPr>
      <w:r w:rsidRPr="00993B55">
        <w:rPr>
          <w:b/>
          <w:bCs/>
        </w:rPr>
        <w:t>d.</w:t>
      </w:r>
      <w:r w:rsidRPr="00993B55">
        <w:rPr>
          <w:b/>
          <w:bCs/>
        </w:rPr>
        <w:tab/>
        <w:t>BE CO</w:t>
      </w:r>
    </w:p>
    <w:p w14:paraId="43DD25F4" w14:textId="77777777" w:rsidR="000177D5" w:rsidRPr="00237768" w:rsidRDefault="000177D5" w:rsidP="007A60F3">
      <w:pPr>
        <w:widowControl w:val="0"/>
        <w:ind w:left="720"/>
      </w:pPr>
    </w:p>
    <w:p w14:paraId="1605E7FF" w14:textId="77777777" w:rsidR="000177D5" w:rsidRPr="00993B55" w:rsidRDefault="000177D5" w:rsidP="007A60F3">
      <w:pPr>
        <w:widowControl w:val="0"/>
        <w:ind w:left="720"/>
        <w:rPr>
          <w:rFonts w:cs="Arial"/>
          <w:i/>
          <w:iCs/>
          <w:u w:val="single"/>
        </w:rPr>
      </w:pPr>
      <w:r w:rsidRPr="00993B55">
        <w:rPr>
          <w:i/>
          <w:iCs/>
          <w:u w:val="single"/>
        </w:rPr>
        <w:t>Unit Located at a Non-Major Source</w:t>
      </w:r>
    </w:p>
    <w:p w14:paraId="7BA1D9C1" w14:textId="77777777" w:rsidR="000177D5" w:rsidRPr="00993B55" w:rsidRDefault="000177D5" w:rsidP="007A60F3">
      <w:pPr>
        <w:widowControl w:val="0"/>
        <w:ind w:left="720"/>
      </w:pPr>
      <w:r w:rsidRPr="00993B55">
        <w:t>As shown in Section VII.C.5 above, the facility is not a major source for CO emissions.</w:t>
      </w:r>
    </w:p>
    <w:p w14:paraId="0B2BC331" w14:textId="77777777" w:rsidR="000177D5" w:rsidRPr="00993B55" w:rsidRDefault="000177D5" w:rsidP="007A60F3">
      <w:pPr>
        <w:widowControl w:val="0"/>
        <w:tabs>
          <w:tab w:val="left" w:pos="1080"/>
        </w:tabs>
        <w:ind w:left="720"/>
      </w:pPr>
    </w:p>
    <w:p w14:paraId="28EBEEDE" w14:textId="4C59A168" w:rsidR="000177D5" w:rsidRPr="00993B55" w:rsidRDefault="000177D5" w:rsidP="007A60F3">
      <w:pPr>
        <w:widowControl w:val="0"/>
        <w:ind w:left="720"/>
      </w:pPr>
      <w:r w:rsidRPr="00993B55">
        <w:t>Therefore</w:t>
      </w:r>
      <w:r w:rsidR="001746F1">
        <w:t>,</w:t>
      </w:r>
      <w:r w:rsidRPr="00993B55">
        <w:t xml:space="preserve"> BE=PE1.</w:t>
      </w:r>
    </w:p>
    <w:p w14:paraId="7E3779BC" w14:textId="77777777" w:rsidR="000177D5" w:rsidRPr="00993B55" w:rsidRDefault="000177D5" w:rsidP="007A60F3">
      <w:pPr>
        <w:widowControl w:val="0"/>
        <w:ind w:left="720"/>
      </w:pPr>
    </w:p>
    <w:p w14:paraId="32B082D0" w14:textId="77777777" w:rsidR="00F16766" w:rsidRPr="00993B55" w:rsidRDefault="00F16766" w:rsidP="00F16766">
      <w:pPr>
        <w:widowControl w:val="0"/>
        <w:tabs>
          <w:tab w:val="left" w:pos="1890"/>
        </w:tabs>
        <w:ind w:left="720"/>
      </w:pPr>
      <w:r w:rsidRPr="00993B55">
        <w:rPr>
          <w:rFonts w:cs="Arial"/>
        </w:rPr>
        <w:t>BE = PE1</w:t>
      </w:r>
      <w:r w:rsidRPr="00993B55">
        <w:rPr>
          <w:rFonts w:cs="Arial"/>
        </w:rPr>
        <w:tab/>
        <w:t xml:space="preserve">= </w:t>
      </w:r>
      <w:r w:rsidRPr="00993B55">
        <w:t>(</w:t>
      </w:r>
      <w:r>
        <w:rPr>
          <w:color w:val="0000FF"/>
          <w:spacing w:val="-3"/>
        </w:rPr>
        <w:t>X.XXX</w:t>
      </w:r>
      <w:r w:rsidRPr="009C0D4D">
        <w:rPr>
          <w:color w:val="0000FF"/>
        </w:rPr>
        <w:t xml:space="preserve"> </w:t>
      </w:r>
      <w:r w:rsidRPr="00993B55">
        <w:t xml:space="preserve">lb/MMBtu) </w:t>
      </w:r>
      <w:r w:rsidRPr="00993B55">
        <w:sym w:font="Symbol" w:char="F02A"/>
      </w:r>
      <w:r w:rsidRPr="00993B55">
        <w:t xml:space="preserve"> (</w:t>
      </w:r>
      <w:r>
        <w:rPr>
          <w:color w:val="0000FF"/>
          <w:spacing w:val="-3"/>
        </w:rPr>
        <w:t>XXX</w:t>
      </w:r>
      <w:r w:rsidRPr="00993B55">
        <w:rPr>
          <w:spacing w:val="-3"/>
        </w:rPr>
        <w:t xml:space="preserve"> MMBtu/hr</w:t>
      </w:r>
      <w:r w:rsidRPr="00993B55">
        <w:t xml:space="preserve">) </w:t>
      </w:r>
      <w:r w:rsidRPr="00993B55">
        <w:sym w:font="Symbol" w:char="F02A"/>
      </w:r>
      <w:r w:rsidRPr="00993B55">
        <w:t xml:space="preserve"> (24 hr/day) </w:t>
      </w:r>
      <w:r w:rsidRPr="00993B55">
        <w:sym w:font="Symbol" w:char="F02A"/>
      </w:r>
      <w:r w:rsidRPr="00993B55">
        <w:t xml:space="preserve"> (365 day/year)</w:t>
      </w:r>
    </w:p>
    <w:p w14:paraId="38972387" w14:textId="65AA652E" w:rsidR="00F16766" w:rsidRPr="00993B55" w:rsidRDefault="00F16766" w:rsidP="00F16766">
      <w:pPr>
        <w:widowControl w:val="0"/>
        <w:tabs>
          <w:tab w:val="left" w:pos="1890"/>
        </w:tabs>
        <w:ind w:left="720"/>
      </w:pPr>
      <w:r w:rsidRPr="00993B55">
        <w:lastRenderedPageBreak/>
        <w:tab/>
        <w:t xml:space="preserve">= </w:t>
      </w:r>
      <w:r>
        <w:rPr>
          <w:color w:val="0000FF"/>
        </w:rPr>
        <w:t>XX,XXX</w:t>
      </w:r>
      <w:r w:rsidRPr="009C0D4D">
        <w:rPr>
          <w:color w:val="0000FF"/>
        </w:rPr>
        <w:t xml:space="preserve"> </w:t>
      </w:r>
      <w:r w:rsidRPr="00993B55">
        <w:t xml:space="preserve">lb </w:t>
      </w:r>
      <w:r>
        <w:t>CO</w:t>
      </w:r>
      <w:r w:rsidRPr="00993B55">
        <w:t>/year</w:t>
      </w:r>
    </w:p>
    <w:p w14:paraId="5EE2D186" w14:textId="77777777" w:rsidR="000177D5" w:rsidRPr="00993B55" w:rsidRDefault="000177D5" w:rsidP="007A60F3">
      <w:pPr>
        <w:widowControl w:val="0"/>
        <w:tabs>
          <w:tab w:val="left" w:pos="1890"/>
        </w:tabs>
        <w:ind w:left="720"/>
        <w:rPr>
          <w:bCs/>
          <w:spacing w:val="-3"/>
        </w:rPr>
      </w:pPr>
    </w:p>
    <w:p w14:paraId="3E8CE6E9" w14:textId="77777777" w:rsidR="000177D5" w:rsidRPr="00993B55" w:rsidRDefault="000177D5" w:rsidP="007A60F3">
      <w:pPr>
        <w:widowControl w:val="0"/>
        <w:tabs>
          <w:tab w:val="left" w:pos="1080"/>
        </w:tabs>
        <w:ind w:left="720"/>
        <w:rPr>
          <w:b/>
          <w:bCs/>
        </w:rPr>
      </w:pPr>
      <w:r w:rsidRPr="00993B55">
        <w:rPr>
          <w:b/>
          <w:bCs/>
        </w:rPr>
        <w:t>e.</w:t>
      </w:r>
      <w:r w:rsidRPr="00993B55">
        <w:rPr>
          <w:b/>
          <w:bCs/>
        </w:rPr>
        <w:tab/>
        <w:t>BE VOC</w:t>
      </w:r>
    </w:p>
    <w:p w14:paraId="3E833B55" w14:textId="77777777" w:rsidR="000177D5" w:rsidRPr="00237768" w:rsidRDefault="000177D5" w:rsidP="007A60F3">
      <w:pPr>
        <w:widowControl w:val="0"/>
        <w:ind w:left="720"/>
      </w:pPr>
    </w:p>
    <w:p w14:paraId="4B87F8AE" w14:textId="77777777" w:rsidR="000177D5" w:rsidRPr="00993B55" w:rsidRDefault="000177D5" w:rsidP="007A60F3">
      <w:pPr>
        <w:widowControl w:val="0"/>
        <w:ind w:left="720"/>
        <w:rPr>
          <w:rFonts w:cs="Arial"/>
          <w:i/>
          <w:iCs/>
          <w:u w:val="single"/>
        </w:rPr>
      </w:pPr>
      <w:r w:rsidRPr="00993B55">
        <w:rPr>
          <w:i/>
          <w:iCs/>
          <w:u w:val="single"/>
        </w:rPr>
        <w:t>Unit Located at a Non-Major Source</w:t>
      </w:r>
    </w:p>
    <w:p w14:paraId="3A5C0C05" w14:textId="77777777" w:rsidR="000177D5" w:rsidRPr="00993B55" w:rsidRDefault="000177D5" w:rsidP="007A60F3">
      <w:pPr>
        <w:widowControl w:val="0"/>
        <w:ind w:left="720"/>
      </w:pPr>
      <w:r w:rsidRPr="00993B55">
        <w:t>As shown in Section VII.C.5 above, the facility is not a major source for VOC emissions.</w:t>
      </w:r>
    </w:p>
    <w:p w14:paraId="7845E95D" w14:textId="77777777" w:rsidR="000177D5" w:rsidRPr="00993B55" w:rsidRDefault="000177D5" w:rsidP="007A60F3">
      <w:pPr>
        <w:widowControl w:val="0"/>
        <w:tabs>
          <w:tab w:val="left" w:pos="2880"/>
        </w:tabs>
        <w:autoSpaceDE w:val="0"/>
        <w:autoSpaceDN w:val="0"/>
        <w:adjustRightInd w:val="0"/>
        <w:ind w:left="720"/>
      </w:pPr>
    </w:p>
    <w:p w14:paraId="2D1694EA" w14:textId="2591FC6F" w:rsidR="000177D5" w:rsidRPr="00993B55" w:rsidRDefault="000177D5" w:rsidP="007A60F3">
      <w:pPr>
        <w:widowControl w:val="0"/>
        <w:ind w:left="720"/>
      </w:pPr>
      <w:r w:rsidRPr="00993B55">
        <w:t>Therefore</w:t>
      </w:r>
      <w:r w:rsidR="001746F1">
        <w:t>,</w:t>
      </w:r>
      <w:r w:rsidRPr="00993B55">
        <w:t xml:space="preserve"> BE=PE1.</w:t>
      </w:r>
    </w:p>
    <w:p w14:paraId="565B9FDC" w14:textId="77777777" w:rsidR="000177D5" w:rsidRPr="00993B55" w:rsidRDefault="000177D5" w:rsidP="007A60F3">
      <w:pPr>
        <w:widowControl w:val="0"/>
        <w:ind w:left="720"/>
      </w:pPr>
    </w:p>
    <w:p w14:paraId="54F88D86" w14:textId="77777777" w:rsidR="00F16766" w:rsidRPr="00993B55" w:rsidRDefault="00F16766" w:rsidP="00F16766">
      <w:pPr>
        <w:widowControl w:val="0"/>
        <w:tabs>
          <w:tab w:val="left" w:pos="1890"/>
        </w:tabs>
        <w:ind w:left="720"/>
      </w:pPr>
      <w:r w:rsidRPr="00993B55">
        <w:rPr>
          <w:rFonts w:cs="Arial"/>
        </w:rPr>
        <w:t>BE = PE1</w:t>
      </w:r>
      <w:r w:rsidRPr="00993B55">
        <w:rPr>
          <w:rFonts w:cs="Arial"/>
        </w:rPr>
        <w:tab/>
        <w:t xml:space="preserve">= </w:t>
      </w:r>
      <w:r w:rsidRPr="00993B55">
        <w:t>(</w:t>
      </w:r>
      <w:r>
        <w:rPr>
          <w:color w:val="0000FF"/>
          <w:spacing w:val="-3"/>
        </w:rPr>
        <w:t>X.XXX</w:t>
      </w:r>
      <w:r w:rsidRPr="009C0D4D">
        <w:rPr>
          <w:color w:val="0000FF"/>
        </w:rPr>
        <w:t xml:space="preserve"> </w:t>
      </w:r>
      <w:r w:rsidRPr="00993B55">
        <w:t xml:space="preserve">lb/MMBtu) </w:t>
      </w:r>
      <w:r w:rsidRPr="00993B55">
        <w:sym w:font="Symbol" w:char="F02A"/>
      </w:r>
      <w:r w:rsidRPr="00993B55">
        <w:t xml:space="preserve"> (</w:t>
      </w:r>
      <w:r>
        <w:rPr>
          <w:color w:val="0000FF"/>
          <w:spacing w:val="-3"/>
        </w:rPr>
        <w:t>XXX</w:t>
      </w:r>
      <w:r w:rsidRPr="00993B55">
        <w:rPr>
          <w:spacing w:val="-3"/>
        </w:rPr>
        <w:t xml:space="preserve"> MMBtu/hr</w:t>
      </w:r>
      <w:r w:rsidRPr="00993B55">
        <w:t xml:space="preserve">) </w:t>
      </w:r>
      <w:r w:rsidRPr="00993B55">
        <w:sym w:font="Symbol" w:char="F02A"/>
      </w:r>
      <w:r w:rsidRPr="00993B55">
        <w:t xml:space="preserve"> (24 hr/day) </w:t>
      </w:r>
      <w:r w:rsidRPr="00993B55">
        <w:sym w:font="Symbol" w:char="F02A"/>
      </w:r>
      <w:r w:rsidRPr="00993B55">
        <w:t xml:space="preserve"> (365 day/year)</w:t>
      </w:r>
    </w:p>
    <w:p w14:paraId="5E5A1DA0" w14:textId="2E060893" w:rsidR="00F16766" w:rsidRPr="00993B55" w:rsidRDefault="00F16766" w:rsidP="00F16766">
      <w:pPr>
        <w:widowControl w:val="0"/>
        <w:tabs>
          <w:tab w:val="left" w:pos="1890"/>
        </w:tabs>
        <w:ind w:left="720"/>
      </w:pPr>
      <w:r w:rsidRPr="00993B55">
        <w:tab/>
        <w:t xml:space="preserve">= </w:t>
      </w:r>
      <w:r>
        <w:rPr>
          <w:color w:val="0000FF"/>
        </w:rPr>
        <w:t>XX,XXX</w:t>
      </w:r>
      <w:r w:rsidRPr="009C0D4D">
        <w:rPr>
          <w:color w:val="0000FF"/>
        </w:rPr>
        <w:t xml:space="preserve"> </w:t>
      </w:r>
      <w:r w:rsidRPr="00993B55">
        <w:t xml:space="preserve">lb </w:t>
      </w:r>
      <w:r>
        <w:t>VOC</w:t>
      </w:r>
      <w:r w:rsidRPr="00993B55">
        <w:t>/year</w:t>
      </w:r>
    </w:p>
    <w:p w14:paraId="767F1B0E" w14:textId="3D4615C8" w:rsidR="000177D5" w:rsidRPr="0063101B" w:rsidRDefault="000177D5" w:rsidP="007C1ED2">
      <w:pPr>
        <w:pStyle w:val="Heading3"/>
        <w:widowControl w:val="0"/>
        <w:numPr>
          <w:ilvl w:val="0"/>
          <w:numId w:val="3"/>
        </w:numPr>
        <w:tabs>
          <w:tab w:val="clear" w:pos="1224"/>
        </w:tabs>
        <w:spacing w:before="240" w:after="240"/>
        <w:ind w:left="1080"/>
        <w:jc w:val="left"/>
        <w:rPr>
          <w:b/>
          <w:bCs/>
          <w:color w:val="000000"/>
          <w:sz w:val="24"/>
          <w:szCs w:val="24"/>
        </w:rPr>
      </w:pPr>
      <w:r w:rsidRPr="0063101B">
        <w:rPr>
          <w:b/>
          <w:bCs/>
          <w:color w:val="000000"/>
          <w:sz w:val="24"/>
          <w:szCs w:val="24"/>
        </w:rPr>
        <w:t>S</w:t>
      </w:r>
      <w:r w:rsidR="0029678F">
        <w:rPr>
          <w:b/>
          <w:bCs/>
          <w:color w:val="000000"/>
          <w:sz w:val="24"/>
          <w:szCs w:val="24"/>
        </w:rPr>
        <w:t xml:space="preserve">enate </w:t>
      </w:r>
      <w:r w:rsidRPr="0063101B">
        <w:rPr>
          <w:b/>
          <w:bCs/>
          <w:color w:val="000000"/>
          <w:sz w:val="24"/>
          <w:szCs w:val="24"/>
        </w:rPr>
        <w:t>B</w:t>
      </w:r>
      <w:r w:rsidR="0029678F">
        <w:rPr>
          <w:b/>
          <w:bCs/>
          <w:color w:val="000000"/>
          <w:sz w:val="24"/>
          <w:szCs w:val="24"/>
        </w:rPr>
        <w:t>ill</w:t>
      </w:r>
      <w:r w:rsidRPr="0063101B">
        <w:rPr>
          <w:b/>
          <w:bCs/>
          <w:color w:val="000000"/>
          <w:sz w:val="24"/>
          <w:szCs w:val="24"/>
        </w:rPr>
        <w:t xml:space="preserve"> 288 Major Modification</w:t>
      </w:r>
    </w:p>
    <w:p w14:paraId="335E4CB2" w14:textId="77777777" w:rsidR="000177D5" w:rsidRPr="00993B55" w:rsidRDefault="000177D5" w:rsidP="007A60F3">
      <w:pPr>
        <w:widowControl w:val="0"/>
        <w:ind w:left="720"/>
        <w:rPr>
          <w:rFonts w:cs="Arial"/>
          <w:noProof/>
          <w:color w:val="FF0000"/>
        </w:rPr>
      </w:pPr>
      <w:r w:rsidRPr="00993B55">
        <w:rPr>
          <w:rFonts w:cs="Arial"/>
          <w:b/>
          <w:noProof/>
          <w:color w:val="FF0000"/>
        </w:rPr>
        <w:t>Please note</w:t>
      </w:r>
      <w:r w:rsidRPr="00993B55">
        <w:rPr>
          <w:rFonts w:cs="Arial"/>
          <w:noProof/>
          <w:color w:val="FF0000"/>
        </w:rPr>
        <w:t xml:space="preserve"> that for purposes of SB 288 major modification and Major source determinations the federal definition of stationary source shall be used.  The “area wide” definition of oil and gas production stationary source in Rule 2201 shall not be used.</w:t>
      </w:r>
    </w:p>
    <w:p w14:paraId="43B12354" w14:textId="77777777" w:rsidR="000177D5" w:rsidRPr="00993B55" w:rsidRDefault="000177D5" w:rsidP="007A60F3">
      <w:pPr>
        <w:widowControl w:val="0"/>
        <w:ind w:left="720"/>
        <w:jc w:val="left"/>
        <w:rPr>
          <w:rFonts w:cs="Arial"/>
          <w:noProof/>
          <w:color w:val="FF0000"/>
        </w:rPr>
      </w:pPr>
    </w:p>
    <w:p w14:paraId="7DA51F1C" w14:textId="77777777" w:rsidR="000177D5" w:rsidRPr="00993B55" w:rsidRDefault="000177D5" w:rsidP="007A60F3">
      <w:pPr>
        <w:widowControl w:val="0"/>
        <w:ind w:left="720"/>
        <w:rPr>
          <w:rFonts w:cs="Arial"/>
          <w:noProof/>
          <w:color w:val="FF0000"/>
        </w:rPr>
      </w:pPr>
      <w:r w:rsidRPr="00993B55">
        <w:rPr>
          <w:rFonts w:cs="Arial"/>
          <w:noProof/>
          <w:color w:val="FF0000"/>
        </w:rPr>
        <w:t>The determination of whether various new or modified emission units are part of the same project is to be performed on a case by case basis. In general, to be part of the same project, the new and modified emission units must be part of a coordinated effort by the facility for a common purpose and occur within a reasonable amount of time. Please note that in this context, the term project has no relation to the project number assigned by the District to individual groups of applications</w:t>
      </w:r>
      <w:r w:rsidRPr="00993B55">
        <w:rPr>
          <w:sz w:val="23"/>
          <w:szCs w:val="23"/>
        </w:rPr>
        <w:t>.</w:t>
      </w:r>
    </w:p>
    <w:p w14:paraId="42A76DF5" w14:textId="77777777" w:rsidR="000177D5" w:rsidRPr="00993B55" w:rsidRDefault="000177D5" w:rsidP="007A60F3">
      <w:pPr>
        <w:widowControl w:val="0"/>
        <w:ind w:left="720"/>
        <w:jc w:val="left"/>
        <w:rPr>
          <w:rFonts w:cs="Arial"/>
          <w:bCs/>
          <w:color w:val="000000"/>
          <w:spacing w:val="-3"/>
          <w:szCs w:val="24"/>
        </w:rPr>
      </w:pPr>
    </w:p>
    <w:p w14:paraId="2C32225A" w14:textId="73B0594E" w:rsidR="000177D5" w:rsidRPr="00993B55" w:rsidRDefault="000177D5" w:rsidP="00CB1AB2">
      <w:pPr>
        <w:widowControl w:val="0"/>
        <w:ind w:left="720" w:right="-90"/>
        <w:rPr>
          <w:rFonts w:cs="Arial"/>
          <w:bCs/>
          <w:color w:val="FF0000"/>
          <w:spacing w:val="-3"/>
          <w:szCs w:val="24"/>
        </w:rPr>
      </w:pPr>
      <w:r w:rsidRPr="00993B55">
        <w:rPr>
          <w:rFonts w:cs="Arial"/>
          <w:bCs/>
          <w:color w:val="FF0000"/>
          <w:spacing w:val="-3"/>
          <w:szCs w:val="24"/>
        </w:rPr>
        <w:t xml:space="preserve">For additional guidance on implementation of the requirements for SB 288 and Federal Major Modifications, please see policy APR 1150 at: </w:t>
      </w:r>
      <w:hyperlink r:id="rId15" w:history="1">
        <w:r w:rsidR="00EF11F9" w:rsidRPr="00351E0E">
          <w:rPr>
            <w:rStyle w:val="Hyperlink"/>
            <w:rFonts w:cs="Arial"/>
            <w:bCs/>
            <w:spacing w:val="-3"/>
            <w:szCs w:val="24"/>
          </w:rPr>
          <w:t>https://www.valleyair.org/media/bjqc2ewc/apr-1150-major-modification-implementation.pdf</w:t>
        </w:r>
      </w:hyperlink>
    </w:p>
    <w:p w14:paraId="1A5CA213" w14:textId="77777777" w:rsidR="000177D5" w:rsidRPr="00993B55" w:rsidRDefault="000177D5" w:rsidP="007A60F3">
      <w:pPr>
        <w:widowControl w:val="0"/>
        <w:ind w:left="720"/>
        <w:jc w:val="left"/>
        <w:rPr>
          <w:rFonts w:cs="Arial"/>
          <w:noProof/>
        </w:rPr>
      </w:pPr>
    </w:p>
    <w:p w14:paraId="6EC28266" w14:textId="469716C6" w:rsidR="000177D5" w:rsidRPr="00993B55" w:rsidRDefault="00942551" w:rsidP="007A60F3">
      <w:pPr>
        <w:widowControl w:val="0"/>
        <w:ind w:left="720"/>
        <w:rPr>
          <w:rFonts w:cs="Arial"/>
          <w:bCs/>
        </w:rPr>
      </w:pPr>
      <w:r>
        <w:rPr>
          <w:rFonts w:cs="Arial"/>
          <w:noProof/>
        </w:rPr>
        <w:t>A</w:t>
      </w:r>
      <w:r w:rsidR="0029678F">
        <w:rPr>
          <w:rFonts w:cs="Arial"/>
          <w:noProof/>
        </w:rPr>
        <w:t xml:space="preserve"> Senate Bill (</w:t>
      </w:r>
      <w:r>
        <w:rPr>
          <w:rFonts w:cs="Arial"/>
          <w:noProof/>
        </w:rPr>
        <w:t>SB</w:t>
      </w:r>
      <w:r w:rsidR="0029678F">
        <w:rPr>
          <w:rFonts w:cs="Arial"/>
          <w:noProof/>
        </w:rPr>
        <w:t>)</w:t>
      </w:r>
      <w:r>
        <w:rPr>
          <w:rFonts w:cs="Arial"/>
          <w:noProof/>
        </w:rPr>
        <w:t xml:space="preserve"> 288 Major Modification is a federal major modification under 40 CFR 51.165 as it existed on December 19, 2002.  </w:t>
      </w:r>
      <w:r w:rsidR="000177D5" w:rsidRPr="00993B55">
        <w:rPr>
          <w:rFonts w:cs="Arial"/>
          <w:noProof/>
        </w:rPr>
        <w:t xml:space="preserve">40 CFR Part 51.165 </w:t>
      </w:r>
      <w:r>
        <w:rPr>
          <w:rFonts w:cs="Arial"/>
          <w:noProof/>
        </w:rPr>
        <w:t xml:space="preserve">(12/19/02) </w:t>
      </w:r>
      <w:r w:rsidR="000177D5" w:rsidRPr="00993B55">
        <w:rPr>
          <w:rFonts w:cs="Arial"/>
          <w:noProof/>
        </w:rPr>
        <w:t xml:space="preserve">defines a Major Modification as </w:t>
      </w:r>
      <w:r w:rsidR="000177D5" w:rsidRPr="00993B55">
        <w:rPr>
          <w:rFonts w:cs="Arial"/>
          <w:iCs/>
        </w:rPr>
        <w:t xml:space="preserve">any physical change in or change in the method of operation of </w:t>
      </w:r>
      <w:r w:rsidR="000177D5" w:rsidRPr="005E63C4">
        <w:rPr>
          <w:rFonts w:cs="Arial"/>
          <w:i/>
          <w:iCs/>
        </w:rPr>
        <w:t>a</w:t>
      </w:r>
      <w:r w:rsidRPr="005E63C4">
        <w:rPr>
          <w:rFonts w:cs="Arial"/>
          <w:i/>
          <w:iCs/>
        </w:rPr>
        <w:t>n existing</w:t>
      </w:r>
      <w:r w:rsidR="000177D5" w:rsidRPr="005E63C4">
        <w:rPr>
          <w:rFonts w:cs="Arial"/>
          <w:i/>
          <w:iCs/>
        </w:rPr>
        <w:t xml:space="preserve"> major stationary source</w:t>
      </w:r>
      <w:r w:rsidR="000177D5" w:rsidRPr="00993B55">
        <w:rPr>
          <w:rFonts w:cs="Arial"/>
          <w:iCs/>
        </w:rPr>
        <w:t xml:space="preserve"> that would result in a significant net emissions increase of any pollutant subject to regulation under the Act</w:t>
      </w:r>
      <w:r w:rsidR="000177D5" w:rsidRPr="00993B55">
        <w:rPr>
          <w:rFonts w:cs="Arial"/>
        </w:rPr>
        <w:t>.</w:t>
      </w:r>
    </w:p>
    <w:p w14:paraId="3711788B" w14:textId="77777777" w:rsidR="000177D5" w:rsidRPr="00993B55" w:rsidRDefault="000177D5" w:rsidP="007A60F3">
      <w:pPr>
        <w:widowControl w:val="0"/>
        <w:ind w:left="720"/>
        <w:jc w:val="left"/>
        <w:rPr>
          <w:rFonts w:cs="Arial"/>
        </w:rPr>
      </w:pPr>
    </w:p>
    <w:p w14:paraId="344A3F25" w14:textId="77777777" w:rsidR="000177D5" w:rsidRPr="00993B55" w:rsidRDefault="000177D5" w:rsidP="007A60F3">
      <w:pPr>
        <w:widowControl w:val="0"/>
        <w:ind w:left="720"/>
        <w:rPr>
          <w:rFonts w:cs="Arial"/>
          <w:color w:val="FF0000"/>
        </w:rPr>
      </w:pPr>
      <w:r w:rsidRPr="00993B55">
        <w:rPr>
          <w:rFonts w:cs="Arial"/>
          <w:color w:val="FF0000"/>
        </w:rPr>
        <w:t>If the facility is not a major source for any of the pollutants addressed in this project:</w:t>
      </w:r>
    </w:p>
    <w:p w14:paraId="1F652F55" w14:textId="1279EA66" w:rsidR="000177D5" w:rsidRPr="00993B55" w:rsidRDefault="0078762A" w:rsidP="007A60F3">
      <w:pPr>
        <w:widowControl w:val="0"/>
        <w:ind w:left="720"/>
        <w:rPr>
          <w:rFonts w:cs="Arial"/>
        </w:rPr>
      </w:pPr>
      <w:r>
        <w:rPr>
          <w:rFonts w:cs="Arial"/>
        </w:rPr>
        <w:t>Per section VII.C.5 above,</w:t>
      </w:r>
      <w:r w:rsidR="000177D5" w:rsidRPr="00993B55">
        <w:rPr>
          <w:rFonts w:cs="Arial"/>
        </w:rPr>
        <w:t xml:space="preserve"> this facility is not a major source for any of the pollutants addressed in this project</w:t>
      </w:r>
      <w:r>
        <w:rPr>
          <w:rFonts w:cs="Arial"/>
        </w:rPr>
        <w:t xml:space="preserve">. </w:t>
      </w:r>
      <w:r w:rsidR="000177D5" w:rsidRPr="00993B55">
        <w:rPr>
          <w:rFonts w:cs="Arial"/>
        </w:rPr>
        <w:t xml:space="preserve"> </w:t>
      </w:r>
      <w:r>
        <w:rPr>
          <w:rFonts w:cs="Arial"/>
        </w:rPr>
        <w:t xml:space="preserve">Thus, </w:t>
      </w:r>
      <w:r w:rsidR="000177D5" w:rsidRPr="00993B55">
        <w:rPr>
          <w:rFonts w:cs="Arial"/>
        </w:rPr>
        <w:t>this project does not constitute an SB 288 major modification and no further discussion is required.</w:t>
      </w:r>
    </w:p>
    <w:p w14:paraId="07D58EE6" w14:textId="77777777" w:rsidR="000177D5" w:rsidRPr="00993B55" w:rsidRDefault="000177D5" w:rsidP="007A60F3">
      <w:pPr>
        <w:widowControl w:val="0"/>
        <w:ind w:left="720"/>
        <w:rPr>
          <w:rFonts w:cs="Arial"/>
        </w:rPr>
      </w:pPr>
    </w:p>
    <w:p w14:paraId="26D7B7D1" w14:textId="77777777" w:rsidR="000177D5" w:rsidRPr="00993B55" w:rsidRDefault="000177D5" w:rsidP="007A60F3">
      <w:pPr>
        <w:widowControl w:val="0"/>
        <w:ind w:left="720"/>
        <w:rPr>
          <w:color w:val="FF0000"/>
        </w:rPr>
      </w:pPr>
      <w:r w:rsidRPr="00993B55">
        <w:rPr>
          <w:color w:val="FF0000"/>
        </w:rPr>
        <w:t xml:space="preserve">If the facility is a major source for one or more of the pollutants addressed in this project, </w:t>
      </w:r>
      <w:r w:rsidRPr="00993B55">
        <w:rPr>
          <w:b/>
          <w:color w:val="FF0000"/>
        </w:rPr>
        <w:t>calculate only</w:t>
      </w:r>
      <w:r w:rsidRPr="00993B55">
        <w:rPr>
          <w:color w:val="FF0000"/>
        </w:rPr>
        <w:t xml:space="preserve"> the emissions for which the source is major.</w:t>
      </w:r>
    </w:p>
    <w:p w14:paraId="3CB3917C" w14:textId="7820C366" w:rsidR="000177D5" w:rsidRPr="00993B55" w:rsidRDefault="00014701" w:rsidP="007A60F3">
      <w:pPr>
        <w:widowControl w:val="0"/>
        <w:ind w:left="720"/>
        <w:rPr>
          <w:color w:val="FF0000"/>
        </w:rPr>
      </w:pPr>
      <w:r>
        <w:rPr>
          <w:rFonts w:cs="Arial"/>
        </w:rPr>
        <w:t>Per section VII.C.5 above,</w:t>
      </w:r>
      <w:r w:rsidR="000177D5" w:rsidRPr="00993B55">
        <w:t xml:space="preserve"> this facility is a major source for</w:t>
      </w:r>
      <w:r w:rsidR="000177D5" w:rsidRPr="00993B55">
        <w:rPr>
          <w:color w:val="0066FF"/>
        </w:rPr>
        <w:t xml:space="preserve"> </w:t>
      </w:r>
      <w:r w:rsidR="000177D5" w:rsidRPr="00993B55">
        <w:rPr>
          <w:color w:val="0000FF"/>
        </w:rPr>
        <w:t>(x-pollutant)</w:t>
      </w:r>
      <w:r>
        <w:rPr>
          <w:color w:val="0000FF"/>
        </w:rPr>
        <w:t>.</w:t>
      </w:r>
      <w:r>
        <w:t xml:space="preserve"> </w:t>
      </w:r>
      <w:r w:rsidR="000177D5" w:rsidRPr="00993B55">
        <w:t xml:space="preserve"> </w:t>
      </w:r>
      <w:r>
        <w:t xml:space="preserve">Thus, </w:t>
      </w:r>
      <w:r w:rsidR="000177D5" w:rsidRPr="00993B55">
        <w:t xml:space="preserve">the project’s PE2 is compared to the SB 288 Major Modification Thresholds in the following table in order to determine if further SB 288 Major Modification calculation is required.  </w:t>
      </w:r>
      <w:r w:rsidR="000177D5" w:rsidRPr="00993B55">
        <w:rPr>
          <w:color w:val="FF0000"/>
        </w:rPr>
        <w:t>Note that any emissions increases of 0.5 lb/day or less round to zero for NSR purposes.</w:t>
      </w:r>
    </w:p>
    <w:p w14:paraId="16704B5D" w14:textId="687ED1BE" w:rsidR="000177D5" w:rsidRPr="00993B55" w:rsidRDefault="000177D5" w:rsidP="007A60F3">
      <w:pPr>
        <w:pStyle w:val="BodyText"/>
        <w:widowControl w:val="0"/>
        <w:autoSpaceDE w:val="0"/>
        <w:autoSpaceDN w:val="0"/>
        <w:adjustRightInd w:val="0"/>
        <w:ind w:left="720" w:right="-180"/>
        <w:rPr>
          <w:rFonts w:cs="Arial"/>
        </w:rPr>
      </w:pPr>
    </w:p>
    <w:p w14:paraId="6D07FF7B" w14:textId="77777777" w:rsidR="000177D5" w:rsidRPr="00993B55" w:rsidRDefault="000177D5" w:rsidP="007A60F3">
      <w:pPr>
        <w:widowControl w:val="0"/>
        <w:ind w:left="720"/>
      </w:pPr>
      <w:r w:rsidRPr="00993B55">
        <w:rPr>
          <w:color w:val="FF0000"/>
        </w:rPr>
        <w:t xml:space="preserve">For a project authorizing new or modified </w:t>
      </w:r>
      <w:r w:rsidRPr="00993B55">
        <w:rPr>
          <w:b/>
          <w:color w:val="FF0000"/>
        </w:rPr>
        <w:t>non-road engines</w:t>
      </w:r>
      <w:r w:rsidRPr="00993B55">
        <w:rPr>
          <w:color w:val="FF0000"/>
        </w:rPr>
        <w:t xml:space="preserve">, use the following </w:t>
      </w:r>
      <w:r w:rsidRPr="00993B55">
        <w:rPr>
          <w:color w:val="FF0000"/>
        </w:rPr>
        <w:lastRenderedPageBreak/>
        <w:t>paragraph, otherwise delete.</w:t>
      </w:r>
    </w:p>
    <w:p w14:paraId="66E10393" w14:textId="77777777" w:rsidR="000177D5" w:rsidRPr="00993B55" w:rsidRDefault="000177D5" w:rsidP="007A60F3">
      <w:pPr>
        <w:widowControl w:val="0"/>
        <w:ind w:left="720"/>
        <w:rPr>
          <w:rFonts w:cs="Arial"/>
        </w:rPr>
      </w:pPr>
      <w:r w:rsidRPr="00993B55">
        <w:rPr>
          <w:rFonts w:cs="Arial"/>
          <w:szCs w:val="23"/>
        </w:rPr>
        <w:t>Non-road engines shall not be considered in determining whether a project is an SB 288 Major Modification.  The Federal CAA reserves the regulation of non-road engines to Title II (National Emission Standards) of the CAA.</w:t>
      </w:r>
    </w:p>
    <w:p w14:paraId="3F0106C6" w14:textId="77777777" w:rsidR="00C30873" w:rsidRPr="00993B55" w:rsidRDefault="00C30873" w:rsidP="007A60F3">
      <w:pPr>
        <w:widowControl w:val="0"/>
        <w:ind w:left="720"/>
      </w:pPr>
    </w:p>
    <w:p w14:paraId="47942DFD" w14:textId="150F43B9" w:rsidR="000177D5" w:rsidRPr="00993B55" w:rsidRDefault="000177D5" w:rsidP="007A60F3">
      <w:pPr>
        <w:widowControl w:val="0"/>
        <w:ind w:left="720"/>
        <w:rPr>
          <w:rFonts w:cs="Arial"/>
        </w:rPr>
      </w:pPr>
      <w:r w:rsidRPr="00993B55">
        <w:rPr>
          <w:rFonts w:cs="Arial"/>
        </w:rPr>
        <w:t xml:space="preserve">As calculated in </w:t>
      </w:r>
      <w:r w:rsidR="0040450B">
        <w:rPr>
          <w:rFonts w:cs="Arial"/>
        </w:rPr>
        <w:t>S</w:t>
      </w:r>
      <w:r w:rsidRPr="00993B55">
        <w:rPr>
          <w:rFonts w:cs="Arial"/>
        </w:rPr>
        <w:t xml:space="preserve">ection </w:t>
      </w:r>
      <w:r w:rsidR="0040450B">
        <w:rPr>
          <w:rFonts w:cs="Arial"/>
        </w:rPr>
        <w:t xml:space="preserve">VII </w:t>
      </w:r>
      <w:r w:rsidRPr="00993B55">
        <w:rPr>
          <w:rFonts w:cs="Arial"/>
        </w:rPr>
        <w:t>above:</w:t>
      </w:r>
    </w:p>
    <w:p w14:paraId="4190D348" w14:textId="77777777" w:rsidR="00856FA9" w:rsidRPr="00993B55" w:rsidRDefault="00856FA9" w:rsidP="007A60F3">
      <w:pPr>
        <w:widowControl w:val="0"/>
        <w:ind w:left="720"/>
        <w:rPr>
          <w:rFonts w:cs="Arial"/>
        </w:rPr>
      </w:pPr>
    </w:p>
    <w:tbl>
      <w:tblPr>
        <w:tblW w:w="8593"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800"/>
        <w:gridCol w:w="1994"/>
        <w:gridCol w:w="7"/>
        <w:gridCol w:w="3082"/>
      </w:tblGrid>
      <w:tr w:rsidR="000177D5" w:rsidRPr="00993B55" w14:paraId="2BDA4D07" w14:textId="63EEDBDD" w:rsidTr="00505E9F">
        <w:trPr>
          <w:trHeight w:val="485"/>
        </w:trPr>
        <w:tc>
          <w:tcPr>
            <w:tcW w:w="8593" w:type="dxa"/>
            <w:gridSpan w:val="5"/>
            <w:shd w:val="clear" w:color="auto" w:fill="D9D9D9" w:themeFill="background1" w:themeFillShade="D9"/>
            <w:vAlign w:val="center"/>
          </w:tcPr>
          <w:p w14:paraId="30258E8C" w14:textId="1A8E6614" w:rsidR="000177D5" w:rsidRPr="00993B55" w:rsidRDefault="000177D5" w:rsidP="0090690D">
            <w:pPr>
              <w:keepNext/>
              <w:widowControl w:val="0"/>
              <w:jc w:val="center"/>
              <w:rPr>
                <w:rFonts w:cs="Arial"/>
                <w:b/>
                <w:bCs/>
                <w:sz w:val="22"/>
                <w:szCs w:val="22"/>
              </w:rPr>
            </w:pPr>
            <w:r w:rsidRPr="00993B55">
              <w:rPr>
                <w:rFonts w:cs="Arial"/>
                <w:b/>
                <w:bCs/>
                <w:sz w:val="22"/>
                <w:szCs w:val="22"/>
              </w:rPr>
              <w:t>SB 288 Major Modification Thresholds</w:t>
            </w:r>
          </w:p>
        </w:tc>
      </w:tr>
      <w:tr w:rsidR="000177D5" w:rsidRPr="00993B55" w14:paraId="48A984E9" w14:textId="313D3EBC" w:rsidTr="00505E9F">
        <w:trPr>
          <w:trHeight w:val="690"/>
        </w:trPr>
        <w:tc>
          <w:tcPr>
            <w:tcW w:w="1710" w:type="dxa"/>
            <w:shd w:val="clear" w:color="auto" w:fill="D9D9D9" w:themeFill="background1" w:themeFillShade="D9"/>
            <w:vAlign w:val="center"/>
          </w:tcPr>
          <w:p w14:paraId="70C9D9E9" w14:textId="5D759BE1" w:rsidR="000177D5" w:rsidRPr="00993B55" w:rsidRDefault="000177D5" w:rsidP="0090690D">
            <w:pPr>
              <w:keepNext/>
              <w:widowControl w:val="0"/>
              <w:jc w:val="center"/>
              <w:rPr>
                <w:rFonts w:cs="Arial"/>
                <w:b/>
                <w:sz w:val="22"/>
                <w:szCs w:val="22"/>
              </w:rPr>
            </w:pPr>
            <w:r w:rsidRPr="00993B55">
              <w:rPr>
                <w:rFonts w:cs="Arial"/>
                <w:b/>
                <w:sz w:val="22"/>
                <w:szCs w:val="22"/>
              </w:rPr>
              <w:t>Pollutant</w:t>
            </w:r>
          </w:p>
        </w:tc>
        <w:tc>
          <w:tcPr>
            <w:tcW w:w="1800" w:type="dxa"/>
            <w:shd w:val="clear" w:color="auto" w:fill="D9D9D9" w:themeFill="background1" w:themeFillShade="D9"/>
            <w:vAlign w:val="center"/>
          </w:tcPr>
          <w:p w14:paraId="0AB9ADB8" w14:textId="03E9E47A" w:rsidR="000177D5" w:rsidRPr="00993B55" w:rsidRDefault="000177D5" w:rsidP="0090690D">
            <w:pPr>
              <w:keepNext/>
              <w:widowControl w:val="0"/>
              <w:jc w:val="center"/>
              <w:rPr>
                <w:rFonts w:cs="Arial"/>
                <w:b/>
                <w:sz w:val="22"/>
                <w:szCs w:val="22"/>
              </w:rPr>
            </w:pPr>
            <w:r w:rsidRPr="00993B55">
              <w:rPr>
                <w:rFonts w:cs="Arial"/>
                <w:b/>
                <w:sz w:val="22"/>
                <w:szCs w:val="22"/>
              </w:rPr>
              <w:t>Project PE2</w:t>
            </w:r>
          </w:p>
          <w:p w14:paraId="104A18E1" w14:textId="3EEED8B7" w:rsidR="000177D5" w:rsidRPr="00993B55" w:rsidRDefault="000177D5" w:rsidP="0090690D">
            <w:pPr>
              <w:keepNext/>
              <w:widowControl w:val="0"/>
              <w:jc w:val="center"/>
              <w:rPr>
                <w:rFonts w:cs="Arial"/>
                <w:b/>
                <w:sz w:val="22"/>
                <w:szCs w:val="22"/>
              </w:rPr>
            </w:pPr>
            <w:r w:rsidRPr="00993B55">
              <w:rPr>
                <w:rFonts w:cs="Arial"/>
                <w:b/>
                <w:sz w:val="22"/>
                <w:szCs w:val="22"/>
              </w:rPr>
              <w:t>(lb/year)</w:t>
            </w:r>
          </w:p>
        </w:tc>
        <w:tc>
          <w:tcPr>
            <w:tcW w:w="1994" w:type="dxa"/>
            <w:shd w:val="clear" w:color="auto" w:fill="D9D9D9" w:themeFill="background1" w:themeFillShade="D9"/>
            <w:vAlign w:val="center"/>
          </w:tcPr>
          <w:p w14:paraId="05A92996" w14:textId="56AE8909" w:rsidR="000177D5" w:rsidRPr="00993B55" w:rsidRDefault="000177D5" w:rsidP="0090690D">
            <w:pPr>
              <w:keepNext/>
              <w:widowControl w:val="0"/>
              <w:jc w:val="center"/>
              <w:rPr>
                <w:rFonts w:cs="Arial"/>
                <w:b/>
                <w:sz w:val="22"/>
                <w:szCs w:val="22"/>
              </w:rPr>
            </w:pPr>
            <w:r w:rsidRPr="00993B55">
              <w:rPr>
                <w:rFonts w:cs="Arial"/>
                <w:b/>
                <w:sz w:val="22"/>
                <w:szCs w:val="22"/>
              </w:rPr>
              <w:t>Threshold</w:t>
            </w:r>
          </w:p>
          <w:p w14:paraId="45AD1BA9" w14:textId="00CBF2B8" w:rsidR="000177D5" w:rsidRPr="00993B55" w:rsidRDefault="000177D5" w:rsidP="0090690D">
            <w:pPr>
              <w:keepNext/>
              <w:widowControl w:val="0"/>
              <w:jc w:val="center"/>
              <w:rPr>
                <w:rFonts w:cs="Arial"/>
                <w:b/>
                <w:sz w:val="22"/>
                <w:szCs w:val="22"/>
              </w:rPr>
            </w:pPr>
            <w:r w:rsidRPr="00993B55">
              <w:rPr>
                <w:rFonts w:cs="Arial"/>
                <w:b/>
                <w:sz w:val="22"/>
                <w:szCs w:val="22"/>
              </w:rPr>
              <w:t>(lb/year)</w:t>
            </w:r>
          </w:p>
        </w:tc>
        <w:tc>
          <w:tcPr>
            <w:tcW w:w="3089" w:type="dxa"/>
            <w:gridSpan w:val="2"/>
            <w:shd w:val="clear" w:color="auto" w:fill="D9D9D9" w:themeFill="background1" w:themeFillShade="D9"/>
            <w:vAlign w:val="center"/>
          </w:tcPr>
          <w:p w14:paraId="1D0AF6C4" w14:textId="2B2B2528" w:rsidR="000177D5" w:rsidRPr="00993B55" w:rsidRDefault="000177D5" w:rsidP="0090690D">
            <w:pPr>
              <w:keepNext/>
              <w:widowControl w:val="0"/>
              <w:tabs>
                <w:tab w:val="left" w:pos="0"/>
              </w:tabs>
              <w:jc w:val="center"/>
              <w:rPr>
                <w:rFonts w:cs="Arial"/>
                <w:b/>
                <w:sz w:val="22"/>
                <w:szCs w:val="22"/>
              </w:rPr>
            </w:pPr>
            <w:r w:rsidRPr="00993B55">
              <w:rPr>
                <w:rFonts w:cs="Arial"/>
                <w:b/>
                <w:sz w:val="22"/>
                <w:szCs w:val="22"/>
              </w:rPr>
              <w:t>SB 288 Major Modification Calculation Required?</w:t>
            </w:r>
          </w:p>
        </w:tc>
      </w:tr>
      <w:tr w:rsidR="000177D5" w:rsidRPr="00993B55" w14:paraId="31179ED5" w14:textId="157E04C7" w:rsidTr="00505E9F">
        <w:trPr>
          <w:trHeight w:val="357"/>
        </w:trPr>
        <w:tc>
          <w:tcPr>
            <w:tcW w:w="1710" w:type="dxa"/>
            <w:shd w:val="clear" w:color="auto" w:fill="auto"/>
            <w:vAlign w:val="center"/>
          </w:tcPr>
          <w:p w14:paraId="2A5CB1F7" w14:textId="7AEBA71F" w:rsidR="000177D5" w:rsidRPr="00993B55" w:rsidRDefault="000177D5" w:rsidP="0090690D">
            <w:pPr>
              <w:keepNext/>
              <w:widowControl w:val="0"/>
              <w:jc w:val="center"/>
              <w:rPr>
                <w:rFonts w:cs="Arial"/>
                <w:sz w:val="22"/>
                <w:szCs w:val="22"/>
              </w:rPr>
            </w:pPr>
            <w:r w:rsidRPr="00993B55">
              <w:rPr>
                <w:rFonts w:cs="Arial"/>
                <w:sz w:val="22"/>
                <w:szCs w:val="22"/>
              </w:rPr>
              <w:t>NO</w:t>
            </w:r>
            <w:r w:rsidR="004F38B5">
              <w:rPr>
                <w:rFonts w:cs="Arial"/>
                <w:sz w:val="22"/>
                <w:szCs w:val="22"/>
              </w:rPr>
              <w:t>x</w:t>
            </w:r>
          </w:p>
        </w:tc>
        <w:tc>
          <w:tcPr>
            <w:tcW w:w="1800" w:type="dxa"/>
            <w:shd w:val="clear" w:color="auto" w:fill="auto"/>
            <w:vAlign w:val="center"/>
          </w:tcPr>
          <w:p w14:paraId="412429F8" w14:textId="25F4807C" w:rsidR="000177D5" w:rsidRPr="00993B55" w:rsidRDefault="00F613B9" w:rsidP="0090690D">
            <w:pPr>
              <w:keepNext/>
              <w:widowControl w:val="0"/>
              <w:jc w:val="center"/>
              <w:rPr>
                <w:rFonts w:cs="Arial"/>
                <w:sz w:val="22"/>
                <w:szCs w:val="22"/>
              </w:rPr>
            </w:pPr>
            <w:r w:rsidRPr="002052A9">
              <w:rPr>
                <w:color w:val="0000FF"/>
                <w:sz w:val="22"/>
                <w:szCs w:val="22"/>
              </w:rPr>
              <w:t>X,XXX</w:t>
            </w:r>
          </w:p>
        </w:tc>
        <w:tc>
          <w:tcPr>
            <w:tcW w:w="1994" w:type="dxa"/>
            <w:shd w:val="clear" w:color="auto" w:fill="auto"/>
            <w:vAlign w:val="center"/>
          </w:tcPr>
          <w:p w14:paraId="236AF5BF" w14:textId="4344AC6B" w:rsidR="000177D5" w:rsidRPr="00993B55" w:rsidRDefault="000177D5" w:rsidP="0090690D">
            <w:pPr>
              <w:keepNext/>
              <w:widowControl w:val="0"/>
              <w:jc w:val="center"/>
              <w:rPr>
                <w:rFonts w:cs="Arial"/>
                <w:sz w:val="22"/>
                <w:szCs w:val="22"/>
              </w:rPr>
            </w:pPr>
            <w:r w:rsidRPr="00993B55">
              <w:rPr>
                <w:rFonts w:cs="Arial"/>
                <w:sz w:val="22"/>
                <w:szCs w:val="22"/>
              </w:rPr>
              <w:t>50,000</w:t>
            </w:r>
          </w:p>
        </w:tc>
        <w:tc>
          <w:tcPr>
            <w:tcW w:w="3089" w:type="dxa"/>
            <w:gridSpan w:val="2"/>
            <w:shd w:val="clear" w:color="auto" w:fill="auto"/>
            <w:vAlign w:val="center"/>
          </w:tcPr>
          <w:p w14:paraId="59627461" w14:textId="3C975AAA" w:rsidR="000177D5" w:rsidRPr="00993B55" w:rsidRDefault="000177D5" w:rsidP="0090690D">
            <w:pPr>
              <w:keepNext/>
              <w:widowControl w:val="0"/>
              <w:jc w:val="center"/>
              <w:rPr>
                <w:rFonts w:cs="Arial"/>
                <w:color w:val="0000FF"/>
                <w:sz w:val="22"/>
                <w:szCs w:val="22"/>
              </w:rPr>
            </w:pPr>
            <w:r w:rsidRPr="00993B55">
              <w:rPr>
                <w:rFonts w:cs="Arial"/>
                <w:color w:val="0000FF"/>
                <w:sz w:val="22"/>
                <w:szCs w:val="22"/>
              </w:rPr>
              <w:t>Yes/No</w:t>
            </w:r>
          </w:p>
        </w:tc>
      </w:tr>
      <w:tr w:rsidR="000177D5" w:rsidRPr="00993B55" w14:paraId="7E1F3F83" w14:textId="14D74BAD" w:rsidTr="00505E9F">
        <w:trPr>
          <w:trHeight w:val="357"/>
        </w:trPr>
        <w:tc>
          <w:tcPr>
            <w:tcW w:w="1710" w:type="dxa"/>
            <w:shd w:val="clear" w:color="auto" w:fill="auto"/>
            <w:vAlign w:val="center"/>
          </w:tcPr>
          <w:p w14:paraId="723512F0" w14:textId="232ECFCF" w:rsidR="000177D5" w:rsidRPr="00993B55" w:rsidRDefault="000177D5" w:rsidP="0090690D">
            <w:pPr>
              <w:keepNext/>
              <w:widowControl w:val="0"/>
              <w:jc w:val="center"/>
              <w:rPr>
                <w:rFonts w:cs="Arial"/>
                <w:sz w:val="22"/>
                <w:szCs w:val="22"/>
              </w:rPr>
            </w:pPr>
            <w:r w:rsidRPr="00993B55">
              <w:rPr>
                <w:rFonts w:cs="Arial"/>
                <w:sz w:val="22"/>
                <w:szCs w:val="22"/>
              </w:rPr>
              <w:t>SO</w:t>
            </w:r>
            <w:r w:rsidR="004F38B5">
              <w:rPr>
                <w:rFonts w:cs="Arial"/>
                <w:sz w:val="22"/>
                <w:szCs w:val="22"/>
              </w:rPr>
              <w:t>x</w:t>
            </w:r>
          </w:p>
        </w:tc>
        <w:tc>
          <w:tcPr>
            <w:tcW w:w="1800" w:type="dxa"/>
            <w:shd w:val="clear" w:color="auto" w:fill="auto"/>
            <w:vAlign w:val="center"/>
          </w:tcPr>
          <w:p w14:paraId="79247EEA" w14:textId="2FF1CC6C" w:rsidR="000177D5" w:rsidRPr="00993B55" w:rsidRDefault="00F613B9" w:rsidP="0090690D">
            <w:pPr>
              <w:keepNext/>
              <w:widowControl w:val="0"/>
              <w:jc w:val="center"/>
              <w:rPr>
                <w:rFonts w:cs="Arial"/>
                <w:sz w:val="22"/>
                <w:szCs w:val="22"/>
              </w:rPr>
            </w:pPr>
            <w:r w:rsidRPr="002052A9">
              <w:rPr>
                <w:color w:val="0000FF"/>
                <w:sz w:val="22"/>
                <w:szCs w:val="22"/>
              </w:rPr>
              <w:t>X,XXX</w:t>
            </w:r>
          </w:p>
        </w:tc>
        <w:tc>
          <w:tcPr>
            <w:tcW w:w="1994" w:type="dxa"/>
            <w:shd w:val="clear" w:color="auto" w:fill="auto"/>
            <w:vAlign w:val="center"/>
          </w:tcPr>
          <w:p w14:paraId="0825CF6C" w14:textId="59BC9FAD" w:rsidR="000177D5" w:rsidRPr="00993B55" w:rsidRDefault="000177D5" w:rsidP="0090690D">
            <w:pPr>
              <w:keepNext/>
              <w:widowControl w:val="0"/>
              <w:jc w:val="center"/>
              <w:rPr>
                <w:rFonts w:cs="Arial"/>
                <w:sz w:val="22"/>
                <w:szCs w:val="22"/>
              </w:rPr>
            </w:pPr>
            <w:r w:rsidRPr="00993B55">
              <w:rPr>
                <w:rFonts w:cs="Arial"/>
                <w:sz w:val="22"/>
                <w:szCs w:val="22"/>
              </w:rPr>
              <w:t>80,000</w:t>
            </w:r>
          </w:p>
        </w:tc>
        <w:tc>
          <w:tcPr>
            <w:tcW w:w="3089" w:type="dxa"/>
            <w:gridSpan w:val="2"/>
            <w:shd w:val="clear" w:color="auto" w:fill="auto"/>
            <w:vAlign w:val="center"/>
          </w:tcPr>
          <w:p w14:paraId="2D9311D1" w14:textId="3446A290" w:rsidR="000177D5" w:rsidRPr="00993B55" w:rsidRDefault="000177D5" w:rsidP="0090690D">
            <w:pPr>
              <w:keepNext/>
              <w:widowControl w:val="0"/>
              <w:jc w:val="center"/>
              <w:rPr>
                <w:rFonts w:cs="Arial"/>
                <w:color w:val="0000FF"/>
                <w:sz w:val="22"/>
                <w:szCs w:val="22"/>
              </w:rPr>
            </w:pPr>
            <w:r w:rsidRPr="00993B55">
              <w:rPr>
                <w:rFonts w:cs="Arial"/>
                <w:color w:val="0000FF"/>
                <w:sz w:val="22"/>
                <w:szCs w:val="22"/>
              </w:rPr>
              <w:t>Yes/No</w:t>
            </w:r>
          </w:p>
        </w:tc>
      </w:tr>
      <w:tr w:rsidR="000177D5" w:rsidRPr="00993B55" w14:paraId="73774F30" w14:textId="1C8A3145" w:rsidTr="00505E9F">
        <w:trPr>
          <w:trHeight w:val="357"/>
        </w:trPr>
        <w:tc>
          <w:tcPr>
            <w:tcW w:w="1710" w:type="dxa"/>
            <w:shd w:val="clear" w:color="auto" w:fill="auto"/>
            <w:vAlign w:val="center"/>
          </w:tcPr>
          <w:p w14:paraId="0FD47476" w14:textId="05B98082" w:rsidR="000177D5" w:rsidRPr="00993B55" w:rsidRDefault="000177D5" w:rsidP="0090690D">
            <w:pPr>
              <w:keepNext/>
              <w:widowControl w:val="0"/>
              <w:jc w:val="center"/>
              <w:rPr>
                <w:rFonts w:cs="Arial"/>
                <w:sz w:val="22"/>
                <w:szCs w:val="22"/>
              </w:rPr>
            </w:pPr>
            <w:r w:rsidRPr="00993B55">
              <w:rPr>
                <w:rFonts w:cs="Arial"/>
                <w:sz w:val="22"/>
                <w:szCs w:val="22"/>
              </w:rPr>
              <w:t>PM</w:t>
            </w:r>
            <w:r w:rsidR="004F38B5">
              <w:rPr>
                <w:rFonts w:cs="Arial"/>
                <w:sz w:val="22"/>
                <w:szCs w:val="22"/>
              </w:rPr>
              <w:t>10</w:t>
            </w:r>
          </w:p>
        </w:tc>
        <w:tc>
          <w:tcPr>
            <w:tcW w:w="1800" w:type="dxa"/>
            <w:shd w:val="clear" w:color="auto" w:fill="auto"/>
            <w:vAlign w:val="center"/>
          </w:tcPr>
          <w:p w14:paraId="64848DAF" w14:textId="6A3C07A0" w:rsidR="000177D5" w:rsidRPr="00993B55" w:rsidRDefault="00F613B9" w:rsidP="0090690D">
            <w:pPr>
              <w:keepNext/>
              <w:widowControl w:val="0"/>
              <w:jc w:val="center"/>
              <w:rPr>
                <w:rFonts w:cs="Arial"/>
                <w:sz w:val="22"/>
                <w:szCs w:val="22"/>
              </w:rPr>
            </w:pPr>
            <w:r w:rsidRPr="002052A9">
              <w:rPr>
                <w:color w:val="0000FF"/>
                <w:sz w:val="22"/>
                <w:szCs w:val="22"/>
              </w:rPr>
              <w:t>X,XXX</w:t>
            </w:r>
          </w:p>
        </w:tc>
        <w:tc>
          <w:tcPr>
            <w:tcW w:w="1994" w:type="dxa"/>
            <w:shd w:val="clear" w:color="auto" w:fill="auto"/>
            <w:vAlign w:val="center"/>
          </w:tcPr>
          <w:p w14:paraId="4C3C62F7" w14:textId="7DF18D94" w:rsidR="000177D5" w:rsidRPr="00993B55" w:rsidRDefault="000177D5" w:rsidP="0090690D">
            <w:pPr>
              <w:keepNext/>
              <w:widowControl w:val="0"/>
              <w:jc w:val="center"/>
              <w:rPr>
                <w:rFonts w:cs="Arial"/>
                <w:sz w:val="22"/>
                <w:szCs w:val="22"/>
              </w:rPr>
            </w:pPr>
            <w:r w:rsidRPr="00993B55">
              <w:rPr>
                <w:rFonts w:cs="Arial"/>
                <w:sz w:val="22"/>
                <w:szCs w:val="22"/>
              </w:rPr>
              <w:t>30,000</w:t>
            </w:r>
          </w:p>
        </w:tc>
        <w:tc>
          <w:tcPr>
            <w:tcW w:w="3089" w:type="dxa"/>
            <w:gridSpan w:val="2"/>
            <w:shd w:val="clear" w:color="auto" w:fill="auto"/>
            <w:vAlign w:val="center"/>
          </w:tcPr>
          <w:p w14:paraId="43AD8941" w14:textId="36D17535" w:rsidR="000177D5" w:rsidRPr="00993B55" w:rsidRDefault="000177D5" w:rsidP="0090690D">
            <w:pPr>
              <w:keepNext/>
              <w:widowControl w:val="0"/>
              <w:jc w:val="center"/>
              <w:rPr>
                <w:rFonts w:cs="Arial"/>
                <w:color w:val="0000FF"/>
                <w:sz w:val="22"/>
                <w:szCs w:val="22"/>
              </w:rPr>
            </w:pPr>
            <w:r w:rsidRPr="00993B55">
              <w:rPr>
                <w:rFonts w:cs="Arial"/>
                <w:color w:val="0000FF"/>
                <w:sz w:val="22"/>
                <w:szCs w:val="22"/>
              </w:rPr>
              <w:t>Yes/No</w:t>
            </w:r>
          </w:p>
        </w:tc>
      </w:tr>
      <w:tr w:rsidR="000177D5" w:rsidRPr="00993B55" w14:paraId="2A31CA29" w14:textId="5FE78F7F" w:rsidTr="00505E9F">
        <w:trPr>
          <w:trHeight w:val="357"/>
        </w:trPr>
        <w:tc>
          <w:tcPr>
            <w:tcW w:w="1710" w:type="dxa"/>
            <w:shd w:val="clear" w:color="auto" w:fill="auto"/>
            <w:vAlign w:val="center"/>
          </w:tcPr>
          <w:p w14:paraId="4325D6B4" w14:textId="7C90F4B0" w:rsidR="000177D5" w:rsidRPr="00993B55" w:rsidRDefault="000177D5" w:rsidP="0090690D">
            <w:pPr>
              <w:keepNext/>
              <w:widowControl w:val="0"/>
              <w:jc w:val="center"/>
              <w:rPr>
                <w:rFonts w:cs="Arial"/>
                <w:sz w:val="22"/>
                <w:szCs w:val="22"/>
              </w:rPr>
            </w:pPr>
            <w:r w:rsidRPr="00993B55">
              <w:rPr>
                <w:rFonts w:cs="Arial"/>
                <w:sz w:val="22"/>
                <w:szCs w:val="22"/>
              </w:rPr>
              <w:t>VOC</w:t>
            </w:r>
          </w:p>
        </w:tc>
        <w:tc>
          <w:tcPr>
            <w:tcW w:w="1800" w:type="dxa"/>
            <w:shd w:val="clear" w:color="auto" w:fill="auto"/>
            <w:vAlign w:val="center"/>
          </w:tcPr>
          <w:p w14:paraId="1DAA9162" w14:textId="1BFD6E67" w:rsidR="000177D5" w:rsidRPr="00993B55" w:rsidRDefault="00F613B9" w:rsidP="0090690D">
            <w:pPr>
              <w:keepNext/>
              <w:widowControl w:val="0"/>
              <w:jc w:val="center"/>
              <w:rPr>
                <w:rFonts w:cs="Arial"/>
                <w:sz w:val="22"/>
                <w:szCs w:val="22"/>
              </w:rPr>
            </w:pPr>
            <w:r w:rsidRPr="002052A9">
              <w:rPr>
                <w:color w:val="0000FF"/>
                <w:sz w:val="22"/>
                <w:szCs w:val="22"/>
              </w:rPr>
              <w:t>X,XXX</w:t>
            </w:r>
          </w:p>
        </w:tc>
        <w:tc>
          <w:tcPr>
            <w:tcW w:w="2001" w:type="dxa"/>
            <w:gridSpan w:val="2"/>
            <w:shd w:val="clear" w:color="auto" w:fill="auto"/>
            <w:vAlign w:val="center"/>
          </w:tcPr>
          <w:p w14:paraId="339815D9" w14:textId="2B634F8E" w:rsidR="000177D5" w:rsidRPr="00993B55" w:rsidRDefault="000177D5" w:rsidP="0090690D">
            <w:pPr>
              <w:keepNext/>
              <w:widowControl w:val="0"/>
              <w:jc w:val="center"/>
              <w:rPr>
                <w:rFonts w:cs="Arial"/>
                <w:sz w:val="22"/>
                <w:szCs w:val="22"/>
              </w:rPr>
            </w:pPr>
            <w:r w:rsidRPr="00993B55">
              <w:rPr>
                <w:rFonts w:cs="Arial"/>
                <w:sz w:val="22"/>
                <w:szCs w:val="22"/>
              </w:rPr>
              <w:t>50,000</w:t>
            </w:r>
          </w:p>
        </w:tc>
        <w:tc>
          <w:tcPr>
            <w:tcW w:w="3082" w:type="dxa"/>
            <w:shd w:val="clear" w:color="auto" w:fill="auto"/>
            <w:vAlign w:val="center"/>
          </w:tcPr>
          <w:p w14:paraId="6C8AF6FA" w14:textId="58DAE09B" w:rsidR="000177D5" w:rsidRPr="00993B55" w:rsidRDefault="000177D5" w:rsidP="0090690D">
            <w:pPr>
              <w:keepNext/>
              <w:widowControl w:val="0"/>
              <w:jc w:val="center"/>
              <w:rPr>
                <w:rFonts w:cs="Arial"/>
                <w:sz w:val="22"/>
                <w:szCs w:val="22"/>
              </w:rPr>
            </w:pPr>
            <w:r w:rsidRPr="00993B55">
              <w:rPr>
                <w:rFonts w:cs="Arial"/>
                <w:color w:val="0000FF"/>
                <w:sz w:val="22"/>
                <w:szCs w:val="22"/>
              </w:rPr>
              <w:t>Yes/No</w:t>
            </w:r>
          </w:p>
        </w:tc>
      </w:tr>
    </w:tbl>
    <w:p w14:paraId="53254BC1" w14:textId="77777777" w:rsidR="000177D5" w:rsidRPr="00993B55" w:rsidRDefault="000177D5" w:rsidP="007A60F3">
      <w:pPr>
        <w:widowControl w:val="0"/>
        <w:ind w:left="720"/>
        <w:jc w:val="left"/>
        <w:rPr>
          <w:rFonts w:cs="Arial"/>
        </w:rPr>
      </w:pPr>
    </w:p>
    <w:p w14:paraId="58D8022E" w14:textId="77777777" w:rsidR="000177D5" w:rsidRPr="00993B55" w:rsidRDefault="000177D5" w:rsidP="007A60F3">
      <w:pPr>
        <w:widowControl w:val="0"/>
        <w:ind w:left="720"/>
        <w:rPr>
          <w:color w:val="FF0000"/>
        </w:rPr>
      </w:pPr>
      <w:r w:rsidRPr="00993B55">
        <w:rPr>
          <w:color w:val="FF0000"/>
        </w:rPr>
        <w:t>If none of the thresholds are surpassed, include the next paragraph and delete the rest of this section.</w:t>
      </w:r>
    </w:p>
    <w:p w14:paraId="71D87B18" w14:textId="77777777" w:rsidR="000177D5" w:rsidRPr="00993B55" w:rsidRDefault="000177D5" w:rsidP="007A60F3">
      <w:pPr>
        <w:widowControl w:val="0"/>
        <w:ind w:left="720"/>
      </w:pPr>
      <w:r w:rsidRPr="00993B55">
        <w:t xml:space="preserve">Since none of the SB 288 Major Modification Thresholds are surpassed with this project, this project does not constitute an SB 288 Major Modification </w:t>
      </w:r>
      <w:r w:rsidRPr="00993B55">
        <w:rPr>
          <w:rFonts w:cs="Arial"/>
        </w:rPr>
        <w:t>and no further discussion is required</w:t>
      </w:r>
      <w:r w:rsidRPr="00993B55">
        <w:t>.</w:t>
      </w:r>
    </w:p>
    <w:p w14:paraId="18F74680" w14:textId="77777777" w:rsidR="000177D5" w:rsidRPr="00993B55" w:rsidRDefault="000177D5" w:rsidP="007A60F3">
      <w:pPr>
        <w:widowControl w:val="0"/>
        <w:ind w:left="720"/>
        <w:jc w:val="left"/>
      </w:pPr>
    </w:p>
    <w:p w14:paraId="61585CDD" w14:textId="77777777" w:rsidR="000177D5" w:rsidRPr="00993B55" w:rsidRDefault="000177D5" w:rsidP="007A60F3">
      <w:pPr>
        <w:widowControl w:val="0"/>
        <w:ind w:left="720"/>
        <w:jc w:val="left"/>
        <w:rPr>
          <w:color w:val="FF0000"/>
        </w:rPr>
      </w:pPr>
      <w:r w:rsidRPr="00993B55">
        <w:rPr>
          <w:color w:val="FF0000"/>
        </w:rPr>
        <w:t>If any of the Thresholds are surpassed:</w:t>
      </w:r>
    </w:p>
    <w:p w14:paraId="15EF6540" w14:textId="77777777" w:rsidR="000177D5" w:rsidRPr="00993B55" w:rsidRDefault="000177D5" w:rsidP="007A60F3">
      <w:pPr>
        <w:widowControl w:val="0"/>
        <w:ind w:left="720"/>
      </w:pPr>
      <w:r w:rsidRPr="00993B55">
        <w:t xml:space="preserve">Since the project’s PE2 surpasses the SB 288 Major Modification Thresholds for </w:t>
      </w:r>
      <w:r w:rsidRPr="00993B55">
        <w:rPr>
          <w:color w:val="0000FF"/>
        </w:rPr>
        <w:t>(x-pollutants)</w:t>
      </w:r>
      <w:r w:rsidRPr="00993B55">
        <w:t>, the project Net Emissions Increase (NEI) will be compared to the SB 288 Major Modification thresholds in order to determine if this project constitutes an SB 288 Major Modification.</w:t>
      </w:r>
    </w:p>
    <w:p w14:paraId="1C0C0F5C" w14:textId="77777777" w:rsidR="000177D5" w:rsidRPr="00993B55" w:rsidRDefault="000177D5" w:rsidP="007A60F3">
      <w:pPr>
        <w:widowControl w:val="0"/>
        <w:ind w:left="720"/>
      </w:pPr>
    </w:p>
    <w:p w14:paraId="15B5FE5D" w14:textId="77777777" w:rsidR="000177D5" w:rsidRPr="00993B55" w:rsidRDefault="000177D5" w:rsidP="007A60F3">
      <w:pPr>
        <w:widowControl w:val="0"/>
        <w:ind w:left="720"/>
      </w:pPr>
      <w:r w:rsidRPr="00993B55">
        <w:t>The project NEI is the total of emission increases for every permit unit addressed in this project and is calculated as follows:</w:t>
      </w:r>
    </w:p>
    <w:p w14:paraId="01EBE345" w14:textId="77777777" w:rsidR="000177D5" w:rsidRPr="00993B55" w:rsidRDefault="000177D5" w:rsidP="007A60F3">
      <w:pPr>
        <w:widowControl w:val="0"/>
        <w:ind w:left="720"/>
      </w:pPr>
    </w:p>
    <w:p w14:paraId="517A8B5B" w14:textId="77777777" w:rsidR="000177D5" w:rsidRPr="00993B55" w:rsidRDefault="000177D5" w:rsidP="007A60F3">
      <w:pPr>
        <w:widowControl w:val="0"/>
        <w:ind w:left="720"/>
      </w:pPr>
      <w:r w:rsidRPr="00993B55">
        <w:t xml:space="preserve">NEI = </w:t>
      </w:r>
      <w:r w:rsidRPr="00993B55">
        <w:rPr>
          <w:rFonts w:ascii="AauxPro OT Regular" w:hAnsi="AauxPro OT Regular"/>
        </w:rPr>
        <w:t>∑</w:t>
      </w:r>
      <w:r w:rsidRPr="00993B55">
        <w:t>(PE2 – AE)</w:t>
      </w:r>
    </w:p>
    <w:p w14:paraId="6541123A" w14:textId="77777777" w:rsidR="000177D5" w:rsidRPr="00993B55" w:rsidRDefault="000177D5" w:rsidP="007A60F3">
      <w:pPr>
        <w:widowControl w:val="0"/>
        <w:ind w:left="720"/>
      </w:pPr>
    </w:p>
    <w:p w14:paraId="0C6528B2" w14:textId="77777777" w:rsidR="000177D5" w:rsidRPr="00993B55" w:rsidRDefault="000177D5" w:rsidP="007A60F3">
      <w:pPr>
        <w:widowControl w:val="0"/>
        <w:ind w:left="720"/>
      </w:pPr>
      <w:r w:rsidRPr="00993B55">
        <w:t>Where:</w:t>
      </w:r>
      <w:r w:rsidRPr="00993B55">
        <w:tab/>
      </w:r>
      <w:r w:rsidRPr="00993B55">
        <w:tab/>
        <w:t xml:space="preserve">PE2 = </w:t>
      </w:r>
      <w:r w:rsidRPr="00993B55">
        <w:tab/>
        <w:t>The sum of all the PE2s for each permit unit in this project</w:t>
      </w:r>
    </w:p>
    <w:p w14:paraId="1FD6DE2D" w14:textId="77777777" w:rsidR="000177D5" w:rsidRPr="00993B55" w:rsidRDefault="000177D5" w:rsidP="007A60F3">
      <w:pPr>
        <w:widowControl w:val="0"/>
        <w:ind w:left="3060" w:hanging="900"/>
      </w:pPr>
      <w:r w:rsidRPr="00993B55">
        <w:t>AE =</w:t>
      </w:r>
      <w:r w:rsidRPr="00993B55">
        <w:tab/>
        <w:t>Actual emissions, as of a particular date, shall equal the average rate, in tons per year, at which the unit actually emitted the pollutant during a consecutive 24-month period which precedes the particular date and which is representative of normal source operation.  The reviewing authority shall allow the use of a different time period upon a determination that it is more representative of normal source operation</w:t>
      </w:r>
    </w:p>
    <w:p w14:paraId="11162FF4" w14:textId="77777777" w:rsidR="000177D5" w:rsidRPr="00993B55" w:rsidRDefault="000177D5" w:rsidP="007A60F3">
      <w:pPr>
        <w:widowControl w:val="0"/>
        <w:ind w:left="720"/>
      </w:pPr>
    </w:p>
    <w:p w14:paraId="1B3A61AF" w14:textId="05A1AAD2" w:rsidR="000177D5" w:rsidRPr="00993B55" w:rsidRDefault="000177D5" w:rsidP="007A60F3">
      <w:pPr>
        <w:widowControl w:val="0"/>
        <w:ind w:left="720"/>
      </w:pPr>
      <w:r w:rsidRPr="00993B55">
        <w:t>The AE is used to calculate the NEI and make the SB 288 Major Modification determination in the following table.</w:t>
      </w:r>
    </w:p>
    <w:p w14:paraId="29C23956" w14:textId="77777777" w:rsidR="000177D5" w:rsidRPr="00993B55" w:rsidRDefault="000177D5" w:rsidP="007A60F3">
      <w:pPr>
        <w:widowControl w:val="0"/>
        <w:ind w:left="720"/>
      </w:pPr>
    </w:p>
    <w:p w14:paraId="1B1E6C04" w14:textId="22F1A1EF" w:rsidR="000177D5" w:rsidRPr="00993B55" w:rsidRDefault="000177D5" w:rsidP="007A60F3">
      <w:pPr>
        <w:widowControl w:val="0"/>
        <w:ind w:left="720"/>
      </w:pPr>
      <w:r w:rsidRPr="00993B55">
        <w:t xml:space="preserve">See </w:t>
      </w:r>
      <w:r w:rsidRPr="00993B55">
        <w:rPr>
          <w:color w:val="0000FF"/>
        </w:rPr>
        <w:t>Appendix XXX</w:t>
      </w:r>
      <w:r w:rsidRPr="00993B55">
        <w:t xml:space="preserve"> for detailed calculation of AE.</w:t>
      </w:r>
    </w:p>
    <w:p w14:paraId="79228BC6" w14:textId="77777777" w:rsidR="000177D5" w:rsidRPr="00993B55" w:rsidRDefault="000177D5" w:rsidP="007A60F3">
      <w:pPr>
        <w:widowControl w:val="0"/>
        <w:ind w:left="720"/>
      </w:pPr>
    </w:p>
    <w:p w14:paraId="68E7B3B2" w14:textId="4BF97CC3" w:rsidR="00157E00" w:rsidRPr="00993B55" w:rsidRDefault="000177D5" w:rsidP="007A60F3">
      <w:pPr>
        <w:widowControl w:val="0"/>
        <w:ind w:left="720"/>
      </w:pPr>
      <w:r w:rsidRPr="00993B55">
        <w:rPr>
          <w:color w:val="FF0000"/>
        </w:rPr>
        <w:t>Note that any emissions increases of 0.5 lb/day or less round to zero for NSR purposes.</w:t>
      </w:r>
    </w:p>
    <w:p w14:paraId="345E9957" w14:textId="77777777" w:rsidR="00856FA9" w:rsidRPr="00993B55" w:rsidRDefault="00856FA9" w:rsidP="007A60F3">
      <w:pPr>
        <w:widowControl w:val="0"/>
        <w:ind w:left="720"/>
        <w:jc w:val="left"/>
      </w:pPr>
    </w:p>
    <w:tbl>
      <w:tblPr>
        <w:tblW w:w="0" w:type="auto"/>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1428"/>
        <w:gridCol w:w="1260"/>
        <w:gridCol w:w="1260"/>
        <w:gridCol w:w="1471"/>
        <w:gridCol w:w="1769"/>
      </w:tblGrid>
      <w:tr w:rsidR="000177D5" w:rsidRPr="00993B55" w14:paraId="4B3DD306" w14:textId="538E1B19" w:rsidTr="00505E9F">
        <w:trPr>
          <w:trHeight w:val="494"/>
        </w:trPr>
        <w:tc>
          <w:tcPr>
            <w:tcW w:w="8550" w:type="dxa"/>
            <w:gridSpan w:val="6"/>
            <w:shd w:val="clear" w:color="auto" w:fill="D9D9D9" w:themeFill="background1" w:themeFillShade="D9"/>
            <w:vAlign w:val="center"/>
          </w:tcPr>
          <w:p w14:paraId="3051BFF4" w14:textId="01A289D3" w:rsidR="000177D5" w:rsidRPr="00993B55" w:rsidRDefault="000177D5" w:rsidP="0090690D">
            <w:pPr>
              <w:keepNext/>
              <w:widowControl w:val="0"/>
              <w:jc w:val="center"/>
              <w:rPr>
                <w:b/>
                <w:sz w:val="22"/>
                <w:szCs w:val="22"/>
              </w:rPr>
            </w:pPr>
            <w:r w:rsidRPr="00993B55">
              <w:rPr>
                <w:b/>
                <w:sz w:val="22"/>
                <w:szCs w:val="22"/>
              </w:rPr>
              <w:t>SB 288 Major Modification Calculation and Determination</w:t>
            </w:r>
          </w:p>
        </w:tc>
      </w:tr>
      <w:tr w:rsidR="000177D5" w:rsidRPr="00993B55" w14:paraId="5263F89B" w14:textId="5B8BA294" w:rsidTr="00505E9F">
        <w:trPr>
          <w:trHeight w:val="665"/>
        </w:trPr>
        <w:tc>
          <w:tcPr>
            <w:tcW w:w="1362" w:type="dxa"/>
            <w:shd w:val="clear" w:color="auto" w:fill="D9D9D9" w:themeFill="background1" w:themeFillShade="D9"/>
            <w:vAlign w:val="center"/>
          </w:tcPr>
          <w:p w14:paraId="1DD56FCA" w14:textId="0DB277CF" w:rsidR="000177D5" w:rsidRPr="00993B55" w:rsidRDefault="000177D5" w:rsidP="0090690D">
            <w:pPr>
              <w:keepNext/>
              <w:widowControl w:val="0"/>
              <w:jc w:val="center"/>
              <w:rPr>
                <w:b/>
                <w:sz w:val="22"/>
                <w:szCs w:val="22"/>
              </w:rPr>
            </w:pPr>
            <w:r w:rsidRPr="00993B55">
              <w:rPr>
                <w:b/>
                <w:sz w:val="22"/>
                <w:szCs w:val="22"/>
              </w:rPr>
              <w:t>Pollutant</w:t>
            </w:r>
          </w:p>
        </w:tc>
        <w:tc>
          <w:tcPr>
            <w:tcW w:w="1428" w:type="dxa"/>
            <w:shd w:val="clear" w:color="auto" w:fill="D9D9D9" w:themeFill="background1" w:themeFillShade="D9"/>
            <w:vAlign w:val="center"/>
          </w:tcPr>
          <w:p w14:paraId="202E4D5C" w14:textId="46BCDE34" w:rsidR="000177D5" w:rsidRPr="00993B55" w:rsidRDefault="000177D5" w:rsidP="0090690D">
            <w:pPr>
              <w:keepNext/>
              <w:widowControl w:val="0"/>
              <w:jc w:val="center"/>
              <w:rPr>
                <w:rFonts w:cs="Arial"/>
                <w:b/>
                <w:sz w:val="22"/>
                <w:szCs w:val="22"/>
              </w:rPr>
            </w:pPr>
            <w:r w:rsidRPr="00993B55">
              <w:rPr>
                <w:rFonts w:cs="Arial"/>
                <w:b/>
                <w:sz w:val="22"/>
                <w:szCs w:val="22"/>
              </w:rPr>
              <w:t>PE2</w:t>
            </w:r>
          </w:p>
          <w:p w14:paraId="2B5A8602" w14:textId="1B9595FC" w:rsidR="000177D5" w:rsidRPr="00993B55" w:rsidRDefault="000177D5" w:rsidP="0090690D">
            <w:pPr>
              <w:keepNext/>
              <w:widowControl w:val="0"/>
              <w:jc w:val="center"/>
              <w:rPr>
                <w:b/>
                <w:sz w:val="22"/>
                <w:szCs w:val="22"/>
              </w:rPr>
            </w:pPr>
            <w:r w:rsidRPr="00993B55">
              <w:rPr>
                <w:rFonts w:cs="Arial"/>
                <w:b/>
                <w:sz w:val="22"/>
                <w:szCs w:val="22"/>
              </w:rPr>
              <w:t>(lb/y</w:t>
            </w:r>
            <w:r w:rsidR="00393E25">
              <w:rPr>
                <w:rFonts w:cs="Arial"/>
                <w:b/>
                <w:sz w:val="22"/>
                <w:szCs w:val="22"/>
              </w:rPr>
              <w:t>ea</w:t>
            </w:r>
            <w:r w:rsidRPr="00993B55">
              <w:rPr>
                <w:rFonts w:cs="Arial"/>
                <w:b/>
                <w:sz w:val="22"/>
                <w:szCs w:val="22"/>
              </w:rPr>
              <w:t>r)</w:t>
            </w:r>
          </w:p>
        </w:tc>
        <w:tc>
          <w:tcPr>
            <w:tcW w:w="1260" w:type="dxa"/>
            <w:shd w:val="clear" w:color="auto" w:fill="D9D9D9" w:themeFill="background1" w:themeFillShade="D9"/>
            <w:vAlign w:val="center"/>
          </w:tcPr>
          <w:p w14:paraId="4AD3CE6C" w14:textId="02069319" w:rsidR="000177D5" w:rsidRPr="00993B55" w:rsidRDefault="000177D5" w:rsidP="0090690D">
            <w:pPr>
              <w:keepNext/>
              <w:widowControl w:val="0"/>
              <w:jc w:val="center"/>
              <w:rPr>
                <w:b/>
                <w:sz w:val="22"/>
                <w:szCs w:val="22"/>
              </w:rPr>
            </w:pPr>
            <w:r w:rsidRPr="00993B55">
              <w:rPr>
                <w:b/>
                <w:sz w:val="22"/>
                <w:szCs w:val="22"/>
              </w:rPr>
              <w:t>AE</w:t>
            </w:r>
          </w:p>
          <w:p w14:paraId="3AA2DAF4" w14:textId="3DC1E15E" w:rsidR="000177D5" w:rsidRPr="00993B55" w:rsidRDefault="000177D5" w:rsidP="0090690D">
            <w:pPr>
              <w:keepNext/>
              <w:widowControl w:val="0"/>
              <w:jc w:val="center"/>
              <w:rPr>
                <w:b/>
                <w:sz w:val="22"/>
                <w:szCs w:val="22"/>
              </w:rPr>
            </w:pPr>
            <w:r w:rsidRPr="00993B55">
              <w:rPr>
                <w:b/>
                <w:sz w:val="22"/>
                <w:szCs w:val="22"/>
              </w:rPr>
              <w:t>(lb/y</w:t>
            </w:r>
            <w:r w:rsidR="00393E25">
              <w:rPr>
                <w:b/>
                <w:sz w:val="22"/>
                <w:szCs w:val="22"/>
              </w:rPr>
              <w:t>ea</w:t>
            </w:r>
            <w:r w:rsidRPr="00993B55">
              <w:rPr>
                <w:b/>
                <w:sz w:val="22"/>
                <w:szCs w:val="22"/>
              </w:rPr>
              <w:t>r)</w:t>
            </w:r>
          </w:p>
        </w:tc>
        <w:tc>
          <w:tcPr>
            <w:tcW w:w="1260" w:type="dxa"/>
            <w:shd w:val="clear" w:color="auto" w:fill="D9D9D9" w:themeFill="background1" w:themeFillShade="D9"/>
            <w:vAlign w:val="center"/>
          </w:tcPr>
          <w:p w14:paraId="14B694B1" w14:textId="019DDEC5" w:rsidR="000177D5" w:rsidRPr="00993B55" w:rsidRDefault="000177D5" w:rsidP="0090690D">
            <w:pPr>
              <w:keepNext/>
              <w:widowControl w:val="0"/>
              <w:jc w:val="center"/>
              <w:rPr>
                <w:b/>
                <w:sz w:val="22"/>
                <w:szCs w:val="22"/>
              </w:rPr>
            </w:pPr>
            <w:r w:rsidRPr="00993B55">
              <w:rPr>
                <w:b/>
                <w:sz w:val="22"/>
                <w:szCs w:val="22"/>
              </w:rPr>
              <w:t>NEI</w:t>
            </w:r>
          </w:p>
          <w:p w14:paraId="3B72F9CE" w14:textId="728CFA6D" w:rsidR="000177D5" w:rsidRPr="00993B55" w:rsidRDefault="000177D5" w:rsidP="0090690D">
            <w:pPr>
              <w:keepNext/>
              <w:widowControl w:val="0"/>
              <w:jc w:val="center"/>
              <w:rPr>
                <w:b/>
                <w:sz w:val="22"/>
                <w:szCs w:val="22"/>
              </w:rPr>
            </w:pPr>
            <w:r w:rsidRPr="00993B55">
              <w:rPr>
                <w:b/>
                <w:sz w:val="22"/>
                <w:szCs w:val="22"/>
              </w:rPr>
              <w:t>(lb/y</w:t>
            </w:r>
            <w:r w:rsidR="00393E25">
              <w:rPr>
                <w:b/>
                <w:sz w:val="22"/>
                <w:szCs w:val="22"/>
              </w:rPr>
              <w:t>ea</w:t>
            </w:r>
            <w:r w:rsidRPr="00993B55">
              <w:rPr>
                <w:b/>
                <w:sz w:val="22"/>
                <w:szCs w:val="22"/>
              </w:rPr>
              <w:t>r)</w:t>
            </w:r>
          </w:p>
        </w:tc>
        <w:tc>
          <w:tcPr>
            <w:tcW w:w="1471" w:type="dxa"/>
            <w:shd w:val="clear" w:color="auto" w:fill="D9D9D9" w:themeFill="background1" w:themeFillShade="D9"/>
            <w:vAlign w:val="center"/>
          </w:tcPr>
          <w:p w14:paraId="44E633D2" w14:textId="14E2AABE" w:rsidR="000177D5" w:rsidRPr="00993B55" w:rsidRDefault="000177D5" w:rsidP="0090690D">
            <w:pPr>
              <w:keepNext/>
              <w:widowControl w:val="0"/>
              <w:jc w:val="center"/>
              <w:rPr>
                <w:b/>
                <w:sz w:val="22"/>
                <w:szCs w:val="22"/>
              </w:rPr>
            </w:pPr>
            <w:r w:rsidRPr="00993B55">
              <w:rPr>
                <w:b/>
                <w:sz w:val="22"/>
                <w:szCs w:val="22"/>
              </w:rPr>
              <w:t>Thresholds</w:t>
            </w:r>
          </w:p>
          <w:p w14:paraId="4E5ECCEA" w14:textId="56F96028" w:rsidR="000177D5" w:rsidRPr="00993B55" w:rsidRDefault="000177D5" w:rsidP="0090690D">
            <w:pPr>
              <w:keepNext/>
              <w:widowControl w:val="0"/>
              <w:jc w:val="center"/>
              <w:rPr>
                <w:b/>
                <w:sz w:val="22"/>
                <w:szCs w:val="22"/>
              </w:rPr>
            </w:pPr>
            <w:r w:rsidRPr="00993B55">
              <w:rPr>
                <w:b/>
                <w:sz w:val="22"/>
                <w:szCs w:val="22"/>
              </w:rPr>
              <w:t>(lb/y</w:t>
            </w:r>
            <w:r w:rsidR="00393E25">
              <w:rPr>
                <w:b/>
                <w:sz w:val="22"/>
                <w:szCs w:val="22"/>
              </w:rPr>
              <w:t>ea</w:t>
            </w:r>
            <w:r w:rsidRPr="00993B55">
              <w:rPr>
                <w:b/>
                <w:sz w:val="22"/>
                <w:szCs w:val="22"/>
              </w:rPr>
              <w:t>r)</w:t>
            </w:r>
          </w:p>
        </w:tc>
        <w:tc>
          <w:tcPr>
            <w:tcW w:w="1769" w:type="dxa"/>
            <w:shd w:val="clear" w:color="auto" w:fill="D9D9D9" w:themeFill="background1" w:themeFillShade="D9"/>
            <w:vAlign w:val="center"/>
          </w:tcPr>
          <w:p w14:paraId="25E80DBE" w14:textId="2A8215D0" w:rsidR="000177D5" w:rsidRPr="00993B55" w:rsidRDefault="000177D5" w:rsidP="0090690D">
            <w:pPr>
              <w:keepNext/>
              <w:widowControl w:val="0"/>
              <w:jc w:val="center"/>
              <w:rPr>
                <w:b/>
                <w:sz w:val="22"/>
                <w:szCs w:val="22"/>
              </w:rPr>
            </w:pPr>
            <w:r w:rsidRPr="00993B55">
              <w:rPr>
                <w:b/>
                <w:sz w:val="22"/>
                <w:szCs w:val="22"/>
              </w:rPr>
              <w:t>SB 288 Major Modification?</w:t>
            </w:r>
          </w:p>
        </w:tc>
      </w:tr>
      <w:tr w:rsidR="000177D5" w:rsidRPr="00993B55" w14:paraId="511E9414" w14:textId="5BD5EC6F" w:rsidTr="00F613B9">
        <w:trPr>
          <w:trHeight w:val="372"/>
        </w:trPr>
        <w:tc>
          <w:tcPr>
            <w:tcW w:w="1362" w:type="dxa"/>
            <w:shd w:val="clear" w:color="auto" w:fill="auto"/>
            <w:vAlign w:val="center"/>
          </w:tcPr>
          <w:p w14:paraId="60453031" w14:textId="7C5CF3A3" w:rsidR="000177D5" w:rsidRPr="00993B55" w:rsidRDefault="000177D5" w:rsidP="0090690D">
            <w:pPr>
              <w:keepNext/>
              <w:widowControl w:val="0"/>
              <w:jc w:val="center"/>
              <w:rPr>
                <w:sz w:val="22"/>
                <w:szCs w:val="22"/>
              </w:rPr>
            </w:pPr>
            <w:r w:rsidRPr="00993B55">
              <w:rPr>
                <w:sz w:val="22"/>
                <w:szCs w:val="22"/>
              </w:rPr>
              <w:t>NO</w:t>
            </w:r>
            <w:r w:rsidR="004F38B5">
              <w:rPr>
                <w:sz w:val="22"/>
                <w:szCs w:val="22"/>
              </w:rPr>
              <w:t>x</w:t>
            </w:r>
          </w:p>
        </w:tc>
        <w:tc>
          <w:tcPr>
            <w:tcW w:w="1428" w:type="dxa"/>
            <w:shd w:val="clear" w:color="auto" w:fill="auto"/>
            <w:vAlign w:val="center"/>
          </w:tcPr>
          <w:p w14:paraId="5956B87E" w14:textId="648120C2" w:rsidR="000177D5" w:rsidRPr="00993B55" w:rsidRDefault="00F613B9" w:rsidP="0090690D">
            <w:pPr>
              <w:keepNext/>
              <w:widowControl w:val="0"/>
              <w:jc w:val="center"/>
              <w:rPr>
                <w:sz w:val="22"/>
                <w:szCs w:val="22"/>
              </w:rPr>
            </w:pPr>
            <w:r w:rsidRPr="002052A9">
              <w:rPr>
                <w:color w:val="0000FF"/>
                <w:sz w:val="22"/>
                <w:szCs w:val="22"/>
              </w:rPr>
              <w:t>X,XXX</w:t>
            </w:r>
          </w:p>
        </w:tc>
        <w:tc>
          <w:tcPr>
            <w:tcW w:w="1260" w:type="dxa"/>
            <w:shd w:val="clear" w:color="auto" w:fill="auto"/>
            <w:vAlign w:val="center"/>
          </w:tcPr>
          <w:p w14:paraId="6EF09ACE" w14:textId="48D2AD49" w:rsidR="000177D5" w:rsidRPr="00993B55" w:rsidRDefault="00F613B9" w:rsidP="0090690D">
            <w:pPr>
              <w:keepNext/>
              <w:widowControl w:val="0"/>
              <w:jc w:val="center"/>
              <w:rPr>
                <w:sz w:val="22"/>
                <w:szCs w:val="22"/>
              </w:rPr>
            </w:pPr>
            <w:r w:rsidRPr="002052A9">
              <w:rPr>
                <w:color w:val="0000FF"/>
                <w:sz w:val="22"/>
                <w:szCs w:val="22"/>
              </w:rPr>
              <w:t>X,XXX</w:t>
            </w:r>
          </w:p>
        </w:tc>
        <w:tc>
          <w:tcPr>
            <w:tcW w:w="1260" w:type="dxa"/>
            <w:shd w:val="clear" w:color="auto" w:fill="auto"/>
            <w:vAlign w:val="center"/>
          </w:tcPr>
          <w:p w14:paraId="1F6FB34B" w14:textId="554E9831" w:rsidR="000177D5" w:rsidRPr="00993B55" w:rsidRDefault="00F613B9" w:rsidP="0090690D">
            <w:pPr>
              <w:keepNext/>
              <w:widowControl w:val="0"/>
              <w:jc w:val="center"/>
              <w:rPr>
                <w:sz w:val="22"/>
                <w:szCs w:val="22"/>
              </w:rPr>
            </w:pPr>
            <w:r w:rsidRPr="002052A9">
              <w:rPr>
                <w:color w:val="0000FF"/>
                <w:sz w:val="22"/>
                <w:szCs w:val="22"/>
              </w:rPr>
              <w:t>X,XXX</w:t>
            </w:r>
          </w:p>
        </w:tc>
        <w:tc>
          <w:tcPr>
            <w:tcW w:w="1471" w:type="dxa"/>
            <w:shd w:val="clear" w:color="auto" w:fill="auto"/>
            <w:vAlign w:val="center"/>
          </w:tcPr>
          <w:p w14:paraId="1B3E11CD" w14:textId="4852D387" w:rsidR="000177D5" w:rsidRPr="00993B55" w:rsidRDefault="000177D5" w:rsidP="0090690D">
            <w:pPr>
              <w:keepNext/>
              <w:widowControl w:val="0"/>
              <w:ind w:left="540" w:hanging="540"/>
              <w:jc w:val="center"/>
              <w:rPr>
                <w:rFonts w:cs="Arial"/>
                <w:strike/>
                <w:color w:val="000000"/>
                <w:spacing w:val="-3"/>
                <w:sz w:val="22"/>
                <w:szCs w:val="22"/>
              </w:rPr>
            </w:pPr>
            <w:r w:rsidRPr="00993B55">
              <w:rPr>
                <w:rFonts w:cs="Arial"/>
                <w:color w:val="000000"/>
                <w:spacing w:val="-3"/>
                <w:sz w:val="22"/>
                <w:szCs w:val="22"/>
              </w:rPr>
              <w:t>50,000</w:t>
            </w:r>
          </w:p>
        </w:tc>
        <w:tc>
          <w:tcPr>
            <w:tcW w:w="1769" w:type="dxa"/>
            <w:shd w:val="clear" w:color="auto" w:fill="auto"/>
            <w:vAlign w:val="center"/>
          </w:tcPr>
          <w:p w14:paraId="373D98E0" w14:textId="3D1EA613" w:rsidR="000177D5" w:rsidRPr="00993B55" w:rsidRDefault="000177D5" w:rsidP="0090690D">
            <w:pPr>
              <w:keepNext/>
              <w:widowControl w:val="0"/>
              <w:jc w:val="center"/>
              <w:rPr>
                <w:color w:val="0000FF"/>
                <w:sz w:val="22"/>
                <w:szCs w:val="22"/>
              </w:rPr>
            </w:pPr>
            <w:r w:rsidRPr="00993B55">
              <w:rPr>
                <w:rFonts w:cs="Arial"/>
                <w:color w:val="0000FF"/>
                <w:sz w:val="22"/>
                <w:szCs w:val="22"/>
              </w:rPr>
              <w:t>Yes/No</w:t>
            </w:r>
          </w:p>
        </w:tc>
      </w:tr>
      <w:tr w:rsidR="00F613B9" w:rsidRPr="00993B55" w14:paraId="2C8BB7DC" w14:textId="02A2A12A" w:rsidTr="00F613B9">
        <w:trPr>
          <w:trHeight w:val="372"/>
        </w:trPr>
        <w:tc>
          <w:tcPr>
            <w:tcW w:w="1362" w:type="dxa"/>
            <w:shd w:val="clear" w:color="auto" w:fill="auto"/>
            <w:vAlign w:val="center"/>
          </w:tcPr>
          <w:p w14:paraId="1D23A0C7" w14:textId="5004F9D4" w:rsidR="00F613B9" w:rsidRPr="00993B55" w:rsidRDefault="00F613B9" w:rsidP="0090690D">
            <w:pPr>
              <w:keepNext/>
              <w:widowControl w:val="0"/>
              <w:jc w:val="center"/>
              <w:rPr>
                <w:sz w:val="22"/>
                <w:szCs w:val="22"/>
              </w:rPr>
            </w:pPr>
            <w:r w:rsidRPr="00993B55">
              <w:rPr>
                <w:sz w:val="22"/>
                <w:szCs w:val="22"/>
              </w:rPr>
              <w:t>SO</w:t>
            </w:r>
            <w:r>
              <w:rPr>
                <w:sz w:val="22"/>
                <w:szCs w:val="22"/>
              </w:rPr>
              <w:t>x</w:t>
            </w:r>
          </w:p>
        </w:tc>
        <w:tc>
          <w:tcPr>
            <w:tcW w:w="1428" w:type="dxa"/>
            <w:shd w:val="clear" w:color="auto" w:fill="auto"/>
            <w:vAlign w:val="center"/>
          </w:tcPr>
          <w:p w14:paraId="7ADBC024" w14:textId="6A347760" w:rsidR="00F613B9" w:rsidRPr="00993B55" w:rsidRDefault="00F613B9" w:rsidP="0090690D">
            <w:pPr>
              <w:keepNext/>
              <w:widowControl w:val="0"/>
              <w:jc w:val="center"/>
              <w:rPr>
                <w:sz w:val="22"/>
                <w:szCs w:val="22"/>
              </w:rPr>
            </w:pPr>
            <w:r w:rsidRPr="00BE4723">
              <w:rPr>
                <w:color w:val="0000FF"/>
                <w:sz w:val="22"/>
                <w:szCs w:val="22"/>
              </w:rPr>
              <w:t>X,XXX</w:t>
            </w:r>
          </w:p>
        </w:tc>
        <w:tc>
          <w:tcPr>
            <w:tcW w:w="1260" w:type="dxa"/>
            <w:shd w:val="clear" w:color="auto" w:fill="auto"/>
            <w:vAlign w:val="center"/>
          </w:tcPr>
          <w:p w14:paraId="5B671AB7" w14:textId="7AAD6944" w:rsidR="00F613B9" w:rsidRPr="00993B55" w:rsidRDefault="00F613B9" w:rsidP="0090690D">
            <w:pPr>
              <w:keepNext/>
              <w:widowControl w:val="0"/>
              <w:jc w:val="center"/>
              <w:rPr>
                <w:sz w:val="22"/>
                <w:szCs w:val="22"/>
              </w:rPr>
            </w:pPr>
            <w:r w:rsidRPr="00BE4723">
              <w:rPr>
                <w:color w:val="0000FF"/>
                <w:sz w:val="22"/>
                <w:szCs w:val="22"/>
              </w:rPr>
              <w:t>X,XXX</w:t>
            </w:r>
          </w:p>
        </w:tc>
        <w:tc>
          <w:tcPr>
            <w:tcW w:w="1260" w:type="dxa"/>
            <w:shd w:val="clear" w:color="auto" w:fill="auto"/>
            <w:vAlign w:val="center"/>
          </w:tcPr>
          <w:p w14:paraId="1D78BF37" w14:textId="710DF4C3" w:rsidR="00F613B9" w:rsidRPr="00993B55" w:rsidRDefault="00F613B9" w:rsidP="0090690D">
            <w:pPr>
              <w:keepNext/>
              <w:widowControl w:val="0"/>
              <w:jc w:val="center"/>
              <w:rPr>
                <w:sz w:val="22"/>
                <w:szCs w:val="22"/>
              </w:rPr>
            </w:pPr>
            <w:r w:rsidRPr="00BE4723">
              <w:rPr>
                <w:color w:val="0000FF"/>
                <w:sz w:val="22"/>
                <w:szCs w:val="22"/>
              </w:rPr>
              <w:t>X,XXX</w:t>
            </w:r>
          </w:p>
        </w:tc>
        <w:tc>
          <w:tcPr>
            <w:tcW w:w="1471" w:type="dxa"/>
            <w:shd w:val="clear" w:color="auto" w:fill="auto"/>
            <w:vAlign w:val="center"/>
          </w:tcPr>
          <w:p w14:paraId="3C4C6790" w14:textId="40992039" w:rsidR="00F613B9" w:rsidRPr="00993B55" w:rsidRDefault="00F613B9" w:rsidP="0090690D">
            <w:pPr>
              <w:keepNext/>
              <w:widowControl w:val="0"/>
              <w:ind w:left="540" w:hanging="540"/>
              <w:jc w:val="center"/>
              <w:rPr>
                <w:rFonts w:cs="Arial"/>
                <w:strike/>
                <w:color w:val="000000"/>
                <w:spacing w:val="-3"/>
                <w:sz w:val="22"/>
                <w:szCs w:val="22"/>
              </w:rPr>
            </w:pPr>
            <w:r w:rsidRPr="00993B55">
              <w:rPr>
                <w:rFonts w:cs="Arial"/>
                <w:color w:val="000000"/>
                <w:spacing w:val="-3"/>
                <w:sz w:val="22"/>
                <w:szCs w:val="22"/>
              </w:rPr>
              <w:t>80,000</w:t>
            </w:r>
          </w:p>
        </w:tc>
        <w:tc>
          <w:tcPr>
            <w:tcW w:w="1769" w:type="dxa"/>
            <w:shd w:val="clear" w:color="auto" w:fill="auto"/>
            <w:vAlign w:val="center"/>
          </w:tcPr>
          <w:p w14:paraId="5A2DDD32" w14:textId="45344E0A" w:rsidR="00F613B9" w:rsidRPr="00993B55" w:rsidRDefault="00F613B9" w:rsidP="0090690D">
            <w:pPr>
              <w:keepNext/>
              <w:widowControl w:val="0"/>
              <w:jc w:val="center"/>
              <w:rPr>
                <w:color w:val="0000FF"/>
                <w:sz w:val="22"/>
                <w:szCs w:val="22"/>
              </w:rPr>
            </w:pPr>
            <w:r w:rsidRPr="00993B55">
              <w:rPr>
                <w:rFonts w:cs="Arial"/>
                <w:color w:val="0000FF"/>
                <w:sz w:val="22"/>
                <w:szCs w:val="22"/>
              </w:rPr>
              <w:t>Yes/No</w:t>
            </w:r>
          </w:p>
        </w:tc>
      </w:tr>
      <w:tr w:rsidR="00F613B9" w:rsidRPr="00993B55" w14:paraId="20D37121" w14:textId="548E65E3" w:rsidTr="00F613B9">
        <w:trPr>
          <w:trHeight w:val="372"/>
        </w:trPr>
        <w:tc>
          <w:tcPr>
            <w:tcW w:w="1362" w:type="dxa"/>
            <w:shd w:val="clear" w:color="auto" w:fill="auto"/>
            <w:vAlign w:val="center"/>
          </w:tcPr>
          <w:p w14:paraId="07192D98" w14:textId="7AA0DD4E" w:rsidR="00F613B9" w:rsidRPr="00993B55" w:rsidRDefault="00F613B9" w:rsidP="0090690D">
            <w:pPr>
              <w:keepNext/>
              <w:widowControl w:val="0"/>
              <w:jc w:val="center"/>
              <w:rPr>
                <w:sz w:val="22"/>
                <w:szCs w:val="22"/>
              </w:rPr>
            </w:pPr>
            <w:r w:rsidRPr="00993B55">
              <w:rPr>
                <w:sz w:val="22"/>
                <w:szCs w:val="22"/>
              </w:rPr>
              <w:t>PM</w:t>
            </w:r>
            <w:r>
              <w:rPr>
                <w:sz w:val="22"/>
                <w:szCs w:val="22"/>
              </w:rPr>
              <w:t>10</w:t>
            </w:r>
          </w:p>
        </w:tc>
        <w:tc>
          <w:tcPr>
            <w:tcW w:w="1428" w:type="dxa"/>
            <w:shd w:val="clear" w:color="auto" w:fill="auto"/>
            <w:vAlign w:val="center"/>
          </w:tcPr>
          <w:p w14:paraId="6BF6DC4F" w14:textId="79D49D10" w:rsidR="00F613B9" w:rsidRPr="00993B55" w:rsidRDefault="00F613B9" w:rsidP="0090690D">
            <w:pPr>
              <w:keepNext/>
              <w:widowControl w:val="0"/>
              <w:jc w:val="center"/>
              <w:rPr>
                <w:sz w:val="22"/>
                <w:szCs w:val="22"/>
              </w:rPr>
            </w:pPr>
            <w:r w:rsidRPr="00BE4723">
              <w:rPr>
                <w:color w:val="0000FF"/>
                <w:sz w:val="22"/>
                <w:szCs w:val="22"/>
              </w:rPr>
              <w:t>X,XXX</w:t>
            </w:r>
          </w:p>
        </w:tc>
        <w:tc>
          <w:tcPr>
            <w:tcW w:w="1260" w:type="dxa"/>
            <w:shd w:val="clear" w:color="auto" w:fill="auto"/>
            <w:vAlign w:val="center"/>
          </w:tcPr>
          <w:p w14:paraId="786EB676" w14:textId="69AC421F" w:rsidR="00F613B9" w:rsidRPr="00993B55" w:rsidRDefault="00F613B9" w:rsidP="0090690D">
            <w:pPr>
              <w:keepNext/>
              <w:widowControl w:val="0"/>
              <w:jc w:val="center"/>
              <w:rPr>
                <w:sz w:val="22"/>
                <w:szCs w:val="22"/>
              </w:rPr>
            </w:pPr>
            <w:r w:rsidRPr="00BE4723">
              <w:rPr>
                <w:color w:val="0000FF"/>
                <w:sz w:val="22"/>
                <w:szCs w:val="22"/>
              </w:rPr>
              <w:t>X,XXX</w:t>
            </w:r>
          </w:p>
        </w:tc>
        <w:tc>
          <w:tcPr>
            <w:tcW w:w="1260" w:type="dxa"/>
            <w:shd w:val="clear" w:color="auto" w:fill="auto"/>
            <w:vAlign w:val="center"/>
          </w:tcPr>
          <w:p w14:paraId="4A5ABF22" w14:textId="3F73DD7E" w:rsidR="00F613B9" w:rsidRPr="00993B55" w:rsidRDefault="00F613B9" w:rsidP="0090690D">
            <w:pPr>
              <w:keepNext/>
              <w:widowControl w:val="0"/>
              <w:jc w:val="center"/>
              <w:rPr>
                <w:sz w:val="22"/>
                <w:szCs w:val="22"/>
              </w:rPr>
            </w:pPr>
            <w:r w:rsidRPr="00BE4723">
              <w:rPr>
                <w:color w:val="0000FF"/>
                <w:sz w:val="22"/>
                <w:szCs w:val="22"/>
              </w:rPr>
              <w:t>X,XXX</w:t>
            </w:r>
          </w:p>
        </w:tc>
        <w:tc>
          <w:tcPr>
            <w:tcW w:w="1471" w:type="dxa"/>
            <w:shd w:val="clear" w:color="auto" w:fill="auto"/>
            <w:vAlign w:val="center"/>
          </w:tcPr>
          <w:p w14:paraId="16635558" w14:textId="551F2B60" w:rsidR="00F613B9" w:rsidRPr="00993B55" w:rsidRDefault="00F613B9" w:rsidP="0090690D">
            <w:pPr>
              <w:keepNext/>
              <w:widowControl w:val="0"/>
              <w:ind w:left="540" w:hanging="540"/>
              <w:jc w:val="center"/>
              <w:rPr>
                <w:rFonts w:cs="Arial"/>
                <w:color w:val="000000"/>
                <w:spacing w:val="-3"/>
                <w:sz w:val="22"/>
                <w:szCs w:val="22"/>
              </w:rPr>
            </w:pPr>
            <w:r w:rsidRPr="00993B55">
              <w:rPr>
                <w:rFonts w:cs="Arial"/>
                <w:color w:val="000000"/>
                <w:spacing w:val="-3"/>
                <w:sz w:val="22"/>
                <w:szCs w:val="22"/>
              </w:rPr>
              <w:t>30,000</w:t>
            </w:r>
          </w:p>
        </w:tc>
        <w:tc>
          <w:tcPr>
            <w:tcW w:w="1769" w:type="dxa"/>
            <w:shd w:val="clear" w:color="auto" w:fill="auto"/>
            <w:vAlign w:val="center"/>
          </w:tcPr>
          <w:p w14:paraId="7BCDCA36" w14:textId="6CDC2543" w:rsidR="00F613B9" w:rsidRPr="00993B55" w:rsidRDefault="00F613B9" w:rsidP="0090690D">
            <w:pPr>
              <w:keepNext/>
              <w:widowControl w:val="0"/>
              <w:jc w:val="center"/>
              <w:rPr>
                <w:color w:val="0000FF"/>
                <w:sz w:val="22"/>
                <w:szCs w:val="22"/>
              </w:rPr>
            </w:pPr>
            <w:r w:rsidRPr="00993B55">
              <w:rPr>
                <w:rFonts w:cs="Arial"/>
                <w:color w:val="0000FF"/>
                <w:sz w:val="22"/>
                <w:szCs w:val="22"/>
              </w:rPr>
              <w:t>Yes/No</w:t>
            </w:r>
          </w:p>
        </w:tc>
      </w:tr>
      <w:tr w:rsidR="00F613B9" w:rsidRPr="00993B55" w14:paraId="50DB5EB5" w14:textId="424332EE" w:rsidTr="00F613B9">
        <w:trPr>
          <w:trHeight w:val="372"/>
        </w:trPr>
        <w:tc>
          <w:tcPr>
            <w:tcW w:w="1362" w:type="dxa"/>
            <w:shd w:val="clear" w:color="auto" w:fill="auto"/>
            <w:vAlign w:val="center"/>
          </w:tcPr>
          <w:p w14:paraId="6AA7CE09" w14:textId="75E79AB1" w:rsidR="00F613B9" w:rsidRPr="00993B55" w:rsidRDefault="00F613B9" w:rsidP="0090690D">
            <w:pPr>
              <w:keepNext/>
              <w:widowControl w:val="0"/>
              <w:jc w:val="center"/>
              <w:rPr>
                <w:sz w:val="22"/>
                <w:szCs w:val="22"/>
              </w:rPr>
            </w:pPr>
            <w:r w:rsidRPr="00993B55">
              <w:rPr>
                <w:sz w:val="22"/>
                <w:szCs w:val="22"/>
              </w:rPr>
              <w:t>VOC</w:t>
            </w:r>
          </w:p>
        </w:tc>
        <w:tc>
          <w:tcPr>
            <w:tcW w:w="1428" w:type="dxa"/>
            <w:shd w:val="clear" w:color="auto" w:fill="auto"/>
            <w:vAlign w:val="center"/>
          </w:tcPr>
          <w:p w14:paraId="42982150" w14:textId="6C9A68A5" w:rsidR="00F613B9" w:rsidRPr="00993B55" w:rsidRDefault="00F613B9" w:rsidP="0090690D">
            <w:pPr>
              <w:keepNext/>
              <w:widowControl w:val="0"/>
              <w:jc w:val="center"/>
              <w:rPr>
                <w:sz w:val="22"/>
                <w:szCs w:val="22"/>
              </w:rPr>
            </w:pPr>
            <w:r w:rsidRPr="00BE4723">
              <w:rPr>
                <w:color w:val="0000FF"/>
                <w:sz w:val="22"/>
                <w:szCs w:val="22"/>
              </w:rPr>
              <w:t>X,XXX</w:t>
            </w:r>
          </w:p>
        </w:tc>
        <w:tc>
          <w:tcPr>
            <w:tcW w:w="1260" w:type="dxa"/>
            <w:shd w:val="clear" w:color="auto" w:fill="auto"/>
            <w:vAlign w:val="center"/>
          </w:tcPr>
          <w:p w14:paraId="6142BF12" w14:textId="1071992C" w:rsidR="00F613B9" w:rsidRPr="00993B55" w:rsidRDefault="00F613B9" w:rsidP="0090690D">
            <w:pPr>
              <w:keepNext/>
              <w:widowControl w:val="0"/>
              <w:jc w:val="center"/>
              <w:rPr>
                <w:sz w:val="22"/>
                <w:szCs w:val="22"/>
              </w:rPr>
            </w:pPr>
            <w:r w:rsidRPr="00BE4723">
              <w:rPr>
                <w:color w:val="0000FF"/>
                <w:sz w:val="22"/>
                <w:szCs w:val="22"/>
              </w:rPr>
              <w:t>X,XXX</w:t>
            </w:r>
          </w:p>
        </w:tc>
        <w:tc>
          <w:tcPr>
            <w:tcW w:w="1260" w:type="dxa"/>
            <w:shd w:val="clear" w:color="auto" w:fill="auto"/>
            <w:vAlign w:val="center"/>
          </w:tcPr>
          <w:p w14:paraId="58A8FA8B" w14:textId="5B04FFF7" w:rsidR="00F613B9" w:rsidRPr="00993B55" w:rsidRDefault="00F613B9" w:rsidP="0090690D">
            <w:pPr>
              <w:keepNext/>
              <w:widowControl w:val="0"/>
              <w:jc w:val="center"/>
              <w:rPr>
                <w:sz w:val="22"/>
                <w:szCs w:val="22"/>
              </w:rPr>
            </w:pPr>
            <w:r w:rsidRPr="00BE4723">
              <w:rPr>
                <w:color w:val="0000FF"/>
                <w:sz w:val="22"/>
                <w:szCs w:val="22"/>
              </w:rPr>
              <w:t>X,XXX</w:t>
            </w:r>
          </w:p>
        </w:tc>
        <w:tc>
          <w:tcPr>
            <w:tcW w:w="1471" w:type="dxa"/>
            <w:shd w:val="clear" w:color="auto" w:fill="auto"/>
            <w:vAlign w:val="center"/>
          </w:tcPr>
          <w:p w14:paraId="65A07AA3" w14:textId="39D5633F" w:rsidR="00F613B9" w:rsidRPr="00993B55" w:rsidRDefault="00F613B9" w:rsidP="0090690D">
            <w:pPr>
              <w:keepNext/>
              <w:widowControl w:val="0"/>
              <w:jc w:val="center"/>
              <w:rPr>
                <w:sz w:val="22"/>
                <w:szCs w:val="22"/>
              </w:rPr>
            </w:pPr>
            <w:r w:rsidRPr="00993B55">
              <w:rPr>
                <w:sz w:val="22"/>
                <w:szCs w:val="22"/>
              </w:rPr>
              <w:t>50,000</w:t>
            </w:r>
          </w:p>
        </w:tc>
        <w:tc>
          <w:tcPr>
            <w:tcW w:w="1769" w:type="dxa"/>
            <w:shd w:val="clear" w:color="auto" w:fill="auto"/>
            <w:vAlign w:val="center"/>
          </w:tcPr>
          <w:p w14:paraId="588DBEBE" w14:textId="10F92D15" w:rsidR="00F613B9" w:rsidRPr="00993B55" w:rsidRDefault="00F613B9" w:rsidP="0090690D">
            <w:pPr>
              <w:keepNext/>
              <w:widowControl w:val="0"/>
              <w:jc w:val="center"/>
              <w:rPr>
                <w:color w:val="0000FF"/>
                <w:sz w:val="22"/>
                <w:szCs w:val="22"/>
              </w:rPr>
            </w:pPr>
            <w:r w:rsidRPr="00993B55">
              <w:rPr>
                <w:rFonts w:cs="Arial"/>
                <w:color w:val="0000FF"/>
                <w:sz w:val="22"/>
                <w:szCs w:val="22"/>
              </w:rPr>
              <w:t>Yes/No</w:t>
            </w:r>
          </w:p>
        </w:tc>
      </w:tr>
    </w:tbl>
    <w:p w14:paraId="0ACD1DE0" w14:textId="77777777" w:rsidR="000177D5" w:rsidRPr="00993B55" w:rsidRDefault="000177D5" w:rsidP="007A60F3">
      <w:pPr>
        <w:widowControl w:val="0"/>
        <w:ind w:left="720"/>
        <w:jc w:val="left"/>
      </w:pPr>
    </w:p>
    <w:p w14:paraId="79FFBEDD" w14:textId="77777777" w:rsidR="000177D5" w:rsidRPr="00993B55" w:rsidRDefault="000177D5" w:rsidP="007A60F3">
      <w:pPr>
        <w:widowControl w:val="0"/>
        <w:ind w:left="720"/>
      </w:pPr>
      <w:r w:rsidRPr="00993B55">
        <w:t xml:space="preserve">As demonstrated in the preceding table, this project </w:t>
      </w:r>
      <w:r w:rsidRPr="00993B55">
        <w:rPr>
          <w:color w:val="0000FF"/>
        </w:rPr>
        <w:t>does/not</w:t>
      </w:r>
      <w:r w:rsidRPr="00993B55">
        <w:t xml:space="preserve"> constitute an SB 288 Major Modification.</w:t>
      </w:r>
    </w:p>
    <w:p w14:paraId="2B4A650F" w14:textId="2D3EF019" w:rsidR="000177D5" w:rsidRPr="0063101B" w:rsidRDefault="000177D5" w:rsidP="007C1ED2">
      <w:pPr>
        <w:pStyle w:val="Heading3"/>
        <w:widowControl w:val="0"/>
        <w:numPr>
          <w:ilvl w:val="0"/>
          <w:numId w:val="3"/>
        </w:numPr>
        <w:tabs>
          <w:tab w:val="clear" w:pos="1224"/>
        </w:tabs>
        <w:spacing w:before="240" w:after="240"/>
        <w:ind w:left="1080"/>
        <w:jc w:val="left"/>
        <w:rPr>
          <w:b/>
          <w:bCs/>
          <w:color w:val="000000"/>
          <w:sz w:val="24"/>
          <w:szCs w:val="24"/>
        </w:rPr>
      </w:pPr>
      <w:r w:rsidRPr="0063101B">
        <w:rPr>
          <w:b/>
          <w:bCs/>
          <w:color w:val="000000"/>
          <w:sz w:val="24"/>
          <w:szCs w:val="24"/>
        </w:rPr>
        <w:t>Federal Major Modification / New Major Source</w:t>
      </w:r>
    </w:p>
    <w:p w14:paraId="6D22A5A7" w14:textId="77777777" w:rsidR="000177D5" w:rsidRPr="00993B55" w:rsidRDefault="000177D5" w:rsidP="007A60F3">
      <w:pPr>
        <w:widowControl w:val="0"/>
        <w:ind w:left="720"/>
        <w:rPr>
          <w:rFonts w:cs="Arial"/>
          <w:b/>
          <w:bCs/>
          <w:szCs w:val="24"/>
        </w:rPr>
      </w:pPr>
      <w:r w:rsidRPr="00993B55">
        <w:rPr>
          <w:rFonts w:cs="Arial"/>
          <w:b/>
          <w:bCs/>
          <w:color w:val="000000" w:themeColor="text1"/>
          <w:szCs w:val="24"/>
        </w:rPr>
        <w:t>Federal M</w:t>
      </w:r>
      <w:r w:rsidRPr="00993B55">
        <w:rPr>
          <w:rFonts w:cs="Arial"/>
          <w:b/>
          <w:bCs/>
          <w:color w:val="000000"/>
          <w:szCs w:val="24"/>
        </w:rPr>
        <w:t xml:space="preserve">ajor </w:t>
      </w:r>
      <w:r w:rsidRPr="00993B55">
        <w:rPr>
          <w:rFonts w:cs="Arial"/>
          <w:b/>
          <w:bCs/>
          <w:szCs w:val="24"/>
        </w:rPr>
        <w:t>Modification</w:t>
      </w:r>
    </w:p>
    <w:p w14:paraId="6539FAF1" w14:textId="77777777" w:rsidR="000177D5" w:rsidRPr="00993B55" w:rsidRDefault="000177D5" w:rsidP="007A60F3">
      <w:pPr>
        <w:widowControl w:val="0"/>
        <w:ind w:left="720"/>
        <w:rPr>
          <w:rFonts w:cs="Arial"/>
          <w:szCs w:val="24"/>
        </w:rPr>
      </w:pPr>
    </w:p>
    <w:p w14:paraId="7C5CD261" w14:textId="77777777" w:rsidR="000177D5" w:rsidRPr="00993B55" w:rsidRDefault="000177D5" w:rsidP="007A60F3">
      <w:pPr>
        <w:widowControl w:val="0"/>
        <w:ind w:left="720"/>
        <w:rPr>
          <w:rFonts w:cs="Arial"/>
          <w:noProof/>
          <w:color w:val="FF0000"/>
        </w:rPr>
      </w:pPr>
      <w:r w:rsidRPr="00993B55">
        <w:rPr>
          <w:rFonts w:cs="Arial"/>
          <w:noProof/>
          <w:color w:val="FF0000"/>
        </w:rPr>
        <w:t>Please note that for purposes of Federal major modification the federal definition of stationary source at which the new/modified equipment is located shall be used.  The “area wide” definition of oil and gas production stationary source in Rule 2201 shall not be used.</w:t>
      </w:r>
    </w:p>
    <w:p w14:paraId="0FFFC37C" w14:textId="77777777" w:rsidR="000177D5" w:rsidRPr="00993B55" w:rsidRDefault="000177D5" w:rsidP="007A60F3">
      <w:pPr>
        <w:widowControl w:val="0"/>
        <w:ind w:left="720"/>
        <w:rPr>
          <w:rFonts w:cs="Arial"/>
          <w:noProof/>
          <w:color w:val="FF0000"/>
        </w:rPr>
      </w:pPr>
    </w:p>
    <w:p w14:paraId="61FB236B" w14:textId="77777777" w:rsidR="000177D5" w:rsidRPr="00993B55" w:rsidRDefault="000177D5" w:rsidP="007A60F3">
      <w:pPr>
        <w:widowControl w:val="0"/>
        <w:ind w:left="720"/>
        <w:rPr>
          <w:rFonts w:cs="Arial"/>
          <w:noProof/>
          <w:color w:val="FF0000"/>
        </w:rPr>
      </w:pPr>
      <w:r w:rsidRPr="00993B55">
        <w:rPr>
          <w:rFonts w:cs="Arial"/>
          <w:noProof/>
          <w:color w:val="FF0000"/>
        </w:rPr>
        <w:t>The determination of whether various permitting actions involving new or modified emission units are part of the same project is to be performed on a case by case basis. In general, new or modified emission units that are technically or economically dependent shall be considered one project for purposes of Federal Major Modification applicability (see 71 FR 54235). Please note that in this context, the term project has no relation to the project number assigned by the District to individual groups of applications</w:t>
      </w:r>
      <w:r w:rsidRPr="00F556F4">
        <w:rPr>
          <w:color w:val="FF0000"/>
          <w:sz w:val="23"/>
          <w:szCs w:val="23"/>
        </w:rPr>
        <w:t>.</w:t>
      </w:r>
    </w:p>
    <w:p w14:paraId="7A8AA2A0" w14:textId="77777777" w:rsidR="000177D5" w:rsidRPr="00993B55" w:rsidRDefault="000177D5" w:rsidP="007A60F3">
      <w:pPr>
        <w:widowControl w:val="0"/>
        <w:ind w:left="720"/>
        <w:jc w:val="left"/>
        <w:rPr>
          <w:rFonts w:cs="Arial"/>
          <w:bCs/>
          <w:color w:val="000000"/>
          <w:spacing w:val="-3"/>
          <w:szCs w:val="24"/>
        </w:rPr>
      </w:pPr>
    </w:p>
    <w:p w14:paraId="338DBD66" w14:textId="628B0DC1" w:rsidR="000177D5" w:rsidRPr="00993B55" w:rsidRDefault="000177D5" w:rsidP="007A60F3">
      <w:pPr>
        <w:widowControl w:val="0"/>
        <w:ind w:left="720" w:right="-270"/>
        <w:rPr>
          <w:rStyle w:val="Hyperlink"/>
          <w:rFonts w:cs="Arial"/>
          <w:bCs/>
          <w:color w:val="FF0000"/>
          <w:spacing w:val="-3"/>
          <w:szCs w:val="24"/>
        </w:rPr>
      </w:pPr>
      <w:r w:rsidRPr="00993B55">
        <w:rPr>
          <w:rFonts w:cs="Arial"/>
          <w:bCs/>
          <w:color w:val="FF0000"/>
          <w:spacing w:val="-3"/>
          <w:szCs w:val="24"/>
        </w:rPr>
        <w:t xml:space="preserve">For additional guidance on implementation of the requirements for Federal Major Modifications, please see policy APR 1150 at: </w:t>
      </w:r>
      <w:hyperlink r:id="rId16" w:history="1">
        <w:r w:rsidR="00574A43" w:rsidRPr="00351E0E">
          <w:rPr>
            <w:rStyle w:val="Hyperlink"/>
            <w:rFonts w:cs="Arial"/>
            <w:bCs/>
            <w:spacing w:val="-3"/>
            <w:szCs w:val="24"/>
          </w:rPr>
          <w:t>https://www.valleyair.org/media/bjqc2ewc/apr-1150-major-modification-implementation.pdf</w:t>
        </w:r>
      </w:hyperlink>
    </w:p>
    <w:p w14:paraId="5FA7D3D6" w14:textId="77777777" w:rsidR="000177D5" w:rsidRPr="00993B55" w:rsidRDefault="000177D5" w:rsidP="007A60F3">
      <w:pPr>
        <w:widowControl w:val="0"/>
        <w:ind w:left="720"/>
        <w:jc w:val="left"/>
        <w:rPr>
          <w:rFonts w:cs="Arial"/>
          <w:color w:val="FF0000"/>
        </w:rPr>
      </w:pPr>
    </w:p>
    <w:p w14:paraId="44769428" w14:textId="77777777" w:rsidR="000177D5" w:rsidRPr="00993B55" w:rsidRDefault="000177D5" w:rsidP="007A60F3">
      <w:pPr>
        <w:widowControl w:val="0"/>
        <w:ind w:left="720"/>
        <w:rPr>
          <w:b/>
          <w:color w:val="FF0000"/>
        </w:rPr>
      </w:pPr>
      <w:r w:rsidRPr="00993B55">
        <w:rPr>
          <w:b/>
          <w:color w:val="FF0000"/>
        </w:rPr>
        <w:t>Projects with PM10/PM2.5 emissions increase</w:t>
      </w:r>
    </w:p>
    <w:p w14:paraId="141E8D17" w14:textId="23F275E4" w:rsidR="000177D5" w:rsidRPr="00993B55" w:rsidRDefault="000177D5" w:rsidP="007A60F3">
      <w:pPr>
        <w:widowControl w:val="0"/>
        <w:ind w:left="720"/>
        <w:rPr>
          <w:color w:val="FF0000"/>
        </w:rPr>
      </w:pPr>
      <w:r w:rsidRPr="00993B55">
        <w:rPr>
          <w:color w:val="FF0000"/>
        </w:rPr>
        <w:t>For projects authorizing an increase in PM</w:t>
      </w:r>
      <w:r w:rsidR="00B5720D">
        <w:rPr>
          <w:color w:val="FF0000"/>
        </w:rPr>
        <w:t>10</w:t>
      </w:r>
      <w:r w:rsidRPr="00993B55">
        <w:rPr>
          <w:color w:val="FF0000"/>
        </w:rPr>
        <w:t xml:space="preserve"> emissions, use the following guidance.</w:t>
      </w:r>
    </w:p>
    <w:p w14:paraId="73175490" w14:textId="77777777" w:rsidR="000177D5" w:rsidRPr="00993B55" w:rsidRDefault="000177D5" w:rsidP="007A60F3">
      <w:pPr>
        <w:widowControl w:val="0"/>
        <w:ind w:left="720"/>
        <w:rPr>
          <w:color w:val="FF0000"/>
        </w:rPr>
      </w:pPr>
    </w:p>
    <w:p w14:paraId="611414C4" w14:textId="3F858ED5" w:rsidR="000177D5" w:rsidRPr="00DF056E" w:rsidRDefault="000177D5" w:rsidP="007A60F3">
      <w:pPr>
        <w:widowControl w:val="0"/>
        <w:ind w:left="720"/>
        <w:rPr>
          <w:color w:val="FF0000"/>
        </w:rPr>
      </w:pPr>
      <w:r w:rsidRPr="00DF056E">
        <w:rPr>
          <w:color w:val="FF0000"/>
        </w:rPr>
        <w:t>If a source is not major for PM</w:t>
      </w:r>
      <w:r w:rsidR="00B5720D" w:rsidRPr="00DF056E">
        <w:rPr>
          <w:color w:val="FF0000"/>
        </w:rPr>
        <w:t>10</w:t>
      </w:r>
      <w:r w:rsidRPr="00DF056E">
        <w:rPr>
          <w:color w:val="FF0000"/>
        </w:rPr>
        <w:t>, no further calculations are needed.  The project is not a PM</w:t>
      </w:r>
      <w:r w:rsidR="00B5720D" w:rsidRPr="00DF056E">
        <w:rPr>
          <w:color w:val="FF0000"/>
        </w:rPr>
        <w:t>2.5</w:t>
      </w:r>
      <w:r w:rsidRPr="00DF056E">
        <w:rPr>
          <w:color w:val="FF0000"/>
        </w:rPr>
        <w:t xml:space="preserve"> Federal Major Modification.</w:t>
      </w:r>
    </w:p>
    <w:p w14:paraId="5A6D982A" w14:textId="77777777" w:rsidR="000177D5" w:rsidRPr="00DF056E" w:rsidRDefault="000177D5" w:rsidP="007A60F3">
      <w:pPr>
        <w:widowControl w:val="0"/>
        <w:ind w:left="720"/>
        <w:rPr>
          <w:color w:val="FF0000"/>
        </w:rPr>
      </w:pPr>
    </w:p>
    <w:p w14:paraId="397371DA" w14:textId="21B6BAB7" w:rsidR="000177D5" w:rsidRPr="00DF056E" w:rsidRDefault="000177D5" w:rsidP="007A60F3">
      <w:pPr>
        <w:widowControl w:val="0"/>
        <w:ind w:left="720"/>
        <w:rPr>
          <w:color w:val="FF0000"/>
        </w:rPr>
      </w:pPr>
      <w:r w:rsidRPr="00DF056E">
        <w:rPr>
          <w:color w:val="FF0000"/>
        </w:rPr>
        <w:t>For a source that is major for PM</w:t>
      </w:r>
      <w:r w:rsidR="00B5720D" w:rsidRPr="00DF056E">
        <w:rPr>
          <w:color w:val="FF0000"/>
        </w:rPr>
        <w:t>10</w:t>
      </w:r>
      <w:r w:rsidRPr="00DF056E">
        <w:rPr>
          <w:color w:val="FF0000"/>
        </w:rPr>
        <w:t>, determine if the project is a Federal Major Modification for PM</w:t>
      </w:r>
      <w:r w:rsidR="00B66537" w:rsidRPr="00DF056E">
        <w:rPr>
          <w:color w:val="FF0000"/>
        </w:rPr>
        <w:t>2.5</w:t>
      </w:r>
      <w:r w:rsidRPr="00DF056E">
        <w:rPr>
          <w:color w:val="FF0000"/>
        </w:rPr>
        <w:t xml:space="preserve"> using the following streamlined approach.</w:t>
      </w:r>
    </w:p>
    <w:p w14:paraId="1CE395EF" w14:textId="77777777" w:rsidR="000177D5" w:rsidRPr="00DF056E" w:rsidRDefault="000177D5" w:rsidP="007A60F3">
      <w:pPr>
        <w:widowControl w:val="0"/>
        <w:ind w:left="720"/>
        <w:jc w:val="left"/>
        <w:rPr>
          <w:color w:val="FF0000"/>
        </w:rPr>
      </w:pPr>
    </w:p>
    <w:p w14:paraId="61FBAE37" w14:textId="6387E736" w:rsidR="000177D5" w:rsidRPr="00DF056E" w:rsidRDefault="000177D5" w:rsidP="007A60F3">
      <w:pPr>
        <w:widowControl w:val="0"/>
        <w:numPr>
          <w:ilvl w:val="0"/>
          <w:numId w:val="14"/>
        </w:numPr>
        <w:tabs>
          <w:tab w:val="clear" w:pos="1224"/>
        </w:tabs>
        <w:ind w:left="1080"/>
        <w:rPr>
          <w:color w:val="FF0000"/>
        </w:rPr>
      </w:pPr>
      <w:r w:rsidRPr="00DF056E">
        <w:rPr>
          <w:color w:val="FF0000"/>
        </w:rPr>
        <w:t>Calculate the emission increase in PM</w:t>
      </w:r>
      <w:r w:rsidR="00B5720D" w:rsidRPr="00DF056E">
        <w:rPr>
          <w:color w:val="FF0000"/>
        </w:rPr>
        <w:t>10</w:t>
      </w:r>
      <w:r w:rsidRPr="00DF056E">
        <w:rPr>
          <w:color w:val="FF0000"/>
        </w:rPr>
        <w:t xml:space="preserve"> emissions pursuant to the requirements of 40 CFR 51.165 as described above.  If the increase in PM</w:t>
      </w:r>
      <w:r w:rsidR="00B5720D" w:rsidRPr="00DF056E">
        <w:rPr>
          <w:color w:val="FF0000"/>
        </w:rPr>
        <w:t>10</w:t>
      </w:r>
      <w:r w:rsidRPr="00DF056E">
        <w:rPr>
          <w:color w:val="FF0000"/>
        </w:rPr>
        <w:t xml:space="preserve"> emissions is less than </w:t>
      </w:r>
      <w:r w:rsidRPr="00DF056E">
        <w:rPr>
          <w:color w:val="FF0000"/>
        </w:rPr>
        <w:lastRenderedPageBreak/>
        <w:t>20,000 lb/year, the project is not a PM</w:t>
      </w:r>
      <w:r w:rsidR="00B66537" w:rsidRPr="00DF056E">
        <w:rPr>
          <w:color w:val="FF0000"/>
        </w:rPr>
        <w:t>2.5</w:t>
      </w:r>
      <w:r w:rsidRPr="00DF056E">
        <w:rPr>
          <w:color w:val="FF0000"/>
        </w:rPr>
        <w:t xml:space="preserve"> Federal Major Modification (as PM</w:t>
      </w:r>
      <w:r w:rsidR="00B5720D" w:rsidRPr="00DF056E">
        <w:rPr>
          <w:color w:val="FF0000"/>
        </w:rPr>
        <w:t>2.5</w:t>
      </w:r>
      <w:r w:rsidRPr="00DF056E">
        <w:rPr>
          <w:color w:val="FF0000"/>
        </w:rPr>
        <w:t xml:space="preserve"> is a subset of PM</w:t>
      </w:r>
      <w:r w:rsidR="00B5720D" w:rsidRPr="00DF056E">
        <w:rPr>
          <w:color w:val="FF0000"/>
        </w:rPr>
        <w:t>10</w:t>
      </w:r>
      <w:r w:rsidRPr="00DF056E">
        <w:rPr>
          <w:color w:val="FF0000"/>
        </w:rPr>
        <w:t>).</w:t>
      </w:r>
    </w:p>
    <w:p w14:paraId="0F575D42" w14:textId="77777777" w:rsidR="000177D5" w:rsidRPr="00DF056E" w:rsidRDefault="000177D5" w:rsidP="007A60F3">
      <w:pPr>
        <w:widowControl w:val="0"/>
        <w:ind w:left="1080"/>
        <w:rPr>
          <w:color w:val="FF0000"/>
        </w:rPr>
      </w:pPr>
    </w:p>
    <w:p w14:paraId="25A16852" w14:textId="5DF5E93C" w:rsidR="000177D5" w:rsidRPr="00DF056E" w:rsidRDefault="000177D5" w:rsidP="007A60F3">
      <w:pPr>
        <w:widowControl w:val="0"/>
        <w:numPr>
          <w:ilvl w:val="0"/>
          <w:numId w:val="14"/>
        </w:numPr>
        <w:tabs>
          <w:tab w:val="clear" w:pos="1224"/>
        </w:tabs>
        <w:ind w:left="1080"/>
        <w:rPr>
          <w:color w:val="FF0000"/>
        </w:rPr>
      </w:pPr>
      <w:r w:rsidRPr="00DF056E">
        <w:rPr>
          <w:color w:val="FF0000"/>
        </w:rPr>
        <w:t>If the PM</w:t>
      </w:r>
      <w:r w:rsidR="00B5720D" w:rsidRPr="00DF056E">
        <w:rPr>
          <w:color w:val="FF0000"/>
        </w:rPr>
        <w:t>10</w:t>
      </w:r>
      <w:r w:rsidRPr="00DF056E">
        <w:rPr>
          <w:color w:val="FF0000"/>
        </w:rPr>
        <w:t xml:space="preserve"> emission increase is greater than 20,000 lb/year, calculate the PM</w:t>
      </w:r>
      <w:r w:rsidR="00B5720D" w:rsidRPr="00DF056E">
        <w:rPr>
          <w:color w:val="FF0000"/>
        </w:rPr>
        <w:t>2.5</w:t>
      </w:r>
      <w:r w:rsidRPr="00DF056E">
        <w:rPr>
          <w:color w:val="FF0000"/>
        </w:rPr>
        <w:t xml:space="preserve"> emission increase.  If the increase in PM</w:t>
      </w:r>
      <w:r w:rsidR="00B5720D" w:rsidRPr="00DF056E">
        <w:rPr>
          <w:color w:val="FF0000"/>
        </w:rPr>
        <w:t>2.5</w:t>
      </w:r>
      <w:r w:rsidRPr="00DF056E">
        <w:rPr>
          <w:color w:val="FF0000"/>
        </w:rPr>
        <w:t xml:space="preserve"> emissions is less than 20,000 lb/year, the project is not a PM</w:t>
      </w:r>
      <w:r w:rsidR="00B5720D" w:rsidRPr="00DF056E">
        <w:rPr>
          <w:color w:val="FF0000"/>
        </w:rPr>
        <w:t>2.5</w:t>
      </w:r>
      <w:r w:rsidRPr="00DF056E">
        <w:rPr>
          <w:color w:val="FF0000"/>
        </w:rPr>
        <w:t xml:space="preserve"> Federal Major Modification.</w:t>
      </w:r>
    </w:p>
    <w:p w14:paraId="3C2BE63C" w14:textId="77777777" w:rsidR="000177D5" w:rsidRPr="00DF056E" w:rsidRDefault="000177D5" w:rsidP="007A60F3">
      <w:pPr>
        <w:widowControl w:val="0"/>
        <w:ind w:left="1080"/>
        <w:rPr>
          <w:color w:val="FF0000"/>
        </w:rPr>
      </w:pPr>
    </w:p>
    <w:p w14:paraId="7B2C5A78" w14:textId="7F59F300" w:rsidR="000177D5" w:rsidRPr="00DF056E" w:rsidRDefault="000177D5" w:rsidP="007A60F3">
      <w:pPr>
        <w:widowControl w:val="0"/>
        <w:numPr>
          <w:ilvl w:val="0"/>
          <w:numId w:val="14"/>
        </w:numPr>
        <w:tabs>
          <w:tab w:val="clear" w:pos="1224"/>
        </w:tabs>
        <w:ind w:left="1080"/>
        <w:rPr>
          <w:color w:val="FF0000"/>
        </w:rPr>
      </w:pPr>
      <w:r w:rsidRPr="00DF056E">
        <w:rPr>
          <w:color w:val="FF0000"/>
        </w:rPr>
        <w:t>If the increase in PM</w:t>
      </w:r>
      <w:r w:rsidR="00B5720D" w:rsidRPr="00DF056E">
        <w:rPr>
          <w:color w:val="FF0000"/>
        </w:rPr>
        <w:t>2.5</w:t>
      </w:r>
      <w:r w:rsidRPr="00DF056E">
        <w:rPr>
          <w:color w:val="FF0000"/>
        </w:rPr>
        <w:t xml:space="preserve"> emissions is greater than 20,000 lb/year, need to determine if the source is a Major source for PM</w:t>
      </w:r>
      <w:r w:rsidR="00B5720D" w:rsidRPr="00DF056E">
        <w:rPr>
          <w:color w:val="FF0000"/>
        </w:rPr>
        <w:t>2.5</w:t>
      </w:r>
      <w:r w:rsidRPr="00DF056E">
        <w:rPr>
          <w:color w:val="FF0000"/>
        </w:rPr>
        <w:t>, i.e. a potential to emit of 140,000 lb/year.  This determination must be made by calculating the PM</w:t>
      </w:r>
      <w:r w:rsidR="00B5720D" w:rsidRPr="00DF056E">
        <w:rPr>
          <w:color w:val="FF0000"/>
        </w:rPr>
        <w:t>2.5</w:t>
      </w:r>
      <w:r w:rsidRPr="00DF056E">
        <w:rPr>
          <w:color w:val="FF0000"/>
        </w:rPr>
        <w:t xml:space="preserve"> emissions from all permit units.  For oil production stationary sources, if the area wide stationary source has PM</w:t>
      </w:r>
      <w:r w:rsidR="00C9457D" w:rsidRPr="00DF056E">
        <w:rPr>
          <w:color w:val="FF0000"/>
        </w:rPr>
        <w:t>2.5</w:t>
      </w:r>
      <w:r w:rsidRPr="00DF056E">
        <w:rPr>
          <w:color w:val="FF0000"/>
        </w:rPr>
        <w:t xml:space="preserve"> emissions less than 140,000 lb/year, then any Federal stationary source is not major for PM</w:t>
      </w:r>
      <w:r w:rsidR="00C9457D" w:rsidRPr="00DF056E">
        <w:rPr>
          <w:color w:val="FF0000"/>
        </w:rPr>
        <w:t>2.5</w:t>
      </w:r>
      <w:r w:rsidRPr="00DF056E">
        <w:rPr>
          <w:color w:val="FF0000"/>
        </w:rPr>
        <w:t>.</w:t>
      </w:r>
    </w:p>
    <w:p w14:paraId="6F97A327" w14:textId="77777777" w:rsidR="000177D5" w:rsidRPr="00DF056E" w:rsidRDefault="000177D5" w:rsidP="007A60F3">
      <w:pPr>
        <w:widowControl w:val="0"/>
        <w:ind w:left="1080"/>
        <w:jc w:val="left"/>
        <w:rPr>
          <w:color w:val="FF0000"/>
        </w:rPr>
      </w:pPr>
    </w:p>
    <w:p w14:paraId="275B0F39" w14:textId="67219101" w:rsidR="000177D5" w:rsidRPr="00DF056E" w:rsidRDefault="000177D5" w:rsidP="007A60F3">
      <w:pPr>
        <w:widowControl w:val="0"/>
        <w:ind w:left="1080"/>
        <w:rPr>
          <w:color w:val="FF0000"/>
        </w:rPr>
      </w:pPr>
      <w:r w:rsidRPr="00DF056E">
        <w:rPr>
          <w:color w:val="FF0000"/>
        </w:rPr>
        <w:t>Alternatively, a large source may stipulate that they are a major</w:t>
      </w:r>
      <w:r w:rsidR="007C32F8" w:rsidRPr="00DF056E">
        <w:rPr>
          <w:color w:val="FF0000"/>
        </w:rPr>
        <w:t xml:space="preserve"> source</w:t>
      </w:r>
      <w:r w:rsidRPr="00DF056E">
        <w:rPr>
          <w:color w:val="FF0000"/>
        </w:rPr>
        <w:t xml:space="preserve"> for PM</w:t>
      </w:r>
      <w:r w:rsidR="00B66537" w:rsidRPr="00DF056E">
        <w:rPr>
          <w:color w:val="FF0000"/>
        </w:rPr>
        <w:t>2.5</w:t>
      </w:r>
      <w:r w:rsidRPr="00DF056E">
        <w:rPr>
          <w:color w:val="FF0000"/>
        </w:rPr>
        <w:t>.</w:t>
      </w:r>
    </w:p>
    <w:p w14:paraId="6B63C184" w14:textId="77777777" w:rsidR="000177D5" w:rsidRPr="00DF056E" w:rsidRDefault="000177D5" w:rsidP="007A60F3">
      <w:pPr>
        <w:widowControl w:val="0"/>
        <w:ind w:left="1080"/>
        <w:rPr>
          <w:color w:val="FF0000"/>
        </w:rPr>
      </w:pPr>
    </w:p>
    <w:p w14:paraId="6D03CD8D" w14:textId="7A25CD14" w:rsidR="000177D5" w:rsidRPr="00993B55" w:rsidRDefault="000177D5" w:rsidP="007A60F3">
      <w:pPr>
        <w:widowControl w:val="0"/>
        <w:numPr>
          <w:ilvl w:val="0"/>
          <w:numId w:val="14"/>
        </w:numPr>
        <w:tabs>
          <w:tab w:val="clear" w:pos="1224"/>
        </w:tabs>
        <w:ind w:left="1080"/>
        <w:rPr>
          <w:color w:val="FF0000"/>
        </w:rPr>
      </w:pPr>
      <w:r w:rsidRPr="00DF056E">
        <w:rPr>
          <w:color w:val="FF0000"/>
        </w:rPr>
        <w:t>If the Federal stationary source is major for PM</w:t>
      </w:r>
      <w:r w:rsidR="00B66537" w:rsidRPr="00DF056E">
        <w:rPr>
          <w:color w:val="FF0000"/>
        </w:rPr>
        <w:t>2.5</w:t>
      </w:r>
      <w:r w:rsidRPr="00DF056E">
        <w:rPr>
          <w:color w:val="FF0000"/>
        </w:rPr>
        <w:t xml:space="preserve"> (140,000 lb/year) and the project has an increase in PM</w:t>
      </w:r>
      <w:r w:rsidR="00B66537" w:rsidRPr="00DF056E">
        <w:rPr>
          <w:color w:val="FF0000"/>
        </w:rPr>
        <w:t>2.5</w:t>
      </w:r>
      <w:r w:rsidRPr="00DF056E">
        <w:rPr>
          <w:color w:val="FF0000"/>
        </w:rPr>
        <w:t xml:space="preserve"> emissions greater than 20,000 lb/year, the project is a Federal Major Modification</w:t>
      </w:r>
      <w:r w:rsidRPr="00993B55">
        <w:rPr>
          <w:color w:val="FF0000"/>
        </w:rPr>
        <w:t xml:space="preserve"> for PM</w:t>
      </w:r>
      <w:r w:rsidR="00B66537">
        <w:rPr>
          <w:color w:val="FF0000"/>
        </w:rPr>
        <w:t>2.5</w:t>
      </w:r>
      <w:r w:rsidRPr="00993B55">
        <w:rPr>
          <w:color w:val="FF0000"/>
        </w:rPr>
        <w:t>.</w:t>
      </w:r>
    </w:p>
    <w:p w14:paraId="45F189F1" w14:textId="77777777" w:rsidR="000177D5" w:rsidRPr="00993B55" w:rsidRDefault="000177D5" w:rsidP="007A60F3">
      <w:pPr>
        <w:widowControl w:val="0"/>
        <w:ind w:left="1080"/>
        <w:rPr>
          <w:color w:val="FF0000"/>
        </w:rPr>
      </w:pPr>
    </w:p>
    <w:p w14:paraId="5E45B5CB" w14:textId="458DB963" w:rsidR="000177D5" w:rsidRPr="00993B55" w:rsidRDefault="000177D5" w:rsidP="007A60F3">
      <w:pPr>
        <w:widowControl w:val="0"/>
        <w:numPr>
          <w:ilvl w:val="0"/>
          <w:numId w:val="14"/>
        </w:numPr>
        <w:tabs>
          <w:tab w:val="clear" w:pos="1224"/>
        </w:tabs>
        <w:ind w:left="1080"/>
        <w:rPr>
          <w:color w:val="FF0000"/>
        </w:rPr>
      </w:pPr>
      <w:r w:rsidRPr="00993B55">
        <w:rPr>
          <w:color w:val="FF0000"/>
        </w:rPr>
        <w:t>BACT is required for PM</w:t>
      </w:r>
      <w:r w:rsidR="00C315EB">
        <w:rPr>
          <w:color w:val="FF0000"/>
        </w:rPr>
        <w:t>2.5</w:t>
      </w:r>
      <w:r w:rsidRPr="00993B55">
        <w:rPr>
          <w:color w:val="FF0000"/>
        </w:rPr>
        <w:t xml:space="preserve"> along with other Rule 2201 requirements for Federal Major Modifications. Please note, that until EPA approves the 2012 PM2.5 attainment plan,(which includes interpollutant offset ratios for SOx and NOx for PM2.5), interpollutant offsets for PM2.5 emission increases are not allowed.</w:t>
      </w:r>
    </w:p>
    <w:p w14:paraId="335C2562" w14:textId="77777777" w:rsidR="000177D5" w:rsidRPr="00993B55" w:rsidRDefault="000177D5" w:rsidP="007A60F3">
      <w:pPr>
        <w:widowControl w:val="0"/>
        <w:ind w:left="1080"/>
        <w:rPr>
          <w:color w:val="FF0000"/>
        </w:rPr>
      </w:pPr>
    </w:p>
    <w:p w14:paraId="7CE877B5" w14:textId="102BE3A9" w:rsidR="000177D5" w:rsidRPr="00993B55" w:rsidRDefault="000177D5" w:rsidP="007A60F3">
      <w:pPr>
        <w:widowControl w:val="0"/>
        <w:ind w:left="720"/>
        <w:rPr>
          <w:rFonts w:cs="Arial"/>
          <w:color w:val="000000"/>
        </w:rPr>
      </w:pPr>
      <w:r w:rsidRPr="00993B55">
        <w:rPr>
          <w:rFonts w:cs="Arial"/>
          <w:color w:val="000000"/>
        </w:rPr>
        <w:t>District Rule 2201 states that a Federal Major Modification is the same as a “Major Modification” as defined in 40 CFR 51.165 and part D of Title I of the CAA.</w:t>
      </w:r>
    </w:p>
    <w:p w14:paraId="7D454FDD" w14:textId="77777777" w:rsidR="000177D5" w:rsidRPr="00993B55" w:rsidRDefault="000177D5" w:rsidP="007A60F3">
      <w:pPr>
        <w:widowControl w:val="0"/>
        <w:ind w:left="720"/>
        <w:rPr>
          <w:rFonts w:cs="Arial"/>
          <w:color w:val="000000"/>
        </w:rPr>
      </w:pPr>
    </w:p>
    <w:p w14:paraId="6715CDE4" w14:textId="77777777" w:rsidR="000177D5" w:rsidRPr="00993B55" w:rsidRDefault="000177D5" w:rsidP="007A60F3">
      <w:pPr>
        <w:widowControl w:val="0"/>
        <w:ind w:left="720"/>
        <w:rPr>
          <w:iCs/>
        </w:rPr>
      </w:pPr>
      <w:r w:rsidRPr="00993B55">
        <w:t xml:space="preserve">As defined in 40 CFR 51.165, Section (a)(1)(v) and part D of Title I of the CAA, a Federal Major Modification is </w:t>
      </w:r>
      <w:r w:rsidRPr="00993B55">
        <w:rPr>
          <w:iCs/>
        </w:rPr>
        <w:t>any physical change in or change in the method of operation of a major stationary source that would result in a significant net emissions increase of any pollutant subject to regulation under the Act.  The significant net emission increase threshold for each criteria pollutant is included in Rule 2201.</w:t>
      </w:r>
    </w:p>
    <w:p w14:paraId="4A88805D" w14:textId="77777777" w:rsidR="000177D5" w:rsidRPr="00993B55" w:rsidRDefault="000177D5" w:rsidP="007A60F3">
      <w:pPr>
        <w:widowControl w:val="0"/>
        <w:ind w:left="720"/>
        <w:rPr>
          <w:iCs/>
        </w:rPr>
      </w:pPr>
    </w:p>
    <w:p w14:paraId="71B15622" w14:textId="77777777" w:rsidR="000177D5" w:rsidRPr="00993B55" w:rsidRDefault="000177D5" w:rsidP="007A60F3">
      <w:pPr>
        <w:widowControl w:val="0"/>
        <w:ind w:left="720"/>
        <w:rPr>
          <w:rFonts w:cs="Arial"/>
          <w:noProof/>
          <w:color w:val="FF0000"/>
        </w:rPr>
      </w:pPr>
      <w:r w:rsidRPr="00993B55">
        <w:rPr>
          <w:rFonts w:cs="Arial"/>
          <w:noProof/>
          <w:color w:val="FF0000"/>
        </w:rPr>
        <w:t xml:space="preserve">If the source </w:t>
      </w:r>
      <w:r w:rsidRPr="00993B55">
        <w:rPr>
          <w:rFonts w:cs="Arial"/>
          <w:b/>
          <w:noProof/>
          <w:color w:val="FF0000"/>
        </w:rPr>
        <w:t xml:space="preserve">is </w:t>
      </w:r>
      <w:r w:rsidRPr="00993B55">
        <w:rPr>
          <w:rFonts w:cs="Arial"/>
          <w:b/>
          <w:noProof/>
          <w:color w:val="FF0000"/>
          <w:u w:val="single"/>
        </w:rPr>
        <w:t>not</w:t>
      </w:r>
      <w:r w:rsidRPr="00993B55">
        <w:rPr>
          <w:rFonts w:cs="Arial"/>
          <w:noProof/>
          <w:color w:val="FF0000"/>
        </w:rPr>
        <w:t xml:space="preserve"> a major source for any pollutants, use the following paragraph, and delete the rest of the FFM section.</w:t>
      </w:r>
    </w:p>
    <w:p w14:paraId="3B425B33" w14:textId="1444B64C" w:rsidR="000177D5" w:rsidRPr="00993B55" w:rsidRDefault="000177D5" w:rsidP="007A60F3">
      <w:pPr>
        <w:widowControl w:val="0"/>
        <w:ind w:left="720"/>
        <w:rPr>
          <w:rFonts w:cs="Arial"/>
          <w:noProof/>
          <w:color w:val="000000"/>
        </w:rPr>
      </w:pPr>
      <w:r w:rsidRPr="00993B55">
        <w:rPr>
          <w:rFonts w:cs="Arial"/>
          <w:noProof/>
          <w:color w:val="000000"/>
        </w:rPr>
        <w:t>Since this facility is not a Major Source for any pollutants, this project does not constitute a Federal Major Modification and no further discussion is required.</w:t>
      </w:r>
    </w:p>
    <w:p w14:paraId="7BB18F50" w14:textId="77777777" w:rsidR="000177D5" w:rsidRPr="00993B55" w:rsidRDefault="000177D5" w:rsidP="007A60F3">
      <w:pPr>
        <w:widowControl w:val="0"/>
        <w:ind w:left="720"/>
        <w:rPr>
          <w:rFonts w:cs="Arial"/>
          <w:noProof/>
          <w:color w:val="000000"/>
        </w:rPr>
      </w:pPr>
    </w:p>
    <w:p w14:paraId="65D3DD75" w14:textId="77777777" w:rsidR="000177D5" w:rsidRPr="00993B55" w:rsidRDefault="000177D5" w:rsidP="007A60F3">
      <w:pPr>
        <w:widowControl w:val="0"/>
        <w:ind w:left="720"/>
        <w:rPr>
          <w:rFonts w:cs="Arial"/>
          <w:noProof/>
          <w:color w:val="FF0000"/>
        </w:rPr>
      </w:pPr>
      <w:r w:rsidRPr="00993B55">
        <w:rPr>
          <w:rFonts w:cs="Arial"/>
          <w:noProof/>
          <w:color w:val="FF0000"/>
        </w:rPr>
        <w:t xml:space="preserve">If the source </w:t>
      </w:r>
      <w:r w:rsidRPr="00993B55">
        <w:rPr>
          <w:rFonts w:cs="Arial"/>
          <w:b/>
          <w:noProof/>
          <w:color w:val="FF0000"/>
          <w:u w:val="single"/>
        </w:rPr>
        <w:t>is</w:t>
      </w:r>
      <w:r w:rsidRPr="00993B55">
        <w:rPr>
          <w:rFonts w:cs="Arial"/>
          <w:noProof/>
          <w:color w:val="FF0000"/>
        </w:rPr>
        <w:t xml:space="preserve"> a major source for one or more pollutants, only include calculations for pollutants for which the facility is major.</w:t>
      </w:r>
    </w:p>
    <w:p w14:paraId="0BE3B2D7" w14:textId="4DC75B9D" w:rsidR="000177D5" w:rsidRPr="00993B55" w:rsidRDefault="000177D5" w:rsidP="007A60F3">
      <w:pPr>
        <w:widowControl w:val="0"/>
        <w:ind w:left="720"/>
        <w:rPr>
          <w:rFonts w:cs="Arial"/>
          <w:szCs w:val="24"/>
        </w:rPr>
      </w:pPr>
      <w:r w:rsidRPr="00993B55">
        <w:rPr>
          <w:rFonts w:cs="Arial"/>
          <w:szCs w:val="24"/>
        </w:rPr>
        <w:t xml:space="preserve">The determination of Federal Major Modification is based on a two-step test.  For the first step, only the emission </w:t>
      </w:r>
      <w:r w:rsidRPr="00993B55">
        <w:rPr>
          <w:rFonts w:cs="Arial"/>
          <w:i/>
          <w:szCs w:val="24"/>
        </w:rPr>
        <w:t>increases</w:t>
      </w:r>
      <w:r w:rsidRPr="00993B55">
        <w:rPr>
          <w:rFonts w:cs="Arial"/>
          <w:szCs w:val="24"/>
        </w:rPr>
        <w:t xml:space="preserve"> are counted.  In step 1, emission decreases cannot cancel out the increases.  Step 2 allows consideration of the project’s net emissions increase as described in 40 CFR 51.165 and the Federal Clean Air Act Section 182 (e), as applicable.</w:t>
      </w:r>
    </w:p>
    <w:p w14:paraId="49D41A8A" w14:textId="77777777" w:rsidR="00042509" w:rsidRPr="00993B55" w:rsidRDefault="00042509" w:rsidP="007A60F3">
      <w:pPr>
        <w:widowControl w:val="0"/>
        <w:ind w:left="720"/>
        <w:rPr>
          <w:rFonts w:cs="Arial"/>
          <w:szCs w:val="24"/>
        </w:rPr>
      </w:pPr>
    </w:p>
    <w:p w14:paraId="3EAD8A8D" w14:textId="77777777" w:rsidR="000177D5" w:rsidRPr="00993B55" w:rsidRDefault="000177D5" w:rsidP="007A60F3">
      <w:pPr>
        <w:widowControl w:val="0"/>
        <w:ind w:left="720"/>
        <w:rPr>
          <w:rFonts w:cs="Arial"/>
          <w:color w:val="FF0000"/>
          <w:szCs w:val="23"/>
        </w:rPr>
      </w:pPr>
      <w:r w:rsidRPr="00993B55">
        <w:rPr>
          <w:rFonts w:cs="Arial"/>
          <w:color w:val="FF0000"/>
          <w:szCs w:val="23"/>
        </w:rPr>
        <w:t xml:space="preserve">For a project authorizing new or increased emissions in non-road engines use the </w:t>
      </w:r>
      <w:r w:rsidRPr="00993B55">
        <w:rPr>
          <w:rFonts w:cs="Arial"/>
          <w:color w:val="FF0000"/>
          <w:szCs w:val="23"/>
        </w:rPr>
        <w:lastRenderedPageBreak/>
        <w:t>following paragraph, otherwise delete it.</w:t>
      </w:r>
    </w:p>
    <w:p w14:paraId="22A91E30" w14:textId="77777777" w:rsidR="000177D5" w:rsidRPr="00993B55" w:rsidRDefault="000177D5" w:rsidP="007A60F3">
      <w:pPr>
        <w:widowControl w:val="0"/>
        <w:ind w:left="720"/>
        <w:rPr>
          <w:rFonts w:cs="Arial"/>
          <w:szCs w:val="23"/>
        </w:rPr>
      </w:pPr>
      <w:r w:rsidRPr="00993B55">
        <w:rPr>
          <w:rFonts w:cs="Arial"/>
          <w:szCs w:val="23"/>
        </w:rPr>
        <w:t>Non-road engines shall not be considered in determining whether a project is a Federal Major Modification. The Federal CAA reserves the regulation of non-road engines to Title II (National Emission Standards) of the CAA.</w:t>
      </w:r>
    </w:p>
    <w:p w14:paraId="4CF7DE8B" w14:textId="77777777" w:rsidR="000177D5" w:rsidRPr="00993B55" w:rsidRDefault="000177D5" w:rsidP="007A60F3">
      <w:pPr>
        <w:widowControl w:val="0"/>
        <w:ind w:left="720"/>
        <w:rPr>
          <w:rFonts w:cs="Arial"/>
          <w:szCs w:val="23"/>
        </w:rPr>
      </w:pPr>
    </w:p>
    <w:p w14:paraId="5C2162CB" w14:textId="77777777" w:rsidR="000177D5" w:rsidRPr="00993B55" w:rsidRDefault="000177D5" w:rsidP="007A60F3">
      <w:pPr>
        <w:widowControl w:val="0"/>
        <w:ind w:left="720"/>
        <w:rPr>
          <w:rFonts w:cs="Arial"/>
          <w:b/>
          <w:szCs w:val="24"/>
        </w:rPr>
      </w:pPr>
      <w:r w:rsidRPr="00993B55">
        <w:rPr>
          <w:rFonts w:cs="Arial"/>
          <w:b/>
          <w:szCs w:val="24"/>
        </w:rPr>
        <w:t xml:space="preserve">Step 1: </w:t>
      </w:r>
      <w:r w:rsidRPr="00993B55">
        <w:rPr>
          <w:b/>
          <w:noProof/>
        </w:rPr>
        <w:t>Project Emissions Increase</w:t>
      </w:r>
    </w:p>
    <w:p w14:paraId="07D7FFF5" w14:textId="77777777" w:rsidR="000177D5" w:rsidRPr="00993B55" w:rsidRDefault="000177D5" w:rsidP="007A60F3">
      <w:pPr>
        <w:widowControl w:val="0"/>
        <w:ind w:left="720"/>
        <w:rPr>
          <w:rFonts w:cs="Arial"/>
          <w:szCs w:val="24"/>
        </w:rPr>
      </w:pPr>
    </w:p>
    <w:p w14:paraId="0483174D" w14:textId="77777777" w:rsidR="000177D5" w:rsidRPr="00993B55" w:rsidRDefault="000177D5" w:rsidP="007A60F3">
      <w:pPr>
        <w:widowControl w:val="0"/>
        <w:ind w:left="720"/>
        <w:rPr>
          <w:rFonts w:cs="Arial"/>
          <w:color w:val="FF0000"/>
          <w:szCs w:val="24"/>
        </w:rPr>
      </w:pPr>
      <w:r w:rsidRPr="00993B55">
        <w:rPr>
          <w:rFonts w:cs="Arial"/>
          <w:color w:val="FF0000"/>
          <w:szCs w:val="24"/>
        </w:rPr>
        <w:t>If new emissions units are included in the project, use the following paragraph, otherwise delete it.</w:t>
      </w:r>
    </w:p>
    <w:p w14:paraId="3421886A" w14:textId="77777777" w:rsidR="000177D5" w:rsidRPr="00993B55" w:rsidRDefault="000177D5" w:rsidP="007A60F3">
      <w:pPr>
        <w:widowControl w:val="0"/>
        <w:ind w:left="720"/>
        <w:rPr>
          <w:rFonts w:cs="Arial"/>
          <w:szCs w:val="24"/>
        </w:rPr>
      </w:pPr>
      <w:r w:rsidRPr="00993B55">
        <w:rPr>
          <w:rFonts w:cs="Arial"/>
          <w:szCs w:val="24"/>
        </w:rPr>
        <w:t>For new emissions units, the increase in emissions is equal to the PE2 for each new unit included in this project:</w:t>
      </w:r>
    </w:p>
    <w:p w14:paraId="057B2121" w14:textId="77777777" w:rsidR="000177D5" w:rsidRPr="00993B55" w:rsidRDefault="000177D5" w:rsidP="007A60F3">
      <w:pPr>
        <w:widowControl w:val="0"/>
        <w:ind w:left="720"/>
        <w:rPr>
          <w:rFonts w:cs="Arial"/>
          <w:szCs w:val="24"/>
        </w:rPr>
      </w:pPr>
    </w:p>
    <w:p w14:paraId="5FB2A190" w14:textId="77777777" w:rsidR="000177D5" w:rsidRPr="00993B55" w:rsidRDefault="000177D5" w:rsidP="007A60F3">
      <w:pPr>
        <w:widowControl w:val="0"/>
        <w:ind w:left="720"/>
        <w:rPr>
          <w:rFonts w:cs="Arial"/>
          <w:szCs w:val="24"/>
        </w:rPr>
      </w:pPr>
      <w:r w:rsidRPr="00993B55">
        <w:rPr>
          <w:rFonts w:cs="Arial"/>
          <w:szCs w:val="24"/>
        </w:rPr>
        <w:t>Emission Increase = PE2</w:t>
      </w:r>
    </w:p>
    <w:p w14:paraId="62ED0274" w14:textId="77777777" w:rsidR="000177D5" w:rsidRPr="00993B55" w:rsidRDefault="000177D5" w:rsidP="007A60F3">
      <w:pPr>
        <w:widowControl w:val="0"/>
        <w:ind w:left="720"/>
        <w:rPr>
          <w:rFonts w:cs="Arial"/>
          <w:szCs w:val="24"/>
        </w:rPr>
      </w:pPr>
    </w:p>
    <w:p w14:paraId="3984009F" w14:textId="77777777" w:rsidR="000177D5" w:rsidRPr="00993B55" w:rsidRDefault="000177D5" w:rsidP="007A60F3">
      <w:pPr>
        <w:widowControl w:val="0"/>
        <w:ind w:left="720"/>
        <w:rPr>
          <w:rFonts w:cs="Arial"/>
          <w:color w:val="FF0000"/>
          <w:szCs w:val="24"/>
        </w:rPr>
      </w:pPr>
      <w:r w:rsidRPr="00993B55">
        <w:rPr>
          <w:rFonts w:cs="Arial"/>
          <w:color w:val="FF0000"/>
          <w:szCs w:val="24"/>
        </w:rPr>
        <w:t>If existing emissions units are involved and there is no increase in design capacity or potential to emit, use the following paragraph, otherwise delete it.</w:t>
      </w:r>
    </w:p>
    <w:p w14:paraId="18189D7E" w14:textId="77777777" w:rsidR="000177D5" w:rsidRPr="00993B55" w:rsidRDefault="000177D5" w:rsidP="007A60F3">
      <w:pPr>
        <w:widowControl w:val="0"/>
        <w:ind w:left="720"/>
        <w:rPr>
          <w:rFonts w:cs="Arial"/>
          <w:szCs w:val="24"/>
        </w:rPr>
      </w:pPr>
    </w:p>
    <w:p w14:paraId="035EBA6D" w14:textId="77777777" w:rsidR="000177D5" w:rsidRPr="00993B55" w:rsidRDefault="000177D5" w:rsidP="007A60F3">
      <w:pPr>
        <w:pStyle w:val="BodyText"/>
        <w:widowControl w:val="0"/>
        <w:autoSpaceDE w:val="0"/>
        <w:autoSpaceDN w:val="0"/>
        <w:adjustRightInd w:val="0"/>
        <w:ind w:left="720"/>
        <w:rPr>
          <w:noProof/>
        </w:rPr>
      </w:pPr>
      <w:r w:rsidRPr="00993B55">
        <w:rPr>
          <w:rFonts w:cs="Arial"/>
        </w:rPr>
        <w:t xml:space="preserve">For modified existing emissions units, </w:t>
      </w:r>
      <w:r w:rsidRPr="00993B55">
        <w:rPr>
          <w:noProof/>
        </w:rPr>
        <w:t>according to 40 CFR 51.165(a)(2)(ii)(C), the</w:t>
      </w:r>
      <w:r w:rsidRPr="00993B55">
        <w:t xml:space="preserve"> project’s emission increase for each pollutant is equal to the sum of the differences between the projected actual emissions </w:t>
      </w:r>
      <w:r w:rsidRPr="00993B55">
        <w:rPr>
          <w:noProof/>
        </w:rPr>
        <w:t xml:space="preserve">(PAE) </w:t>
      </w:r>
      <w:r w:rsidRPr="00993B55">
        <w:t>and the baseline actual emissions (BAE</w:t>
      </w:r>
      <w:r w:rsidRPr="00993B55">
        <w:rPr>
          <w:noProof/>
        </w:rPr>
        <w:t>).  Please note that i</w:t>
      </w:r>
      <w:r w:rsidRPr="00993B55">
        <w:rPr>
          <w:rFonts w:cs="Arial"/>
        </w:rPr>
        <w:t>n step 1, since the District is classified as extreme non-attainment for ozone, no NOx and VOC emission decreases associated with the proposed project shall be accounted for.</w:t>
      </w:r>
    </w:p>
    <w:p w14:paraId="64229E4B" w14:textId="77777777" w:rsidR="000177D5" w:rsidRPr="00993B55" w:rsidRDefault="000177D5" w:rsidP="007A60F3">
      <w:pPr>
        <w:pStyle w:val="BodyText"/>
        <w:widowControl w:val="0"/>
        <w:autoSpaceDE w:val="0"/>
        <w:autoSpaceDN w:val="0"/>
        <w:adjustRightInd w:val="0"/>
        <w:ind w:left="720"/>
        <w:rPr>
          <w:noProof/>
        </w:rPr>
      </w:pPr>
    </w:p>
    <w:p w14:paraId="1F1F9404" w14:textId="77777777" w:rsidR="000177D5" w:rsidRPr="00993B55" w:rsidRDefault="000177D5" w:rsidP="007A60F3">
      <w:pPr>
        <w:pStyle w:val="BodyText"/>
        <w:widowControl w:val="0"/>
        <w:autoSpaceDE w:val="0"/>
        <w:autoSpaceDN w:val="0"/>
        <w:adjustRightInd w:val="0"/>
        <w:ind w:left="720"/>
        <w:rPr>
          <w:noProof/>
        </w:rPr>
      </w:pPr>
      <w:r w:rsidRPr="00993B55">
        <w:rPr>
          <w:noProof/>
        </w:rPr>
        <w:t xml:space="preserve">Project Emissions Increase = </w:t>
      </w:r>
      <w:r w:rsidRPr="00993B55">
        <w:rPr>
          <w:rFonts w:ascii="AauxPro OT Regular" w:hAnsi="AauxPro OT Regular"/>
          <w:noProof/>
        </w:rPr>
        <w:t>∑</w:t>
      </w:r>
      <w:r w:rsidRPr="00993B55">
        <w:rPr>
          <w:noProof/>
        </w:rPr>
        <w:t>(PAE – BAE)</w:t>
      </w:r>
    </w:p>
    <w:p w14:paraId="197E1F18" w14:textId="77777777" w:rsidR="000177D5" w:rsidRPr="00993B55" w:rsidRDefault="000177D5" w:rsidP="007A60F3">
      <w:pPr>
        <w:widowControl w:val="0"/>
        <w:ind w:left="720"/>
        <w:rPr>
          <w:rFonts w:cs="Arial"/>
          <w:szCs w:val="24"/>
        </w:rPr>
      </w:pPr>
    </w:p>
    <w:p w14:paraId="167B93B1" w14:textId="77777777" w:rsidR="000177D5" w:rsidRPr="00993B55" w:rsidRDefault="000177D5" w:rsidP="007A60F3">
      <w:pPr>
        <w:widowControl w:val="0"/>
        <w:ind w:left="720"/>
      </w:pPr>
      <w:r w:rsidRPr="00993B55">
        <w:rPr>
          <w:noProof/>
        </w:rPr>
        <w:t xml:space="preserve">As described in 40 CFR 51.165(a)(1)(xxviii)(B), </w:t>
      </w:r>
      <w:r w:rsidRPr="00993B55">
        <w:t>when using historical data and company’s expected business activity to determine PAE, the portion of the emissions after the project that the existing unit could have accommodated (</w:t>
      </w:r>
      <w:r w:rsidRPr="00993B55">
        <w:rPr>
          <w:rFonts w:cs="Arial"/>
          <w:szCs w:val="24"/>
        </w:rPr>
        <w:t>Unused Baseline Capacity, UBC)</w:t>
      </w:r>
      <w:r w:rsidRPr="00993B55">
        <w:t xml:space="preserve"> before the project (during the same 24-month baseline period used to determine BAE) and that are unrelated to the particular project (including emissions increases due to product demand growth) are to be excluded.</w:t>
      </w:r>
    </w:p>
    <w:p w14:paraId="1DDDBB14" w14:textId="77777777" w:rsidR="000177D5" w:rsidRPr="00993B55" w:rsidRDefault="000177D5" w:rsidP="007A60F3">
      <w:pPr>
        <w:widowControl w:val="0"/>
        <w:ind w:left="720"/>
      </w:pPr>
    </w:p>
    <w:p w14:paraId="5E5EB692" w14:textId="2F28837C" w:rsidR="000177D5" w:rsidRPr="00993B55" w:rsidRDefault="000177D5" w:rsidP="007A60F3">
      <w:pPr>
        <w:widowControl w:val="0"/>
        <w:ind w:left="720"/>
      </w:pPr>
      <w:r w:rsidRPr="00993B55">
        <w:rPr>
          <w:noProof/>
        </w:rPr>
        <w:t>Otherwise, according to 40 CFR 51.165(a)(1)(xxvii</w:t>
      </w:r>
      <w:r w:rsidR="00E3687F">
        <w:rPr>
          <w:noProof/>
        </w:rPr>
        <w:t>i</w:t>
      </w:r>
      <w:r w:rsidRPr="00993B55">
        <w:rPr>
          <w:noProof/>
        </w:rPr>
        <w:t xml:space="preserve">)(B)(4), when determining PAE, in lieu of using the method described in 40 CFR 51.165 (a)(1)(xxviii)(B)(1)-(3), </w:t>
      </w:r>
      <w:r w:rsidRPr="00993B55">
        <w:rPr>
          <w:i/>
          <w:noProof/>
        </w:rPr>
        <w:t>Projected Actual Emissions</w:t>
      </w:r>
      <w:r w:rsidRPr="00993B55">
        <w:rPr>
          <w:noProof/>
        </w:rPr>
        <w:t>, the owner/operator may elect to use emissions unit’s Potential to Emit.  If</w:t>
      </w:r>
      <w:r w:rsidRPr="00993B55">
        <w:t xml:space="preserve"> appropriate projected actual emissions are not provided by the applicant, then the </w:t>
      </w:r>
      <w:r w:rsidRPr="00993B55">
        <w:rPr>
          <w:noProof/>
        </w:rPr>
        <w:t>emissions unit’s Potential to Emit</w:t>
      </w:r>
      <w:r w:rsidRPr="00993B55">
        <w:t xml:space="preserve"> is used to calculate the emissions increase.</w:t>
      </w:r>
    </w:p>
    <w:p w14:paraId="728EE3BD" w14:textId="77777777" w:rsidR="000177D5" w:rsidRPr="00993B55" w:rsidRDefault="000177D5" w:rsidP="007A60F3">
      <w:pPr>
        <w:widowControl w:val="0"/>
        <w:ind w:left="720"/>
      </w:pPr>
    </w:p>
    <w:p w14:paraId="6EC3CEA8" w14:textId="77777777" w:rsidR="000177D5" w:rsidRPr="00993B55" w:rsidRDefault="000177D5" w:rsidP="007A60F3">
      <w:pPr>
        <w:widowControl w:val="0"/>
        <w:ind w:left="720"/>
        <w:rPr>
          <w:color w:val="FF0000"/>
        </w:rPr>
      </w:pPr>
      <w:r w:rsidRPr="00993B55">
        <w:rPr>
          <w:color w:val="FF0000"/>
        </w:rPr>
        <w:t>Use the following IF project proponent has not provided information required to calculate PAE, otherwise delete</w:t>
      </w:r>
    </w:p>
    <w:p w14:paraId="68DBECC1" w14:textId="77777777" w:rsidR="000177D5" w:rsidRPr="00993B55" w:rsidRDefault="000177D5" w:rsidP="007A60F3">
      <w:pPr>
        <w:widowControl w:val="0"/>
        <w:ind w:left="720"/>
      </w:pPr>
      <w:r w:rsidRPr="00993B55">
        <w:t>Since the project proponent has not provided information required to calculate PAE, the District will use the PE2 to calculate the emissions increase:</w:t>
      </w:r>
    </w:p>
    <w:p w14:paraId="58168D57" w14:textId="77777777" w:rsidR="000177D5" w:rsidRPr="00993B55" w:rsidRDefault="000177D5" w:rsidP="007A60F3">
      <w:pPr>
        <w:widowControl w:val="0"/>
        <w:ind w:left="720"/>
      </w:pPr>
    </w:p>
    <w:p w14:paraId="74392BA7" w14:textId="77777777" w:rsidR="000177D5" w:rsidRPr="00993B55" w:rsidRDefault="000177D5" w:rsidP="007A60F3">
      <w:pPr>
        <w:pStyle w:val="BodyText"/>
        <w:widowControl w:val="0"/>
        <w:autoSpaceDE w:val="0"/>
        <w:autoSpaceDN w:val="0"/>
        <w:adjustRightInd w:val="0"/>
        <w:ind w:left="720"/>
        <w:rPr>
          <w:noProof/>
        </w:rPr>
      </w:pPr>
      <w:r w:rsidRPr="00993B55">
        <w:rPr>
          <w:noProof/>
        </w:rPr>
        <w:t xml:space="preserve">Project Emissions Increase = </w:t>
      </w:r>
      <w:r w:rsidRPr="00993B55">
        <w:rPr>
          <w:rFonts w:ascii="AauxPro OT Regular" w:hAnsi="AauxPro OT Regular"/>
          <w:noProof/>
        </w:rPr>
        <w:t>∑</w:t>
      </w:r>
      <w:r w:rsidRPr="00993B55">
        <w:rPr>
          <w:noProof/>
        </w:rPr>
        <w:t>(PE2 – BAE)</w:t>
      </w:r>
    </w:p>
    <w:p w14:paraId="504C98D5" w14:textId="77777777" w:rsidR="000177D5" w:rsidRPr="00993B55" w:rsidRDefault="000177D5" w:rsidP="007A60F3">
      <w:pPr>
        <w:pStyle w:val="BodyText"/>
        <w:widowControl w:val="0"/>
        <w:autoSpaceDE w:val="0"/>
        <w:autoSpaceDN w:val="0"/>
        <w:adjustRightInd w:val="0"/>
        <w:ind w:left="720"/>
        <w:rPr>
          <w:noProof/>
        </w:rPr>
      </w:pPr>
    </w:p>
    <w:p w14:paraId="25900443" w14:textId="77777777" w:rsidR="000177D5" w:rsidRPr="00993B55" w:rsidRDefault="000177D5" w:rsidP="007A60F3">
      <w:pPr>
        <w:widowControl w:val="0"/>
        <w:ind w:left="720"/>
        <w:rPr>
          <w:color w:val="FF0000"/>
        </w:rPr>
      </w:pPr>
      <w:r w:rsidRPr="00993B55">
        <w:rPr>
          <w:color w:val="FF0000"/>
        </w:rPr>
        <w:t>Use the following IF project proponent has provided information required to calculate PAE, otherwise delete</w:t>
      </w:r>
    </w:p>
    <w:p w14:paraId="6D4F90F2" w14:textId="77777777" w:rsidR="00042509" w:rsidRDefault="00042509" w:rsidP="007A60F3">
      <w:pPr>
        <w:widowControl w:val="0"/>
        <w:ind w:left="720"/>
      </w:pPr>
    </w:p>
    <w:p w14:paraId="210052DC" w14:textId="03451347" w:rsidR="000177D5" w:rsidRPr="00993B55" w:rsidRDefault="000177D5" w:rsidP="007A60F3">
      <w:pPr>
        <w:widowControl w:val="0"/>
        <w:ind w:left="720"/>
      </w:pPr>
      <w:r w:rsidRPr="00993B55">
        <w:t xml:space="preserve">Since the project proponent has provided </w:t>
      </w:r>
      <w:r w:rsidRPr="00993B55">
        <w:rPr>
          <w:rFonts w:cs="Arial"/>
          <w:szCs w:val="24"/>
        </w:rPr>
        <w:t>the required historical and projected operation data (</w:t>
      </w:r>
      <w:r w:rsidRPr="00993B55">
        <w:rPr>
          <w:rFonts w:cs="Arial"/>
          <w:color w:val="0000FF"/>
          <w:szCs w:val="24"/>
        </w:rPr>
        <w:t>see Appendix XXX</w:t>
      </w:r>
      <w:r w:rsidRPr="00993B55">
        <w:rPr>
          <w:rFonts w:cs="Arial"/>
          <w:szCs w:val="24"/>
        </w:rPr>
        <w:t xml:space="preserve">) </w:t>
      </w:r>
      <w:r w:rsidRPr="00993B55">
        <w:t>required to calculate PAE, the project emissions increase will be calculated as follows:</w:t>
      </w:r>
    </w:p>
    <w:p w14:paraId="24779791" w14:textId="77777777" w:rsidR="000177D5" w:rsidRPr="00993B55" w:rsidRDefault="000177D5" w:rsidP="007A60F3">
      <w:pPr>
        <w:widowControl w:val="0"/>
        <w:ind w:left="720"/>
      </w:pPr>
    </w:p>
    <w:p w14:paraId="1AFE60C2" w14:textId="77777777" w:rsidR="000177D5" w:rsidRPr="00993B55" w:rsidRDefault="000177D5" w:rsidP="007A60F3">
      <w:pPr>
        <w:widowControl w:val="0"/>
        <w:ind w:left="720"/>
        <w:rPr>
          <w:rFonts w:cs="Arial"/>
          <w:szCs w:val="24"/>
        </w:rPr>
      </w:pPr>
      <w:r w:rsidRPr="00993B55">
        <w:rPr>
          <w:rFonts w:cs="Arial"/>
          <w:szCs w:val="24"/>
        </w:rPr>
        <w:t>Project Emissions Increase = PAE – BAE – UBC</w:t>
      </w:r>
    </w:p>
    <w:p w14:paraId="2BD2A61B" w14:textId="77777777" w:rsidR="000177D5" w:rsidRPr="00993B55" w:rsidRDefault="000177D5" w:rsidP="007A60F3">
      <w:pPr>
        <w:widowControl w:val="0"/>
        <w:ind w:left="720"/>
        <w:rPr>
          <w:rFonts w:cs="Arial"/>
          <w:szCs w:val="24"/>
        </w:rPr>
      </w:pPr>
    </w:p>
    <w:p w14:paraId="4B3B130E" w14:textId="75BC10F4" w:rsidR="000177D5" w:rsidRPr="00993B55" w:rsidRDefault="000177D5" w:rsidP="007A60F3">
      <w:pPr>
        <w:widowControl w:val="0"/>
        <w:ind w:left="720"/>
        <w:rPr>
          <w:rFonts w:cs="Arial"/>
          <w:szCs w:val="24"/>
        </w:rPr>
      </w:pPr>
      <w:r w:rsidRPr="00993B55">
        <w:rPr>
          <w:rFonts w:cs="Arial"/>
          <w:szCs w:val="24"/>
        </w:rPr>
        <w:t>Where:</w:t>
      </w:r>
      <w:r w:rsidRPr="00993B55">
        <w:rPr>
          <w:rFonts w:cs="Arial"/>
          <w:szCs w:val="24"/>
        </w:rPr>
        <w:tab/>
        <w:t>PAE = Projected Actual Emissions, and</w:t>
      </w:r>
    </w:p>
    <w:p w14:paraId="3456D13C" w14:textId="77777777" w:rsidR="000177D5" w:rsidRPr="00993B55" w:rsidRDefault="000177D5" w:rsidP="007A60F3">
      <w:pPr>
        <w:widowControl w:val="0"/>
        <w:ind w:left="720"/>
        <w:rPr>
          <w:rFonts w:cs="Arial"/>
          <w:szCs w:val="24"/>
        </w:rPr>
      </w:pPr>
      <w:r w:rsidRPr="00993B55">
        <w:rPr>
          <w:rFonts w:cs="Arial"/>
          <w:szCs w:val="24"/>
        </w:rPr>
        <w:tab/>
      </w:r>
      <w:r w:rsidRPr="00993B55">
        <w:rPr>
          <w:rFonts w:cs="Arial"/>
          <w:szCs w:val="24"/>
        </w:rPr>
        <w:tab/>
      </w:r>
      <w:r w:rsidRPr="00993B55">
        <w:rPr>
          <w:rFonts w:cs="Arial"/>
          <w:szCs w:val="24"/>
        </w:rPr>
        <w:tab/>
        <w:t>BAE = Baseline Actual Emissions</w:t>
      </w:r>
    </w:p>
    <w:p w14:paraId="01A5B9C7" w14:textId="77777777" w:rsidR="000177D5" w:rsidRPr="00993B55" w:rsidRDefault="000177D5" w:rsidP="007A60F3">
      <w:pPr>
        <w:widowControl w:val="0"/>
        <w:ind w:left="720"/>
        <w:rPr>
          <w:rFonts w:cs="Arial"/>
          <w:szCs w:val="24"/>
        </w:rPr>
      </w:pPr>
      <w:r w:rsidRPr="00993B55">
        <w:rPr>
          <w:rFonts w:cs="Arial"/>
          <w:szCs w:val="24"/>
        </w:rPr>
        <w:tab/>
      </w:r>
      <w:r w:rsidRPr="00993B55">
        <w:rPr>
          <w:rFonts w:cs="Arial"/>
          <w:szCs w:val="24"/>
        </w:rPr>
        <w:tab/>
      </w:r>
      <w:r w:rsidRPr="00993B55">
        <w:rPr>
          <w:rFonts w:cs="Arial"/>
          <w:szCs w:val="24"/>
        </w:rPr>
        <w:tab/>
        <w:t>UBC = Unused baseline capacity</w:t>
      </w:r>
    </w:p>
    <w:p w14:paraId="4DD4A5A3" w14:textId="77777777" w:rsidR="000177D5" w:rsidRPr="00993B55" w:rsidRDefault="000177D5" w:rsidP="007A60F3">
      <w:pPr>
        <w:widowControl w:val="0"/>
        <w:ind w:left="720"/>
        <w:rPr>
          <w:rFonts w:cs="Arial"/>
          <w:szCs w:val="24"/>
        </w:rPr>
      </w:pPr>
    </w:p>
    <w:p w14:paraId="71E34DB5" w14:textId="77777777" w:rsidR="000177D5" w:rsidRPr="00993B55" w:rsidRDefault="000177D5" w:rsidP="007A60F3">
      <w:pPr>
        <w:widowControl w:val="0"/>
        <w:autoSpaceDE w:val="0"/>
        <w:autoSpaceDN w:val="0"/>
        <w:adjustRightInd w:val="0"/>
        <w:ind w:left="720"/>
        <w:rPr>
          <w:rFonts w:cs="Arial"/>
          <w:u w:val="single"/>
        </w:rPr>
      </w:pPr>
      <w:r w:rsidRPr="00993B55">
        <w:rPr>
          <w:rFonts w:cs="Arial"/>
          <w:u w:val="single"/>
        </w:rPr>
        <w:t>Projected Actual Emissions (PAE)</w:t>
      </w:r>
    </w:p>
    <w:p w14:paraId="382908D9" w14:textId="77777777" w:rsidR="000177D5" w:rsidRPr="00993B55" w:rsidRDefault="000177D5" w:rsidP="007A60F3">
      <w:pPr>
        <w:widowControl w:val="0"/>
        <w:ind w:left="720"/>
        <w:rPr>
          <w:rFonts w:cs="Arial"/>
          <w:szCs w:val="24"/>
        </w:rPr>
      </w:pPr>
    </w:p>
    <w:p w14:paraId="19453C7C" w14:textId="77777777" w:rsidR="000177D5" w:rsidRPr="00993B55" w:rsidRDefault="000177D5" w:rsidP="007A60F3">
      <w:pPr>
        <w:widowControl w:val="0"/>
        <w:ind w:left="720"/>
        <w:rPr>
          <w:rFonts w:cs="Arial"/>
          <w:color w:val="FF0000"/>
          <w:szCs w:val="24"/>
        </w:rPr>
      </w:pPr>
      <w:r w:rsidRPr="00993B55">
        <w:rPr>
          <w:b/>
          <w:color w:val="FF0000"/>
        </w:rPr>
        <w:t>The applicant must estimate the projected actual emissions (PAE) based on all information relevant to the emission unit(s):  historical data, company’s expected business activity, and highest projections of business).</w:t>
      </w:r>
    </w:p>
    <w:p w14:paraId="102E17BF" w14:textId="77777777" w:rsidR="000177D5" w:rsidRPr="00993B55" w:rsidRDefault="000177D5" w:rsidP="007A60F3">
      <w:pPr>
        <w:widowControl w:val="0"/>
        <w:ind w:left="720"/>
        <w:rPr>
          <w:rFonts w:cs="Arial"/>
          <w:color w:val="FF0000"/>
          <w:szCs w:val="24"/>
        </w:rPr>
      </w:pPr>
    </w:p>
    <w:p w14:paraId="5351C4CA" w14:textId="77777777" w:rsidR="000177D5" w:rsidRPr="00993B55" w:rsidRDefault="000177D5" w:rsidP="007A60F3">
      <w:pPr>
        <w:widowControl w:val="0"/>
        <w:ind w:left="720"/>
        <w:rPr>
          <w:rFonts w:cs="Arial"/>
          <w:color w:val="FF0000"/>
          <w:szCs w:val="24"/>
        </w:rPr>
      </w:pPr>
      <w:r w:rsidRPr="00993B55">
        <w:rPr>
          <w:rFonts w:cs="Arial"/>
          <w:color w:val="FF0000"/>
          <w:szCs w:val="24"/>
        </w:rPr>
        <w:t>If there is no increase in design capacity or potential to emit, the PAE is equal to the annual emission rate at which the unit is projected to emit in any one year, selected by the operator, within 5 years after the unit resumes normal operation (10 years for existing units with an increase in design capacity or potential to emit).  If detailed PAE are not provided, the PAE is equal to the PE2 for each permit unit.</w:t>
      </w:r>
    </w:p>
    <w:p w14:paraId="02F76163" w14:textId="77777777" w:rsidR="000177D5" w:rsidRPr="00993B55" w:rsidRDefault="000177D5" w:rsidP="007A60F3">
      <w:pPr>
        <w:widowControl w:val="0"/>
        <w:ind w:left="720"/>
        <w:rPr>
          <w:rFonts w:cs="Arial"/>
          <w:color w:val="FF0000"/>
          <w:szCs w:val="24"/>
        </w:rPr>
      </w:pPr>
    </w:p>
    <w:p w14:paraId="675FCAEF" w14:textId="27F0FE81" w:rsidR="000177D5" w:rsidRPr="00993B55" w:rsidRDefault="000177D5" w:rsidP="007A60F3">
      <w:pPr>
        <w:pStyle w:val="Default"/>
        <w:widowControl w:val="0"/>
        <w:ind w:left="720"/>
        <w:jc w:val="both"/>
        <w:rPr>
          <w:color w:val="FF0000"/>
          <w:szCs w:val="23"/>
        </w:rPr>
      </w:pPr>
      <w:r w:rsidRPr="00993B55">
        <w:rPr>
          <w:color w:val="FF0000"/>
        </w:rPr>
        <w:t>Either determine PAE in this section by fully describing all relevant information, referring to project proponent/facility’s information, describing all calculations   OR   include the discussion and calculations in Appendix XXX.</w:t>
      </w:r>
    </w:p>
    <w:p w14:paraId="60F926F7" w14:textId="77777777" w:rsidR="000177D5" w:rsidRPr="00993B55" w:rsidRDefault="000177D5" w:rsidP="007A60F3">
      <w:pPr>
        <w:widowControl w:val="0"/>
        <w:ind w:left="720"/>
        <w:rPr>
          <w:rFonts w:cs="Arial"/>
          <w:color w:val="000000"/>
          <w:spacing w:val="-3"/>
        </w:rPr>
      </w:pPr>
    </w:p>
    <w:p w14:paraId="528CA845" w14:textId="77777777" w:rsidR="000177D5" w:rsidRPr="00993B55" w:rsidRDefault="000177D5" w:rsidP="007A60F3">
      <w:pPr>
        <w:pStyle w:val="Default"/>
        <w:widowControl w:val="0"/>
        <w:ind w:left="720"/>
        <w:jc w:val="both"/>
        <w:rPr>
          <w:u w:val="single"/>
        </w:rPr>
      </w:pPr>
      <w:r w:rsidRPr="00993B55">
        <w:rPr>
          <w:u w:val="single"/>
        </w:rPr>
        <w:t>Baseline Actual Emissions (BAE)</w:t>
      </w:r>
    </w:p>
    <w:p w14:paraId="79203E86" w14:textId="77777777" w:rsidR="000177D5" w:rsidRPr="00993B55" w:rsidRDefault="000177D5" w:rsidP="007A60F3">
      <w:pPr>
        <w:pStyle w:val="Default"/>
        <w:widowControl w:val="0"/>
        <w:ind w:left="720"/>
        <w:jc w:val="both"/>
      </w:pPr>
    </w:p>
    <w:p w14:paraId="650B8440" w14:textId="0DBCAA9A" w:rsidR="000177D5" w:rsidRPr="00993B55" w:rsidRDefault="000177D5" w:rsidP="007A60F3">
      <w:pPr>
        <w:pStyle w:val="Default"/>
        <w:widowControl w:val="0"/>
        <w:ind w:left="720"/>
        <w:jc w:val="both"/>
        <w:rPr>
          <w:color w:val="FF0000"/>
          <w:szCs w:val="23"/>
        </w:rPr>
      </w:pPr>
      <w:r w:rsidRPr="00993B55">
        <w:rPr>
          <w:color w:val="FF0000"/>
          <w:szCs w:val="23"/>
        </w:rPr>
        <w:t xml:space="preserve">BAE are calculated as the average, in tons/year, </w:t>
      </w:r>
      <w:r w:rsidRPr="00993B55">
        <w:rPr>
          <w:color w:val="FF0000"/>
        </w:rPr>
        <w:t>at which the emissions unit actually emitted during any 24</w:t>
      </w:r>
      <w:r w:rsidRPr="00993B55">
        <w:rPr>
          <w:noProof/>
          <w:color w:val="FF0000"/>
        </w:rPr>
        <w:t>-</w:t>
      </w:r>
      <w:r w:rsidRPr="00993B55">
        <w:rPr>
          <w:color w:val="FF0000"/>
        </w:rPr>
        <w:t>month period selected by the operator within the previous 10</w:t>
      </w:r>
      <w:r w:rsidRPr="00993B55">
        <w:rPr>
          <w:noProof/>
          <w:color w:val="FF0000"/>
        </w:rPr>
        <w:t>-</w:t>
      </w:r>
      <w:r w:rsidRPr="00993B55">
        <w:rPr>
          <w:color w:val="FF0000"/>
        </w:rPr>
        <w:t>year period</w:t>
      </w:r>
      <w:r w:rsidRPr="00993B55">
        <w:rPr>
          <w:color w:val="FF0000"/>
          <w:szCs w:val="23"/>
        </w:rPr>
        <w:t xml:space="preserve"> (5 years for electric utility steam generating units).</w:t>
      </w:r>
    </w:p>
    <w:p w14:paraId="05DD88E9" w14:textId="77777777" w:rsidR="000177D5" w:rsidRPr="00993B55" w:rsidRDefault="000177D5" w:rsidP="007A60F3">
      <w:pPr>
        <w:pStyle w:val="Default"/>
        <w:widowControl w:val="0"/>
        <w:ind w:left="720"/>
        <w:jc w:val="both"/>
        <w:rPr>
          <w:color w:val="FF0000"/>
          <w:szCs w:val="23"/>
        </w:rPr>
      </w:pPr>
    </w:p>
    <w:p w14:paraId="1ED9F736" w14:textId="19E98CA5" w:rsidR="000177D5" w:rsidRPr="00993B55" w:rsidRDefault="000177D5" w:rsidP="007A60F3">
      <w:pPr>
        <w:pStyle w:val="Default"/>
        <w:widowControl w:val="0"/>
        <w:ind w:left="720"/>
        <w:jc w:val="both"/>
        <w:rPr>
          <w:color w:val="FF0000"/>
          <w:szCs w:val="23"/>
        </w:rPr>
      </w:pPr>
      <w:r w:rsidRPr="00993B55">
        <w:rPr>
          <w:color w:val="FF0000"/>
          <w:szCs w:val="23"/>
        </w:rPr>
        <w:t>BAE must be adjusted to</w:t>
      </w:r>
    </w:p>
    <w:p w14:paraId="2AED9EAC" w14:textId="77777777" w:rsidR="000177D5" w:rsidRPr="00993B55" w:rsidRDefault="000177D5" w:rsidP="007A60F3">
      <w:pPr>
        <w:pStyle w:val="Default"/>
        <w:widowControl w:val="0"/>
        <w:numPr>
          <w:ilvl w:val="0"/>
          <w:numId w:val="39"/>
        </w:numPr>
        <w:ind w:left="1440"/>
        <w:jc w:val="both"/>
        <w:rPr>
          <w:color w:val="FF0000"/>
          <w:szCs w:val="23"/>
        </w:rPr>
      </w:pPr>
      <w:r w:rsidRPr="00993B55">
        <w:rPr>
          <w:color w:val="FF0000"/>
          <w:szCs w:val="23"/>
        </w:rPr>
        <w:t>Include fugitive emissions associated with startups, shutdowns, and malfunctions,</w:t>
      </w:r>
    </w:p>
    <w:p w14:paraId="78ECEDF8" w14:textId="77777777" w:rsidR="000177D5" w:rsidRPr="00993B55" w:rsidRDefault="000177D5" w:rsidP="007A60F3">
      <w:pPr>
        <w:pStyle w:val="Default"/>
        <w:widowControl w:val="0"/>
        <w:numPr>
          <w:ilvl w:val="0"/>
          <w:numId w:val="39"/>
        </w:numPr>
        <w:ind w:left="1440"/>
        <w:jc w:val="both"/>
        <w:rPr>
          <w:color w:val="FF0000"/>
          <w:szCs w:val="23"/>
        </w:rPr>
      </w:pPr>
      <w:r w:rsidRPr="00993B55">
        <w:rPr>
          <w:color w:val="FF0000"/>
          <w:szCs w:val="23"/>
        </w:rPr>
        <w:t>Exclude any non-compliant operation emissions.</w:t>
      </w:r>
    </w:p>
    <w:p w14:paraId="347239DB" w14:textId="77777777" w:rsidR="000177D5" w:rsidRPr="00993B55" w:rsidRDefault="000177D5" w:rsidP="007A60F3">
      <w:pPr>
        <w:pStyle w:val="Default"/>
        <w:widowControl w:val="0"/>
        <w:ind w:left="720"/>
        <w:jc w:val="both"/>
        <w:rPr>
          <w:color w:val="FF0000"/>
          <w:szCs w:val="23"/>
        </w:rPr>
      </w:pPr>
    </w:p>
    <w:p w14:paraId="1D225CA7" w14:textId="2FC56059" w:rsidR="000177D5" w:rsidRPr="00993B55" w:rsidRDefault="000177D5" w:rsidP="007A60F3">
      <w:pPr>
        <w:pStyle w:val="Default"/>
        <w:widowControl w:val="0"/>
        <w:ind w:left="720"/>
        <w:jc w:val="both"/>
        <w:rPr>
          <w:color w:val="FF0000"/>
          <w:szCs w:val="23"/>
        </w:rPr>
      </w:pPr>
      <w:r w:rsidRPr="00993B55">
        <w:rPr>
          <w:color w:val="FF0000"/>
          <w:szCs w:val="23"/>
        </w:rPr>
        <w:t xml:space="preserve">When a </w:t>
      </w:r>
      <w:hyperlink r:id="rId17" w:history="1">
        <w:r w:rsidRPr="00993B55">
          <w:rPr>
            <w:rStyle w:val="Hyperlink"/>
            <w:color w:val="FF0000"/>
            <w:szCs w:val="23"/>
            <w:u w:val="none"/>
          </w:rPr>
          <w:t>project</w:t>
        </w:r>
      </w:hyperlink>
      <w:r w:rsidRPr="00993B55">
        <w:rPr>
          <w:color w:val="FF0000"/>
          <w:szCs w:val="23"/>
        </w:rPr>
        <w:t xml:space="preserve"> involves multiple emissions units, for a specific </w:t>
      </w:r>
      <w:hyperlink r:id="rId18" w:history="1">
        <w:r w:rsidRPr="00993B55">
          <w:rPr>
            <w:color w:val="FF0000"/>
            <w:szCs w:val="23"/>
          </w:rPr>
          <w:t>regulated NSR pollutant</w:t>
        </w:r>
      </w:hyperlink>
      <w:r w:rsidRPr="00993B55">
        <w:rPr>
          <w:color w:val="FF0000"/>
          <w:szCs w:val="23"/>
        </w:rPr>
        <w:t xml:space="preserve">, </w:t>
      </w:r>
      <w:r w:rsidRPr="00993B55">
        <w:rPr>
          <w:b/>
          <w:color w:val="FF0000"/>
          <w:szCs w:val="23"/>
        </w:rPr>
        <w:t>only one consecutive 24-month period</w:t>
      </w:r>
      <w:r w:rsidRPr="00993B55">
        <w:rPr>
          <w:color w:val="FF0000"/>
          <w:szCs w:val="23"/>
        </w:rPr>
        <w:t xml:space="preserve"> must be used to determine the </w:t>
      </w:r>
      <w:hyperlink r:id="rId19" w:history="1">
        <w:r w:rsidRPr="00993B55">
          <w:rPr>
            <w:rStyle w:val="Hyperlink"/>
            <w:color w:val="FF0000"/>
            <w:szCs w:val="23"/>
            <w:u w:val="none"/>
          </w:rPr>
          <w:t>baseline actual emissions</w:t>
        </w:r>
      </w:hyperlink>
      <w:r w:rsidRPr="00993B55">
        <w:rPr>
          <w:color w:val="FF0000"/>
          <w:szCs w:val="23"/>
        </w:rPr>
        <w:t xml:space="preserve"> for all modified emissions </w:t>
      </w:r>
      <w:hyperlink r:id="rId20" w:history="1">
        <w:r w:rsidRPr="00993B55">
          <w:rPr>
            <w:color w:val="FF0000"/>
            <w:szCs w:val="23"/>
          </w:rPr>
          <w:t>units</w:t>
        </w:r>
      </w:hyperlink>
      <w:r w:rsidRPr="00993B55">
        <w:rPr>
          <w:color w:val="FF0000"/>
          <w:szCs w:val="23"/>
        </w:rPr>
        <w:t>.</w:t>
      </w:r>
    </w:p>
    <w:p w14:paraId="4A494131" w14:textId="77777777" w:rsidR="000177D5" w:rsidRPr="00993B55" w:rsidRDefault="000177D5" w:rsidP="007A60F3">
      <w:pPr>
        <w:pStyle w:val="Default"/>
        <w:widowControl w:val="0"/>
        <w:ind w:left="720"/>
        <w:jc w:val="both"/>
        <w:rPr>
          <w:color w:val="FF0000"/>
          <w:szCs w:val="23"/>
        </w:rPr>
      </w:pPr>
    </w:p>
    <w:p w14:paraId="7756DC6C" w14:textId="77777777" w:rsidR="000177D5" w:rsidRPr="00993B55" w:rsidRDefault="000177D5" w:rsidP="007A60F3">
      <w:pPr>
        <w:pStyle w:val="Default"/>
        <w:widowControl w:val="0"/>
        <w:ind w:left="720"/>
        <w:jc w:val="both"/>
        <w:rPr>
          <w:color w:val="FF0000"/>
          <w:szCs w:val="23"/>
        </w:rPr>
      </w:pPr>
      <w:r w:rsidRPr="00993B55">
        <w:rPr>
          <w:color w:val="FF0000"/>
          <w:szCs w:val="23"/>
        </w:rPr>
        <w:t xml:space="preserve">A different consecutive 24-month period can be used for each </w:t>
      </w:r>
      <w:hyperlink r:id="rId21" w:history="1">
        <w:r w:rsidRPr="00993B55">
          <w:rPr>
            <w:rStyle w:val="Hyperlink"/>
            <w:color w:val="FF0000"/>
            <w:szCs w:val="23"/>
            <w:u w:val="none"/>
          </w:rPr>
          <w:t>regulated NSR pollutant</w:t>
        </w:r>
      </w:hyperlink>
      <w:r w:rsidRPr="00993B55">
        <w:rPr>
          <w:b/>
          <w:color w:val="FF0000"/>
          <w:szCs w:val="23"/>
        </w:rPr>
        <w:t>.</w:t>
      </w:r>
    </w:p>
    <w:p w14:paraId="5A532374" w14:textId="77777777" w:rsidR="000177D5" w:rsidRPr="00993B55" w:rsidRDefault="000177D5" w:rsidP="007A60F3">
      <w:pPr>
        <w:pStyle w:val="Default"/>
        <w:widowControl w:val="0"/>
        <w:ind w:left="720"/>
        <w:jc w:val="both"/>
        <w:rPr>
          <w:color w:val="auto"/>
          <w:szCs w:val="23"/>
        </w:rPr>
      </w:pPr>
    </w:p>
    <w:p w14:paraId="4283FBAC" w14:textId="77777777" w:rsidR="000177D5" w:rsidRPr="00993B55" w:rsidRDefault="000177D5" w:rsidP="007A60F3">
      <w:pPr>
        <w:pStyle w:val="Default"/>
        <w:widowControl w:val="0"/>
        <w:ind w:left="720"/>
        <w:jc w:val="both"/>
        <w:rPr>
          <w:color w:val="auto"/>
          <w:szCs w:val="23"/>
        </w:rPr>
      </w:pPr>
      <w:r w:rsidRPr="00993B55">
        <w:t xml:space="preserve">For emission units (other than electric utility steam generating units), according to </w:t>
      </w:r>
      <w:r w:rsidRPr="00993B55">
        <w:rPr>
          <w:noProof/>
        </w:rPr>
        <w:t xml:space="preserve">according to 40 CFR 51.165(a)(1)(xxxv)(B), </w:t>
      </w:r>
      <w:r w:rsidRPr="00993B55">
        <w:t>the BAE are calculated as the average, in tons/year, at which the emissions unit actually emitted during any 24</w:t>
      </w:r>
      <w:r w:rsidRPr="00993B55">
        <w:rPr>
          <w:noProof/>
        </w:rPr>
        <w:t>-</w:t>
      </w:r>
      <w:r w:rsidRPr="00993B55">
        <w:t>month period selected by the operator within the previous 10</w:t>
      </w:r>
      <w:r w:rsidRPr="00993B55">
        <w:rPr>
          <w:noProof/>
        </w:rPr>
        <w:t>-</w:t>
      </w:r>
      <w:r w:rsidRPr="00993B55">
        <w:t>year period.</w:t>
      </w:r>
    </w:p>
    <w:p w14:paraId="5C5AC9DA" w14:textId="77777777" w:rsidR="000177D5" w:rsidRPr="00993B55" w:rsidRDefault="000177D5" w:rsidP="007A60F3">
      <w:pPr>
        <w:pStyle w:val="Default"/>
        <w:widowControl w:val="0"/>
        <w:ind w:left="720"/>
        <w:jc w:val="both"/>
        <w:rPr>
          <w:color w:val="auto"/>
          <w:szCs w:val="23"/>
        </w:rPr>
      </w:pPr>
    </w:p>
    <w:p w14:paraId="21FE9E44" w14:textId="77777777" w:rsidR="000177D5" w:rsidRPr="00993B55" w:rsidRDefault="000177D5" w:rsidP="007A60F3">
      <w:pPr>
        <w:pStyle w:val="Default"/>
        <w:widowControl w:val="0"/>
        <w:ind w:left="720"/>
        <w:jc w:val="both"/>
      </w:pPr>
      <w:r w:rsidRPr="00993B55">
        <w:rPr>
          <w:color w:val="FF0000"/>
        </w:rPr>
        <w:lastRenderedPageBreak/>
        <w:t>OR</w:t>
      </w:r>
    </w:p>
    <w:p w14:paraId="400A6A06" w14:textId="77777777" w:rsidR="000177D5" w:rsidRPr="00993B55" w:rsidRDefault="000177D5" w:rsidP="007A60F3">
      <w:pPr>
        <w:pStyle w:val="Default"/>
        <w:widowControl w:val="0"/>
        <w:ind w:left="720"/>
        <w:jc w:val="both"/>
        <w:rPr>
          <w:color w:val="auto"/>
          <w:szCs w:val="23"/>
        </w:rPr>
      </w:pPr>
      <w:r w:rsidRPr="00993B55">
        <w:t xml:space="preserve">For electric utility steam generating units, according to </w:t>
      </w:r>
      <w:r w:rsidRPr="00993B55">
        <w:rPr>
          <w:noProof/>
        </w:rPr>
        <w:t xml:space="preserve">according to 40 CFR 51.165(a)(1)(xxxv)(B), </w:t>
      </w:r>
      <w:r w:rsidRPr="00993B55">
        <w:t>the BAE are calculated as the average, in tons/year, at which the emissions unit actually emitted during any 24</w:t>
      </w:r>
      <w:r w:rsidRPr="00993B55">
        <w:rPr>
          <w:noProof/>
        </w:rPr>
        <w:t>-</w:t>
      </w:r>
      <w:r w:rsidRPr="00993B55">
        <w:t>month period selected by the operator within the previous 5</w:t>
      </w:r>
      <w:r w:rsidRPr="00993B55">
        <w:rPr>
          <w:noProof/>
        </w:rPr>
        <w:t>-</w:t>
      </w:r>
      <w:r w:rsidRPr="00993B55">
        <w:t>year period.</w:t>
      </w:r>
    </w:p>
    <w:p w14:paraId="6A92416B" w14:textId="77777777" w:rsidR="000177D5" w:rsidRPr="00993B55" w:rsidRDefault="000177D5" w:rsidP="007A60F3">
      <w:pPr>
        <w:widowControl w:val="0"/>
        <w:ind w:left="720"/>
        <w:rPr>
          <w:rFonts w:cs="Arial"/>
          <w:color w:val="000000"/>
          <w:spacing w:val="-3"/>
        </w:rPr>
      </w:pPr>
    </w:p>
    <w:p w14:paraId="07E48C87" w14:textId="77777777" w:rsidR="000177D5" w:rsidRPr="00993B55" w:rsidRDefault="000177D5" w:rsidP="007A60F3">
      <w:pPr>
        <w:widowControl w:val="0"/>
        <w:ind w:left="720"/>
        <w:rPr>
          <w:color w:val="FF0000"/>
          <w:szCs w:val="23"/>
        </w:rPr>
      </w:pPr>
      <w:r w:rsidRPr="00993B55">
        <w:rPr>
          <w:rFonts w:cs="Arial"/>
          <w:color w:val="FF0000"/>
          <w:szCs w:val="24"/>
        </w:rPr>
        <w:t xml:space="preserve">Please note: 1 baseline period only </w:t>
      </w:r>
      <w:r w:rsidRPr="00993B55">
        <w:rPr>
          <w:color w:val="FF0000"/>
          <w:szCs w:val="23"/>
        </w:rPr>
        <w:t xml:space="preserve">for a specific </w:t>
      </w:r>
      <w:hyperlink r:id="rId22" w:history="1">
        <w:r w:rsidRPr="00993B55">
          <w:rPr>
            <w:color w:val="FF0000"/>
            <w:szCs w:val="23"/>
          </w:rPr>
          <w:t>regulated NSR pollutant</w:t>
        </w:r>
      </w:hyperlink>
      <w:r w:rsidRPr="00993B55">
        <w:rPr>
          <w:color w:val="FF0000"/>
          <w:szCs w:val="23"/>
        </w:rPr>
        <w:t xml:space="preserve"> </w:t>
      </w:r>
      <w:r w:rsidRPr="00993B55">
        <w:rPr>
          <w:rFonts w:cs="Arial"/>
          <w:color w:val="FF0000"/>
          <w:szCs w:val="24"/>
        </w:rPr>
        <w:t xml:space="preserve">for </w:t>
      </w:r>
      <w:r w:rsidRPr="00993B55">
        <w:rPr>
          <w:color w:val="FF0000"/>
          <w:szCs w:val="23"/>
        </w:rPr>
        <w:t xml:space="preserve">modified emissions </w:t>
      </w:r>
      <w:hyperlink r:id="rId23" w:history="1">
        <w:r w:rsidRPr="00993B55">
          <w:rPr>
            <w:color w:val="FF0000"/>
            <w:szCs w:val="23"/>
          </w:rPr>
          <w:t>units</w:t>
        </w:r>
      </w:hyperlink>
      <w:r w:rsidRPr="00993B55">
        <w:rPr>
          <w:color w:val="FF0000"/>
          <w:szCs w:val="23"/>
        </w:rPr>
        <w:t xml:space="preserve">. A different consecutive 24-month period can be used for each </w:t>
      </w:r>
      <w:hyperlink r:id="rId24" w:history="1">
        <w:r w:rsidRPr="00993B55">
          <w:rPr>
            <w:rStyle w:val="Hyperlink"/>
            <w:color w:val="FF0000"/>
            <w:szCs w:val="23"/>
            <w:u w:val="none"/>
          </w:rPr>
          <w:t>regulated NSR pollutant</w:t>
        </w:r>
      </w:hyperlink>
      <w:r w:rsidRPr="00993B55">
        <w:rPr>
          <w:color w:val="FF0000"/>
          <w:szCs w:val="23"/>
        </w:rPr>
        <w:t>.</w:t>
      </w:r>
    </w:p>
    <w:p w14:paraId="65EFC4AC" w14:textId="77777777" w:rsidR="000177D5" w:rsidRPr="00993B55" w:rsidRDefault="000177D5" w:rsidP="007A60F3">
      <w:pPr>
        <w:widowControl w:val="0"/>
        <w:ind w:left="720"/>
        <w:rPr>
          <w:color w:val="FF0000"/>
          <w:szCs w:val="23"/>
        </w:rPr>
      </w:pPr>
    </w:p>
    <w:p w14:paraId="3A58EC14" w14:textId="3DA76D17" w:rsidR="000177D5" w:rsidRPr="00993B55" w:rsidRDefault="000177D5" w:rsidP="007A60F3">
      <w:pPr>
        <w:pStyle w:val="Default"/>
        <w:widowControl w:val="0"/>
        <w:ind w:left="720"/>
        <w:jc w:val="both"/>
        <w:rPr>
          <w:color w:val="FF0000"/>
          <w:szCs w:val="23"/>
        </w:rPr>
      </w:pPr>
      <w:r w:rsidRPr="00993B55">
        <w:rPr>
          <w:color w:val="FF0000"/>
        </w:rPr>
        <w:t>Either determine BAE in this section by fully describing all relevant information, referring to project proponent/facility’s information, describing all calculations   OR   include the discussion and calculations in Appendix XXX.</w:t>
      </w:r>
    </w:p>
    <w:p w14:paraId="00657CD5" w14:textId="77777777" w:rsidR="000177D5" w:rsidRPr="00993B55" w:rsidRDefault="000177D5" w:rsidP="007A60F3">
      <w:pPr>
        <w:pStyle w:val="Default"/>
        <w:widowControl w:val="0"/>
        <w:ind w:left="720"/>
        <w:jc w:val="both"/>
        <w:rPr>
          <w:color w:val="auto"/>
          <w:szCs w:val="23"/>
        </w:rPr>
      </w:pPr>
    </w:p>
    <w:p w14:paraId="5072A862" w14:textId="77777777" w:rsidR="000177D5" w:rsidRPr="00993B55" w:rsidRDefault="000177D5" w:rsidP="007A60F3">
      <w:pPr>
        <w:pStyle w:val="Default"/>
        <w:widowControl w:val="0"/>
        <w:ind w:left="720"/>
        <w:jc w:val="both"/>
        <w:rPr>
          <w:color w:val="auto"/>
          <w:szCs w:val="23"/>
          <w:u w:val="single"/>
        </w:rPr>
      </w:pPr>
      <w:r w:rsidRPr="00993B55">
        <w:rPr>
          <w:u w:val="single"/>
        </w:rPr>
        <w:t>Unused Baseline Capacity (UBC)</w:t>
      </w:r>
    </w:p>
    <w:p w14:paraId="59B28980" w14:textId="77777777" w:rsidR="000177D5" w:rsidRPr="00993B55" w:rsidRDefault="000177D5" w:rsidP="007A60F3">
      <w:pPr>
        <w:pStyle w:val="Default"/>
        <w:widowControl w:val="0"/>
        <w:ind w:left="720"/>
        <w:jc w:val="both"/>
        <w:rPr>
          <w:color w:val="auto"/>
          <w:szCs w:val="23"/>
        </w:rPr>
      </w:pPr>
    </w:p>
    <w:p w14:paraId="3151C9D2" w14:textId="2922D2F6" w:rsidR="000177D5" w:rsidRPr="00993B55" w:rsidRDefault="000177D5" w:rsidP="007A60F3">
      <w:pPr>
        <w:pStyle w:val="BodyText"/>
        <w:widowControl w:val="0"/>
        <w:autoSpaceDE w:val="0"/>
        <w:autoSpaceDN w:val="0"/>
        <w:adjustRightInd w:val="0"/>
        <w:ind w:left="720"/>
        <w:rPr>
          <w:b/>
          <w:noProof/>
          <w:color w:val="FF0000"/>
        </w:rPr>
      </w:pPr>
      <w:r w:rsidRPr="00993B55">
        <w:rPr>
          <w:b/>
          <w:color w:val="FF0000"/>
        </w:rPr>
        <w:t>In</w:t>
      </w:r>
      <w:r w:rsidRPr="00993B55">
        <w:rPr>
          <w:b/>
          <w:noProof/>
          <w:color w:val="FF0000"/>
        </w:rPr>
        <w:t xml:space="preserve"> determining the UBC emissions, District staff must rely on information submited by the applicant and exercise independent judgement to assess if the claimed UBC emissions are reasonable.</w:t>
      </w:r>
    </w:p>
    <w:p w14:paraId="29B83A5B" w14:textId="77777777" w:rsidR="000177D5" w:rsidRPr="00993B55" w:rsidRDefault="000177D5" w:rsidP="007A60F3">
      <w:pPr>
        <w:pStyle w:val="BodyText"/>
        <w:widowControl w:val="0"/>
        <w:autoSpaceDE w:val="0"/>
        <w:autoSpaceDN w:val="0"/>
        <w:adjustRightInd w:val="0"/>
        <w:ind w:left="720"/>
        <w:rPr>
          <w:noProof/>
          <w:color w:val="FF0000"/>
        </w:rPr>
      </w:pPr>
    </w:p>
    <w:p w14:paraId="1BA39053" w14:textId="77777777" w:rsidR="000177D5" w:rsidRPr="00993B55" w:rsidRDefault="000177D5" w:rsidP="007A60F3">
      <w:pPr>
        <w:pStyle w:val="BodyText"/>
        <w:widowControl w:val="0"/>
        <w:autoSpaceDE w:val="0"/>
        <w:autoSpaceDN w:val="0"/>
        <w:adjustRightInd w:val="0"/>
        <w:ind w:left="720"/>
        <w:rPr>
          <w:b/>
          <w:color w:val="FF0000"/>
        </w:rPr>
      </w:pPr>
      <w:r w:rsidRPr="00993B55">
        <w:rPr>
          <w:b/>
          <w:noProof/>
          <w:color w:val="FF0000"/>
        </w:rPr>
        <w:t xml:space="preserve">Please note that UBC data must be determined </w:t>
      </w:r>
      <w:r w:rsidRPr="00993B55">
        <w:rPr>
          <w:b/>
          <w:color w:val="FF0000"/>
        </w:rPr>
        <w:t>during the same 24-month baseline period used to determine BAE.</w:t>
      </w:r>
    </w:p>
    <w:p w14:paraId="6CE47CC4" w14:textId="77777777" w:rsidR="000177D5" w:rsidRPr="00993B55" w:rsidRDefault="000177D5" w:rsidP="007A60F3">
      <w:pPr>
        <w:pStyle w:val="BodyText"/>
        <w:widowControl w:val="0"/>
        <w:autoSpaceDE w:val="0"/>
        <w:autoSpaceDN w:val="0"/>
        <w:adjustRightInd w:val="0"/>
        <w:ind w:left="720"/>
        <w:rPr>
          <w:color w:val="FF0000"/>
        </w:rPr>
      </w:pPr>
    </w:p>
    <w:p w14:paraId="14936963" w14:textId="77777777" w:rsidR="000177D5" w:rsidRPr="00993B55" w:rsidRDefault="000177D5" w:rsidP="007A60F3">
      <w:pPr>
        <w:pStyle w:val="BodyText"/>
        <w:widowControl w:val="0"/>
        <w:autoSpaceDE w:val="0"/>
        <w:autoSpaceDN w:val="0"/>
        <w:adjustRightInd w:val="0"/>
        <w:ind w:left="720"/>
        <w:rPr>
          <w:noProof/>
          <w:color w:val="FF0000"/>
        </w:rPr>
      </w:pPr>
      <w:r w:rsidRPr="00993B55">
        <w:rPr>
          <w:b/>
          <w:noProof/>
          <w:color w:val="FF0000"/>
        </w:rPr>
        <w:t>The UBC emissions can not be directly assess as the difference between the pre-project potential to emit and the baseline actual emissions.</w:t>
      </w:r>
      <w:r w:rsidRPr="00993B55">
        <w:rPr>
          <w:noProof/>
          <w:color w:val="FF0000"/>
        </w:rPr>
        <w:t xml:space="preserve">  The UBC determinaton must be made on a case-by-case basis.  To determine the UBC, several factors must be considered such as the degradation of an emision unit’s capacity, the ability of the unit to perform at specific capacity rate, the emission rate of the unit over time, etc.   The UBC determinaton must be made on a case-by-case basis.</w:t>
      </w:r>
    </w:p>
    <w:p w14:paraId="763EA9F1" w14:textId="53A0DD77" w:rsidR="000177D5" w:rsidRDefault="000177D5" w:rsidP="007A60F3">
      <w:pPr>
        <w:pStyle w:val="Default"/>
        <w:widowControl w:val="0"/>
        <w:ind w:left="720"/>
        <w:jc w:val="both"/>
        <w:rPr>
          <w:color w:val="auto"/>
          <w:szCs w:val="23"/>
        </w:rPr>
      </w:pPr>
    </w:p>
    <w:p w14:paraId="3F2A0600" w14:textId="77777777" w:rsidR="008E7969" w:rsidRPr="000D52C8" w:rsidRDefault="008E7969" w:rsidP="008F04F7">
      <w:pPr>
        <w:pStyle w:val="BodyText"/>
        <w:widowControl w:val="0"/>
        <w:autoSpaceDE w:val="0"/>
        <w:autoSpaceDN w:val="0"/>
        <w:adjustRightInd w:val="0"/>
        <w:ind w:left="720"/>
      </w:pPr>
      <w:r w:rsidRPr="000D52C8">
        <w:rPr>
          <w:noProof/>
        </w:rPr>
        <w:t xml:space="preserve">As described in 40 CFR 51.165(a)(1)(xxviii)(B), </w:t>
      </w:r>
      <w:r w:rsidRPr="000D52C8">
        <w:t>when using historical data and company’s expected business activity and highest projections of business activity to determine PAE, the portion of the emissions after the project that the existing unit could have accommodated before the project (during the same 24-month baseline period used to determine BAE) and that are unrelated to the particular project (including emissions increases due to product demand growth) are to be excluded.</w:t>
      </w:r>
    </w:p>
    <w:p w14:paraId="0CE16D47" w14:textId="77777777" w:rsidR="008E7969" w:rsidRPr="00993B55" w:rsidRDefault="008E7969" w:rsidP="007A60F3">
      <w:pPr>
        <w:pStyle w:val="Default"/>
        <w:widowControl w:val="0"/>
        <w:ind w:left="720"/>
        <w:jc w:val="both"/>
        <w:rPr>
          <w:color w:val="auto"/>
          <w:szCs w:val="23"/>
        </w:rPr>
      </w:pPr>
    </w:p>
    <w:p w14:paraId="5D0A7E7B" w14:textId="77777777" w:rsidR="000177D5" w:rsidRPr="00993B55" w:rsidRDefault="000177D5" w:rsidP="007A60F3">
      <w:pPr>
        <w:pStyle w:val="Default"/>
        <w:widowControl w:val="0"/>
        <w:ind w:left="720"/>
        <w:jc w:val="both"/>
        <w:rPr>
          <w:u w:val="single"/>
        </w:rPr>
      </w:pPr>
      <w:r w:rsidRPr="00993B55">
        <w:rPr>
          <w:u w:val="single"/>
        </w:rPr>
        <w:t>Project Emissions Increase</w:t>
      </w:r>
    </w:p>
    <w:p w14:paraId="76A31F4E" w14:textId="77777777" w:rsidR="000177D5" w:rsidRPr="00993B55" w:rsidRDefault="000177D5" w:rsidP="007A60F3">
      <w:pPr>
        <w:pStyle w:val="Default"/>
        <w:widowControl w:val="0"/>
        <w:ind w:left="720"/>
        <w:jc w:val="both"/>
      </w:pPr>
    </w:p>
    <w:p w14:paraId="6AF4DF61" w14:textId="7F97ED9D" w:rsidR="000177D5" w:rsidRPr="00993B55" w:rsidRDefault="000177D5" w:rsidP="007A60F3">
      <w:pPr>
        <w:pStyle w:val="Default"/>
        <w:widowControl w:val="0"/>
        <w:ind w:left="720"/>
        <w:jc w:val="both"/>
        <w:rPr>
          <w:color w:val="FF0000"/>
          <w:szCs w:val="23"/>
        </w:rPr>
      </w:pPr>
      <w:r w:rsidRPr="00993B55">
        <w:rPr>
          <w:color w:val="FF0000"/>
        </w:rPr>
        <w:t>Either determine Project Emission Increase in this section by fully describing all relevant information, referring to project proponent/facility’s information, describing all calculations OR include the discussion and calculations in Appendix XXX.</w:t>
      </w:r>
    </w:p>
    <w:p w14:paraId="4F2A89BE" w14:textId="77777777" w:rsidR="000177D5" w:rsidRPr="00993B55" w:rsidRDefault="000177D5" w:rsidP="007A60F3">
      <w:pPr>
        <w:pStyle w:val="Default"/>
        <w:widowControl w:val="0"/>
        <w:ind w:left="720"/>
        <w:jc w:val="both"/>
        <w:rPr>
          <w:color w:val="auto"/>
          <w:szCs w:val="23"/>
        </w:rPr>
      </w:pPr>
    </w:p>
    <w:p w14:paraId="2DF32174" w14:textId="77777777" w:rsidR="000177D5" w:rsidRPr="00993B55" w:rsidRDefault="000177D5" w:rsidP="007A60F3">
      <w:pPr>
        <w:widowControl w:val="0"/>
        <w:ind w:left="720"/>
        <w:rPr>
          <w:rFonts w:cs="Arial"/>
          <w:b/>
          <w:color w:val="FF0000"/>
          <w:szCs w:val="24"/>
        </w:rPr>
      </w:pPr>
      <w:r w:rsidRPr="00993B55">
        <w:rPr>
          <w:rFonts w:cs="Arial"/>
          <w:b/>
          <w:color w:val="FF0000"/>
          <w:szCs w:val="24"/>
        </w:rPr>
        <w:t>NOTE Rounding Policy:  If not applicable delete the rounding section below</w:t>
      </w:r>
    </w:p>
    <w:p w14:paraId="63573A67" w14:textId="19798E51" w:rsidR="000177D5" w:rsidRPr="00993B55" w:rsidRDefault="000177D5" w:rsidP="007A60F3">
      <w:pPr>
        <w:widowControl w:val="0"/>
        <w:ind w:left="720"/>
        <w:rPr>
          <w:rFonts w:cs="Arial"/>
          <w:color w:val="FF0000"/>
          <w:szCs w:val="24"/>
        </w:rPr>
      </w:pPr>
      <w:r w:rsidRPr="00993B55">
        <w:rPr>
          <w:rFonts w:cs="Arial"/>
          <w:color w:val="FF0000"/>
          <w:szCs w:val="24"/>
        </w:rPr>
        <w:t xml:space="preserve">Any emission increases that are calculated to be less than or equal to 0.5 lb/day per District policy for Federal Major Modification determination purposes shall use the following language (otherwise, delete this language and adjust presentation as appropriate):  </w:t>
      </w:r>
      <w:r w:rsidRPr="00993B55">
        <w:rPr>
          <w:rFonts w:cs="Arial"/>
          <w:b/>
          <w:color w:val="FF0000"/>
          <w:szCs w:val="24"/>
        </w:rPr>
        <w:t>If not applicable delete the rounding section below</w:t>
      </w:r>
    </w:p>
    <w:p w14:paraId="24686466" w14:textId="77777777" w:rsidR="000177D5" w:rsidRPr="00993B55" w:rsidRDefault="000177D5" w:rsidP="007A60F3">
      <w:pPr>
        <w:widowControl w:val="0"/>
        <w:ind w:left="720"/>
        <w:contextualSpacing/>
        <w:rPr>
          <w:rFonts w:eastAsiaTheme="minorHAnsi" w:cs="Arial"/>
          <w:szCs w:val="24"/>
        </w:rPr>
      </w:pPr>
    </w:p>
    <w:p w14:paraId="53E074DF" w14:textId="74126455" w:rsidR="000177D5" w:rsidRPr="00993B55" w:rsidRDefault="000177D5" w:rsidP="007A60F3">
      <w:pPr>
        <w:widowControl w:val="0"/>
        <w:ind w:left="720"/>
        <w:contextualSpacing/>
        <w:rPr>
          <w:rFonts w:eastAsiaTheme="minorHAnsi" w:cs="Arial"/>
          <w:szCs w:val="24"/>
        </w:rPr>
      </w:pPr>
      <w:r w:rsidRPr="00993B55">
        <w:rPr>
          <w:rFonts w:eastAsiaTheme="minorHAnsi" w:cs="Arial"/>
          <w:szCs w:val="24"/>
        </w:rPr>
        <w:t>Per District Policy APR 1150</w:t>
      </w:r>
      <w:r w:rsidR="00F65C2A">
        <w:rPr>
          <w:rFonts w:eastAsiaTheme="minorHAnsi" w:cs="Arial"/>
          <w:szCs w:val="24"/>
        </w:rPr>
        <w:t xml:space="preserve"> (Implementation of Rule 2201 for SB</w:t>
      </w:r>
      <w:r w:rsidR="007C76C9">
        <w:rPr>
          <w:rFonts w:eastAsiaTheme="minorHAnsi" w:cs="Arial"/>
          <w:szCs w:val="24"/>
        </w:rPr>
        <w:t xml:space="preserve"> </w:t>
      </w:r>
      <w:r w:rsidR="00F65C2A">
        <w:rPr>
          <w:rFonts w:eastAsiaTheme="minorHAnsi" w:cs="Arial"/>
          <w:szCs w:val="24"/>
        </w:rPr>
        <w:t>288 Major Modifications and Federal Major Modifications)</w:t>
      </w:r>
      <w:r w:rsidRPr="00993B55">
        <w:rPr>
          <w:rFonts w:eastAsiaTheme="minorHAnsi" w:cs="Arial"/>
          <w:szCs w:val="24"/>
        </w:rPr>
        <w:t>, for purposes of determining if a new or modified emission unit is part of a Federal Major Modification, if the annual emission increase for the emission unit when divided by 365 is less than or equal to 0.5 lb/day, such an increase shall be rounded to 0.  The sum of the emission increases from new or modified emission units involved in this project that round to 0 shall not constitute a Federal Major Modification.</w:t>
      </w:r>
    </w:p>
    <w:p w14:paraId="64F0645A" w14:textId="77777777" w:rsidR="000177D5" w:rsidRPr="00993B55" w:rsidRDefault="000177D5" w:rsidP="007A60F3">
      <w:pPr>
        <w:widowControl w:val="0"/>
        <w:ind w:left="720"/>
        <w:contextualSpacing/>
        <w:rPr>
          <w:rFonts w:eastAsiaTheme="minorHAnsi" w:cs="Arial"/>
          <w:szCs w:val="24"/>
        </w:rPr>
      </w:pPr>
    </w:p>
    <w:p w14:paraId="7546CCA0" w14:textId="77777777" w:rsidR="000177D5" w:rsidRPr="00993B55" w:rsidRDefault="000177D5" w:rsidP="007A60F3">
      <w:pPr>
        <w:widowControl w:val="0"/>
        <w:ind w:left="720"/>
        <w:contextualSpacing/>
        <w:rPr>
          <w:rFonts w:eastAsiaTheme="minorHAnsi" w:cs="Arial"/>
          <w:szCs w:val="22"/>
        </w:rPr>
      </w:pPr>
      <w:r w:rsidRPr="00993B55">
        <w:rPr>
          <w:rFonts w:eastAsiaTheme="minorHAnsi" w:cs="Arial"/>
          <w:szCs w:val="22"/>
        </w:rPr>
        <w:t xml:space="preserve">The total project annual emissions increase </w:t>
      </w:r>
      <w:r w:rsidRPr="00993B55">
        <w:rPr>
          <w:rFonts w:eastAsiaTheme="minorHAnsi" w:cs="Arial"/>
          <w:szCs w:val="24"/>
        </w:rPr>
        <w:t>calculated in the table above when divided by 365</w:t>
      </w:r>
      <w:r w:rsidRPr="00993B55">
        <w:rPr>
          <w:rFonts w:eastAsiaTheme="minorHAnsi" w:cs="Arial"/>
          <w:szCs w:val="22"/>
        </w:rPr>
        <w:t xml:space="preserve"> is:</w:t>
      </w:r>
    </w:p>
    <w:p w14:paraId="38250099" w14:textId="77777777" w:rsidR="000177D5" w:rsidRPr="00993B55" w:rsidRDefault="000177D5" w:rsidP="007A60F3">
      <w:pPr>
        <w:widowControl w:val="0"/>
        <w:ind w:left="720"/>
        <w:contextualSpacing/>
        <w:rPr>
          <w:rFonts w:eastAsiaTheme="minorHAnsi" w:cs="Arial"/>
          <w:szCs w:val="22"/>
        </w:rPr>
      </w:pPr>
    </w:p>
    <w:p w14:paraId="7E94CBC3" w14:textId="094DE6DB" w:rsidR="000177D5" w:rsidRPr="00993B55" w:rsidRDefault="000177D5" w:rsidP="007A60F3">
      <w:pPr>
        <w:widowControl w:val="0"/>
        <w:ind w:left="720"/>
        <w:contextualSpacing/>
        <w:rPr>
          <w:rFonts w:eastAsiaTheme="minorHAnsi" w:cs="Arial"/>
          <w:szCs w:val="22"/>
        </w:rPr>
      </w:pPr>
      <w:r w:rsidRPr="00993B55">
        <w:rPr>
          <w:rFonts w:eastAsiaTheme="minorHAnsi" w:cs="Arial"/>
          <w:color w:val="0000FF"/>
          <w:szCs w:val="22"/>
        </w:rPr>
        <w:t>X</w:t>
      </w:r>
      <w:r w:rsidR="00F64EA0">
        <w:rPr>
          <w:rFonts w:eastAsiaTheme="minorHAnsi" w:cs="Arial"/>
          <w:color w:val="0000FF"/>
          <w:szCs w:val="22"/>
        </w:rPr>
        <w:t>,XX</w:t>
      </w:r>
      <w:r w:rsidRPr="00993B55">
        <w:rPr>
          <w:rFonts w:eastAsiaTheme="minorHAnsi" w:cs="Arial"/>
          <w:color w:val="0000FF"/>
          <w:szCs w:val="22"/>
        </w:rPr>
        <w:t>X</w:t>
      </w:r>
      <w:r w:rsidRPr="00993B55">
        <w:rPr>
          <w:rFonts w:eastAsiaTheme="minorHAnsi" w:cs="Arial"/>
          <w:szCs w:val="22"/>
        </w:rPr>
        <w:t xml:space="preserve"> lb-</w:t>
      </w:r>
      <w:r w:rsidRPr="00993B55">
        <w:rPr>
          <w:rFonts w:eastAsiaTheme="minorHAnsi" w:cs="Arial"/>
          <w:color w:val="0000FF"/>
          <w:szCs w:val="22"/>
        </w:rPr>
        <w:t>VOC</w:t>
      </w:r>
      <w:r w:rsidRPr="00993B55">
        <w:rPr>
          <w:rFonts w:eastAsiaTheme="minorHAnsi" w:cs="Arial"/>
          <w:szCs w:val="22"/>
        </w:rPr>
        <w:t xml:space="preserve">/year ÷ 365 days/year = </w:t>
      </w:r>
      <w:r w:rsidRPr="00993B55">
        <w:rPr>
          <w:rFonts w:eastAsiaTheme="minorHAnsi" w:cs="Arial"/>
          <w:color w:val="0000FF"/>
          <w:szCs w:val="22"/>
        </w:rPr>
        <w:t>0.Y</w:t>
      </w:r>
      <w:r w:rsidRPr="00993B55">
        <w:rPr>
          <w:rFonts w:eastAsiaTheme="minorHAnsi" w:cs="Arial"/>
          <w:szCs w:val="22"/>
        </w:rPr>
        <w:t xml:space="preserve"> lb-</w:t>
      </w:r>
      <w:r w:rsidRPr="00993B55">
        <w:rPr>
          <w:rFonts w:eastAsiaTheme="minorHAnsi" w:cs="Arial"/>
          <w:color w:val="0000FF"/>
          <w:szCs w:val="22"/>
        </w:rPr>
        <w:t>VOC</w:t>
      </w:r>
      <w:r w:rsidRPr="00993B55">
        <w:rPr>
          <w:rFonts w:eastAsiaTheme="minorHAnsi" w:cs="Arial"/>
          <w:szCs w:val="22"/>
        </w:rPr>
        <w:t>/day.</w:t>
      </w:r>
    </w:p>
    <w:p w14:paraId="2D5A0468" w14:textId="77777777" w:rsidR="000177D5" w:rsidRPr="00993B55" w:rsidRDefault="000177D5" w:rsidP="007A60F3">
      <w:pPr>
        <w:widowControl w:val="0"/>
        <w:ind w:left="720"/>
        <w:contextualSpacing/>
        <w:rPr>
          <w:rFonts w:eastAsiaTheme="minorHAnsi" w:cs="Arial"/>
          <w:szCs w:val="22"/>
        </w:rPr>
      </w:pPr>
    </w:p>
    <w:p w14:paraId="7167DA54" w14:textId="29275C9B" w:rsidR="000177D5" w:rsidRPr="00993B55" w:rsidRDefault="000177D5" w:rsidP="007A60F3">
      <w:pPr>
        <w:widowControl w:val="0"/>
        <w:ind w:left="720"/>
        <w:rPr>
          <w:rFonts w:cs="Arial"/>
          <w:strike/>
          <w:szCs w:val="24"/>
        </w:rPr>
      </w:pPr>
      <w:r w:rsidRPr="00993B55">
        <w:rPr>
          <w:rFonts w:eastAsiaTheme="minorHAnsi" w:cs="Arial"/>
          <w:szCs w:val="22"/>
        </w:rPr>
        <w:t xml:space="preserve">Therefore, as discussed above, according to District Policy APR 1150, total project annual emission increase is rounded to 0 </w:t>
      </w:r>
      <w:r w:rsidRPr="00993B55">
        <w:rPr>
          <w:rFonts w:eastAsiaTheme="minorHAnsi" w:cs="Arial"/>
          <w:color w:val="0000FF"/>
          <w:szCs w:val="22"/>
        </w:rPr>
        <w:t>for VOC</w:t>
      </w:r>
      <w:r w:rsidRPr="00993B55">
        <w:rPr>
          <w:rFonts w:eastAsiaTheme="minorHAnsi" w:cs="Arial"/>
          <w:szCs w:val="22"/>
        </w:rPr>
        <w:t>.</w:t>
      </w:r>
    </w:p>
    <w:p w14:paraId="17F85D6D" w14:textId="77777777" w:rsidR="000177D5" w:rsidRPr="00993B55" w:rsidRDefault="000177D5" w:rsidP="007A60F3">
      <w:pPr>
        <w:widowControl w:val="0"/>
        <w:ind w:left="720"/>
        <w:rPr>
          <w:rFonts w:cs="Arial"/>
        </w:rPr>
      </w:pPr>
    </w:p>
    <w:p w14:paraId="2E24CC4E" w14:textId="77777777" w:rsidR="000177D5" w:rsidRPr="00993B55" w:rsidRDefault="000177D5" w:rsidP="007A60F3">
      <w:pPr>
        <w:widowControl w:val="0"/>
        <w:ind w:left="720"/>
        <w:rPr>
          <w:rFonts w:cs="Arial"/>
          <w:color w:val="FF0000"/>
        </w:rPr>
      </w:pPr>
      <w:r w:rsidRPr="00993B55">
        <w:rPr>
          <w:rFonts w:cs="Arial"/>
          <w:color w:val="FF0000"/>
        </w:rPr>
        <w:t>Conclusion</w:t>
      </w:r>
    </w:p>
    <w:p w14:paraId="54BE9E88" w14:textId="50BD543B" w:rsidR="000177D5" w:rsidRPr="00993B55" w:rsidRDefault="000177D5" w:rsidP="007A60F3">
      <w:pPr>
        <w:widowControl w:val="0"/>
        <w:ind w:left="720"/>
        <w:rPr>
          <w:rFonts w:cs="Arial"/>
          <w:szCs w:val="24"/>
        </w:rPr>
      </w:pPr>
      <w:r w:rsidRPr="00993B55">
        <w:rPr>
          <w:rFonts w:cs="Arial"/>
        </w:rPr>
        <w:t>In conclusion, t</w:t>
      </w:r>
      <w:r w:rsidRPr="00993B55">
        <w:rPr>
          <w:rFonts w:cs="Arial"/>
          <w:szCs w:val="24"/>
        </w:rPr>
        <w:t>he project’s combined total emission increases are calculated in</w:t>
      </w:r>
      <w:r w:rsidRPr="00993B55">
        <w:rPr>
          <w:rFonts w:cs="Arial"/>
          <w:color w:val="33CC33"/>
          <w:szCs w:val="24"/>
        </w:rPr>
        <w:t xml:space="preserve"> </w:t>
      </w:r>
      <w:r w:rsidRPr="00993B55">
        <w:rPr>
          <w:rFonts w:cs="Arial"/>
          <w:color w:val="0000FF"/>
          <w:szCs w:val="24"/>
        </w:rPr>
        <w:t xml:space="preserve">Appendix XXX </w:t>
      </w:r>
      <w:r w:rsidRPr="00993B55">
        <w:rPr>
          <w:rFonts w:cs="Arial"/>
          <w:szCs w:val="24"/>
        </w:rPr>
        <w:t>and summarized in the following table and are compared to the Federal Major Modification Thresholds in the following table.</w:t>
      </w:r>
    </w:p>
    <w:p w14:paraId="2FD4AB36" w14:textId="77777777" w:rsidR="000177D5" w:rsidRPr="00993B55" w:rsidRDefault="000177D5" w:rsidP="007A60F3">
      <w:pPr>
        <w:widowControl w:val="0"/>
        <w:ind w:left="720"/>
        <w:rPr>
          <w:rFonts w:cs="Arial"/>
          <w:szCs w:val="24"/>
        </w:rPr>
      </w:pPr>
    </w:p>
    <w:tbl>
      <w:tblPr>
        <w:tblW w:w="0" w:type="auto"/>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3"/>
        <w:gridCol w:w="2340"/>
        <w:gridCol w:w="2034"/>
        <w:gridCol w:w="2613"/>
      </w:tblGrid>
      <w:tr w:rsidR="000177D5" w:rsidRPr="00993B55" w14:paraId="3268ADCC" w14:textId="77777777" w:rsidTr="00505E9F">
        <w:trPr>
          <w:trHeight w:val="485"/>
        </w:trPr>
        <w:tc>
          <w:tcPr>
            <w:tcW w:w="9090" w:type="dxa"/>
            <w:gridSpan w:val="4"/>
            <w:shd w:val="clear" w:color="auto" w:fill="D9D9D9" w:themeFill="background1" w:themeFillShade="D9"/>
            <w:vAlign w:val="center"/>
          </w:tcPr>
          <w:p w14:paraId="0CB90E5D" w14:textId="77777777" w:rsidR="000177D5" w:rsidRPr="00993B55" w:rsidRDefault="000177D5" w:rsidP="0090690D">
            <w:pPr>
              <w:keepNext/>
              <w:widowControl w:val="0"/>
              <w:jc w:val="center"/>
              <w:rPr>
                <w:rFonts w:cs="Arial"/>
                <w:b/>
                <w:sz w:val="22"/>
                <w:szCs w:val="22"/>
              </w:rPr>
            </w:pPr>
            <w:r w:rsidRPr="00993B55">
              <w:rPr>
                <w:rFonts w:cs="Arial"/>
                <w:b/>
                <w:sz w:val="22"/>
                <w:szCs w:val="22"/>
              </w:rPr>
              <w:t>Federal Major Modification Thresholds for Emission Increases</w:t>
            </w:r>
          </w:p>
        </w:tc>
      </w:tr>
      <w:tr w:rsidR="000177D5" w:rsidRPr="00993B55" w14:paraId="42FBC3A7" w14:textId="77777777" w:rsidTr="00505E9F">
        <w:trPr>
          <w:trHeight w:val="629"/>
        </w:trPr>
        <w:tc>
          <w:tcPr>
            <w:tcW w:w="2103" w:type="dxa"/>
            <w:shd w:val="clear" w:color="auto" w:fill="D9D9D9" w:themeFill="background1" w:themeFillShade="D9"/>
            <w:vAlign w:val="center"/>
          </w:tcPr>
          <w:p w14:paraId="74E044CC" w14:textId="77777777" w:rsidR="000177D5" w:rsidRPr="00993B55" w:rsidRDefault="000177D5" w:rsidP="0090690D">
            <w:pPr>
              <w:keepNext/>
              <w:widowControl w:val="0"/>
              <w:jc w:val="center"/>
              <w:rPr>
                <w:rFonts w:cs="Arial"/>
                <w:b/>
                <w:sz w:val="22"/>
                <w:szCs w:val="22"/>
              </w:rPr>
            </w:pPr>
            <w:r w:rsidRPr="00993B55">
              <w:rPr>
                <w:rFonts w:cs="Arial"/>
                <w:b/>
                <w:sz w:val="22"/>
                <w:szCs w:val="22"/>
              </w:rPr>
              <w:t>Pollutant</w:t>
            </w:r>
          </w:p>
        </w:tc>
        <w:tc>
          <w:tcPr>
            <w:tcW w:w="2340" w:type="dxa"/>
            <w:shd w:val="clear" w:color="auto" w:fill="D9D9D9" w:themeFill="background1" w:themeFillShade="D9"/>
            <w:vAlign w:val="center"/>
          </w:tcPr>
          <w:p w14:paraId="5ABC3035" w14:textId="41BB912D" w:rsidR="000177D5" w:rsidRPr="00993B55" w:rsidRDefault="000177D5" w:rsidP="0090690D">
            <w:pPr>
              <w:keepNext/>
              <w:widowControl w:val="0"/>
              <w:jc w:val="center"/>
              <w:rPr>
                <w:rFonts w:cs="Arial"/>
                <w:b/>
                <w:sz w:val="22"/>
                <w:szCs w:val="22"/>
              </w:rPr>
            </w:pPr>
            <w:r w:rsidRPr="00993B55">
              <w:rPr>
                <w:rFonts w:cs="Arial"/>
                <w:b/>
                <w:sz w:val="22"/>
                <w:szCs w:val="22"/>
              </w:rPr>
              <w:t>Total Emissions Increases (lb/y</w:t>
            </w:r>
            <w:r w:rsidR="00393E25">
              <w:rPr>
                <w:rFonts w:cs="Arial"/>
                <w:b/>
                <w:sz w:val="22"/>
                <w:szCs w:val="22"/>
              </w:rPr>
              <w:t>ea</w:t>
            </w:r>
            <w:r w:rsidRPr="00993B55">
              <w:rPr>
                <w:rFonts w:cs="Arial"/>
                <w:b/>
                <w:sz w:val="22"/>
                <w:szCs w:val="22"/>
              </w:rPr>
              <w:t>r)</w:t>
            </w:r>
          </w:p>
        </w:tc>
        <w:tc>
          <w:tcPr>
            <w:tcW w:w="2034" w:type="dxa"/>
            <w:shd w:val="clear" w:color="auto" w:fill="D9D9D9" w:themeFill="background1" w:themeFillShade="D9"/>
            <w:vAlign w:val="center"/>
          </w:tcPr>
          <w:p w14:paraId="009242E4" w14:textId="77777777" w:rsidR="000177D5" w:rsidRPr="00993B55" w:rsidRDefault="000177D5" w:rsidP="0090690D">
            <w:pPr>
              <w:keepNext/>
              <w:widowControl w:val="0"/>
              <w:jc w:val="center"/>
              <w:rPr>
                <w:rFonts w:cs="Arial"/>
                <w:b/>
                <w:sz w:val="22"/>
                <w:szCs w:val="22"/>
              </w:rPr>
            </w:pPr>
            <w:r w:rsidRPr="00993B55">
              <w:rPr>
                <w:rFonts w:cs="Arial"/>
                <w:b/>
                <w:sz w:val="22"/>
                <w:szCs w:val="22"/>
              </w:rPr>
              <w:t>Thresholds</w:t>
            </w:r>
          </w:p>
          <w:p w14:paraId="061CCBF2" w14:textId="1FC36C39" w:rsidR="000177D5" w:rsidRPr="00993B55" w:rsidRDefault="000177D5" w:rsidP="0090690D">
            <w:pPr>
              <w:keepNext/>
              <w:widowControl w:val="0"/>
              <w:jc w:val="center"/>
              <w:rPr>
                <w:rFonts w:cs="Arial"/>
                <w:b/>
                <w:sz w:val="22"/>
                <w:szCs w:val="22"/>
              </w:rPr>
            </w:pPr>
            <w:r w:rsidRPr="00993B55">
              <w:rPr>
                <w:rFonts w:cs="Arial"/>
                <w:b/>
                <w:sz w:val="22"/>
                <w:szCs w:val="22"/>
              </w:rPr>
              <w:t>(lb/y</w:t>
            </w:r>
            <w:r w:rsidR="00393E25">
              <w:rPr>
                <w:rFonts w:cs="Arial"/>
                <w:b/>
                <w:sz w:val="22"/>
                <w:szCs w:val="22"/>
              </w:rPr>
              <w:t>ea</w:t>
            </w:r>
            <w:r w:rsidRPr="00993B55">
              <w:rPr>
                <w:rFonts w:cs="Arial"/>
                <w:b/>
                <w:sz w:val="22"/>
                <w:szCs w:val="22"/>
              </w:rPr>
              <w:t>r)</w:t>
            </w:r>
          </w:p>
        </w:tc>
        <w:tc>
          <w:tcPr>
            <w:tcW w:w="2613" w:type="dxa"/>
            <w:shd w:val="clear" w:color="auto" w:fill="D9D9D9" w:themeFill="background1" w:themeFillShade="D9"/>
            <w:vAlign w:val="center"/>
          </w:tcPr>
          <w:p w14:paraId="19C8AF5A" w14:textId="77777777" w:rsidR="000177D5" w:rsidRPr="00993B55" w:rsidRDefault="000177D5" w:rsidP="0090690D">
            <w:pPr>
              <w:keepNext/>
              <w:widowControl w:val="0"/>
              <w:jc w:val="center"/>
              <w:rPr>
                <w:rFonts w:cs="Arial"/>
                <w:b/>
                <w:sz w:val="22"/>
                <w:szCs w:val="22"/>
              </w:rPr>
            </w:pPr>
            <w:r w:rsidRPr="00993B55">
              <w:rPr>
                <w:rFonts w:cs="Arial"/>
                <w:b/>
                <w:sz w:val="22"/>
                <w:szCs w:val="22"/>
              </w:rPr>
              <w:t>Federal Major Modification?</w:t>
            </w:r>
          </w:p>
        </w:tc>
      </w:tr>
      <w:tr w:rsidR="00E24953" w:rsidRPr="00993B55" w14:paraId="6AFB64F5" w14:textId="77777777" w:rsidTr="00E24953">
        <w:trPr>
          <w:trHeight w:val="432"/>
        </w:trPr>
        <w:tc>
          <w:tcPr>
            <w:tcW w:w="2103" w:type="dxa"/>
            <w:shd w:val="clear" w:color="auto" w:fill="auto"/>
            <w:vAlign w:val="center"/>
          </w:tcPr>
          <w:p w14:paraId="4F8DC1D4" w14:textId="304E371F" w:rsidR="00E24953" w:rsidRPr="00993B55" w:rsidRDefault="00E24953" w:rsidP="0090690D">
            <w:pPr>
              <w:keepNext/>
              <w:widowControl w:val="0"/>
              <w:jc w:val="center"/>
              <w:rPr>
                <w:rFonts w:cs="Arial"/>
                <w:sz w:val="22"/>
                <w:szCs w:val="22"/>
              </w:rPr>
            </w:pPr>
            <w:r w:rsidRPr="00993B55">
              <w:rPr>
                <w:rFonts w:cs="Arial"/>
                <w:sz w:val="22"/>
                <w:szCs w:val="22"/>
              </w:rPr>
              <w:t>NO</w:t>
            </w:r>
            <w:r>
              <w:rPr>
                <w:rFonts w:cs="Arial"/>
                <w:sz w:val="22"/>
                <w:szCs w:val="22"/>
              </w:rPr>
              <w:t>x</w:t>
            </w:r>
            <w:r w:rsidRPr="00993B55">
              <w:rPr>
                <w:rFonts w:cs="Arial"/>
                <w:sz w:val="22"/>
                <w:szCs w:val="22"/>
              </w:rPr>
              <w:t>*</w:t>
            </w:r>
          </w:p>
        </w:tc>
        <w:tc>
          <w:tcPr>
            <w:tcW w:w="2340" w:type="dxa"/>
            <w:shd w:val="clear" w:color="auto" w:fill="auto"/>
            <w:vAlign w:val="center"/>
          </w:tcPr>
          <w:p w14:paraId="0C51BE1B" w14:textId="4666DD4C" w:rsidR="00E24953" w:rsidRPr="00993B55" w:rsidRDefault="00E24953" w:rsidP="0090690D">
            <w:pPr>
              <w:keepNext/>
              <w:widowControl w:val="0"/>
              <w:jc w:val="center"/>
              <w:rPr>
                <w:rFonts w:cs="Arial"/>
                <w:sz w:val="22"/>
                <w:szCs w:val="22"/>
              </w:rPr>
            </w:pPr>
            <w:r w:rsidRPr="0006451F">
              <w:rPr>
                <w:color w:val="0000FF"/>
                <w:sz w:val="22"/>
                <w:szCs w:val="22"/>
              </w:rPr>
              <w:t>X,XXX</w:t>
            </w:r>
          </w:p>
        </w:tc>
        <w:tc>
          <w:tcPr>
            <w:tcW w:w="2034" w:type="dxa"/>
            <w:shd w:val="clear" w:color="auto" w:fill="auto"/>
            <w:vAlign w:val="center"/>
          </w:tcPr>
          <w:p w14:paraId="36F6CE5A" w14:textId="77777777" w:rsidR="00E24953" w:rsidRPr="00993B55" w:rsidRDefault="00E24953" w:rsidP="0090690D">
            <w:pPr>
              <w:keepNext/>
              <w:widowControl w:val="0"/>
              <w:jc w:val="center"/>
              <w:rPr>
                <w:rFonts w:cs="Arial"/>
                <w:sz w:val="22"/>
                <w:szCs w:val="22"/>
              </w:rPr>
            </w:pPr>
            <w:r w:rsidRPr="00993B55">
              <w:rPr>
                <w:rFonts w:cs="Arial"/>
                <w:sz w:val="22"/>
                <w:szCs w:val="22"/>
              </w:rPr>
              <w:t>0</w:t>
            </w:r>
          </w:p>
        </w:tc>
        <w:tc>
          <w:tcPr>
            <w:tcW w:w="2613" w:type="dxa"/>
            <w:shd w:val="clear" w:color="auto" w:fill="auto"/>
            <w:vAlign w:val="center"/>
          </w:tcPr>
          <w:p w14:paraId="3557238B" w14:textId="77777777" w:rsidR="00E24953" w:rsidRPr="00993B55" w:rsidRDefault="00E24953" w:rsidP="0090690D">
            <w:pPr>
              <w:keepNext/>
              <w:widowControl w:val="0"/>
              <w:jc w:val="center"/>
              <w:rPr>
                <w:color w:val="0000FF"/>
                <w:sz w:val="22"/>
                <w:szCs w:val="22"/>
              </w:rPr>
            </w:pPr>
            <w:r w:rsidRPr="00993B55">
              <w:rPr>
                <w:rFonts w:cs="Arial"/>
                <w:color w:val="0000FF"/>
                <w:sz w:val="22"/>
                <w:szCs w:val="22"/>
              </w:rPr>
              <w:t>Yes / No</w:t>
            </w:r>
          </w:p>
        </w:tc>
      </w:tr>
      <w:tr w:rsidR="00E24953" w:rsidRPr="00993B55" w14:paraId="5644EF4B" w14:textId="77777777" w:rsidTr="00E24953">
        <w:trPr>
          <w:trHeight w:val="432"/>
        </w:trPr>
        <w:tc>
          <w:tcPr>
            <w:tcW w:w="2103" w:type="dxa"/>
            <w:shd w:val="clear" w:color="auto" w:fill="auto"/>
            <w:vAlign w:val="center"/>
          </w:tcPr>
          <w:p w14:paraId="495D068F" w14:textId="77777777" w:rsidR="00E24953" w:rsidRPr="00993B55" w:rsidRDefault="00E24953" w:rsidP="0090690D">
            <w:pPr>
              <w:keepNext/>
              <w:widowControl w:val="0"/>
              <w:jc w:val="center"/>
              <w:rPr>
                <w:rFonts w:cs="Arial"/>
                <w:sz w:val="22"/>
                <w:szCs w:val="22"/>
              </w:rPr>
            </w:pPr>
            <w:r w:rsidRPr="00993B55">
              <w:rPr>
                <w:rFonts w:cs="Arial"/>
                <w:sz w:val="22"/>
                <w:szCs w:val="22"/>
              </w:rPr>
              <w:t>VOC*</w:t>
            </w:r>
          </w:p>
        </w:tc>
        <w:tc>
          <w:tcPr>
            <w:tcW w:w="2340" w:type="dxa"/>
            <w:shd w:val="clear" w:color="auto" w:fill="auto"/>
            <w:vAlign w:val="center"/>
          </w:tcPr>
          <w:p w14:paraId="10D18A06" w14:textId="73448925" w:rsidR="00E24953" w:rsidRPr="00993B55" w:rsidRDefault="00E24953" w:rsidP="0090690D">
            <w:pPr>
              <w:keepNext/>
              <w:widowControl w:val="0"/>
              <w:jc w:val="center"/>
              <w:rPr>
                <w:rFonts w:cs="Arial"/>
                <w:sz w:val="22"/>
                <w:szCs w:val="22"/>
              </w:rPr>
            </w:pPr>
            <w:r w:rsidRPr="0006451F">
              <w:rPr>
                <w:color w:val="0000FF"/>
                <w:sz w:val="22"/>
                <w:szCs w:val="22"/>
              </w:rPr>
              <w:t>X,XXX</w:t>
            </w:r>
          </w:p>
        </w:tc>
        <w:tc>
          <w:tcPr>
            <w:tcW w:w="2034" w:type="dxa"/>
            <w:shd w:val="clear" w:color="auto" w:fill="auto"/>
            <w:vAlign w:val="center"/>
          </w:tcPr>
          <w:p w14:paraId="51A8B523" w14:textId="77777777" w:rsidR="00E24953" w:rsidRPr="00993B55" w:rsidRDefault="00E24953" w:rsidP="0090690D">
            <w:pPr>
              <w:keepNext/>
              <w:widowControl w:val="0"/>
              <w:jc w:val="center"/>
              <w:rPr>
                <w:rFonts w:cs="Arial"/>
                <w:sz w:val="22"/>
                <w:szCs w:val="22"/>
              </w:rPr>
            </w:pPr>
            <w:r w:rsidRPr="00993B55">
              <w:rPr>
                <w:rFonts w:cs="Arial"/>
                <w:sz w:val="22"/>
                <w:szCs w:val="22"/>
              </w:rPr>
              <w:t>0</w:t>
            </w:r>
          </w:p>
        </w:tc>
        <w:tc>
          <w:tcPr>
            <w:tcW w:w="2613" w:type="dxa"/>
            <w:shd w:val="clear" w:color="auto" w:fill="auto"/>
            <w:vAlign w:val="center"/>
          </w:tcPr>
          <w:p w14:paraId="5039D8F4" w14:textId="77777777" w:rsidR="00E24953" w:rsidRPr="00993B55" w:rsidRDefault="00E24953" w:rsidP="0090690D">
            <w:pPr>
              <w:keepNext/>
              <w:widowControl w:val="0"/>
              <w:jc w:val="center"/>
              <w:rPr>
                <w:color w:val="0000FF"/>
                <w:sz w:val="22"/>
                <w:szCs w:val="22"/>
              </w:rPr>
            </w:pPr>
            <w:r w:rsidRPr="00993B55">
              <w:rPr>
                <w:rFonts w:cs="Arial"/>
                <w:color w:val="0000FF"/>
                <w:sz w:val="22"/>
                <w:szCs w:val="22"/>
              </w:rPr>
              <w:t>Yes / No</w:t>
            </w:r>
          </w:p>
        </w:tc>
      </w:tr>
      <w:tr w:rsidR="00E24953" w:rsidRPr="00993B55" w14:paraId="585F85D2" w14:textId="77777777" w:rsidTr="00E24953">
        <w:trPr>
          <w:trHeight w:val="432"/>
        </w:trPr>
        <w:tc>
          <w:tcPr>
            <w:tcW w:w="2103" w:type="dxa"/>
            <w:shd w:val="clear" w:color="auto" w:fill="auto"/>
            <w:vAlign w:val="center"/>
          </w:tcPr>
          <w:p w14:paraId="2D9CE43E" w14:textId="2E31DEAF" w:rsidR="00E24953" w:rsidRPr="00993B55" w:rsidRDefault="00E24953" w:rsidP="0090690D">
            <w:pPr>
              <w:keepNext/>
              <w:widowControl w:val="0"/>
              <w:jc w:val="center"/>
              <w:rPr>
                <w:rFonts w:cs="Arial"/>
                <w:sz w:val="22"/>
                <w:szCs w:val="22"/>
              </w:rPr>
            </w:pPr>
            <w:r w:rsidRPr="00993B55">
              <w:rPr>
                <w:rFonts w:cs="Arial"/>
                <w:sz w:val="22"/>
                <w:szCs w:val="22"/>
              </w:rPr>
              <w:t>PM</w:t>
            </w:r>
            <w:r>
              <w:rPr>
                <w:rFonts w:cs="Arial"/>
                <w:sz w:val="22"/>
                <w:szCs w:val="22"/>
              </w:rPr>
              <w:t>10</w:t>
            </w:r>
          </w:p>
        </w:tc>
        <w:tc>
          <w:tcPr>
            <w:tcW w:w="2340" w:type="dxa"/>
            <w:shd w:val="clear" w:color="auto" w:fill="auto"/>
            <w:vAlign w:val="center"/>
          </w:tcPr>
          <w:p w14:paraId="76ECE9C0" w14:textId="274E36CC" w:rsidR="00E24953" w:rsidRPr="00993B55" w:rsidRDefault="00E24953" w:rsidP="0090690D">
            <w:pPr>
              <w:keepNext/>
              <w:widowControl w:val="0"/>
              <w:jc w:val="center"/>
              <w:rPr>
                <w:rFonts w:cs="Arial"/>
                <w:sz w:val="22"/>
                <w:szCs w:val="22"/>
              </w:rPr>
            </w:pPr>
            <w:r w:rsidRPr="0006451F">
              <w:rPr>
                <w:color w:val="0000FF"/>
                <w:sz w:val="22"/>
                <w:szCs w:val="22"/>
              </w:rPr>
              <w:t>X,XXX</w:t>
            </w:r>
          </w:p>
        </w:tc>
        <w:tc>
          <w:tcPr>
            <w:tcW w:w="2034" w:type="dxa"/>
            <w:shd w:val="clear" w:color="auto" w:fill="auto"/>
            <w:vAlign w:val="center"/>
          </w:tcPr>
          <w:p w14:paraId="79D052AC" w14:textId="77777777" w:rsidR="00E24953" w:rsidRPr="00993B55" w:rsidRDefault="00E24953" w:rsidP="0090690D">
            <w:pPr>
              <w:keepNext/>
              <w:widowControl w:val="0"/>
              <w:jc w:val="center"/>
              <w:rPr>
                <w:rFonts w:cs="Arial"/>
                <w:sz w:val="22"/>
                <w:szCs w:val="22"/>
              </w:rPr>
            </w:pPr>
            <w:r w:rsidRPr="00993B55">
              <w:rPr>
                <w:rFonts w:cs="Arial"/>
                <w:sz w:val="22"/>
                <w:szCs w:val="22"/>
              </w:rPr>
              <w:t>30,000</w:t>
            </w:r>
          </w:p>
        </w:tc>
        <w:tc>
          <w:tcPr>
            <w:tcW w:w="2613" w:type="dxa"/>
            <w:shd w:val="clear" w:color="auto" w:fill="auto"/>
            <w:vAlign w:val="center"/>
          </w:tcPr>
          <w:p w14:paraId="48008E4A" w14:textId="77777777" w:rsidR="00E24953" w:rsidRPr="00993B55" w:rsidRDefault="00E24953" w:rsidP="0090690D">
            <w:pPr>
              <w:keepNext/>
              <w:widowControl w:val="0"/>
              <w:jc w:val="center"/>
              <w:rPr>
                <w:color w:val="0000FF"/>
                <w:sz w:val="22"/>
                <w:szCs w:val="22"/>
              </w:rPr>
            </w:pPr>
            <w:r w:rsidRPr="00993B55">
              <w:rPr>
                <w:rFonts w:cs="Arial"/>
                <w:color w:val="0000FF"/>
                <w:sz w:val="22"/>
                <w:szCs w:val="22"/>
              </w:rPr>
              <w:t>Step 2 Required / No</w:t>
            </w:r>
          </w:p>
        </w:tc>
      </w:tr>
      <w:tr w:rsidR="00E24953" w:rsidRPr="00993B55" w14:paraId="7AAE6765" w14:textId="77777777" w:rsidTr="00E24953">
        <w:trPr>
          <w:trHeight w:val="432"/>
        </w:trPr>
        <w:tc>
          <w:tcPr>
            <w:tcW w:w="2103" w:type="dxa"/>
            <w:shd w:val="clear" w:color="auto" w:fill="auto"/>
            <w:vAlign w:val="center"/>
          </w:tcPr>
          <w:p w14:paraId="639DBA6E" w14:textId="27319EA7" w:rsidR="00E24953" w:rsidRPr="00993B55" w:rsidRDefault="00E24953" w:rsidP="0090690D">
            <w:pPr>
              <w:keepNext/>
              <w:widowControl w:val="0"/>
              <w:jc w:val="center"/>
              <w:rPr>
                <w:rFonts w:cs="Arial"/>
                <w:sz w:val="22"/>
                <w:szCs w:val="22"/>
              </w:rPr>
            </w:pPr>
            <w:r w:rsidRPr="00993B55">
              <w:rPr>
                <w:rFonts w:cs="Arial"/>
                <w:sz w:val="22"/>
                <w:szCs w:val="22"/>
              </w:rPr>
              <w:t>PM</w:t>
            </w:r>
            <w:r>
              <w:rPr>
                <w:rFonts w:cs="Arial"/>
                <w:sz w:val="22"/>
                <w:szCs w:val="22"/>
              </w:rPr>
              <w:t>2.5</w:t>
            </w:r>
          </w:p>
        </w:tc>
        <w:tc>
          <w:tcPr>
            <w:tcW w:w="2340" w:type="dxa"/>
            <w:shd w:val="clear" w:color="auto" w:fill="auto"/>
            <w:vAlign w:val="center"/>
          </w:tcPr>
          <w:p w14:paraId="3505F271" w14:textId="7E98E861" w:rsidR="00E24953" w:rsidRPr="00993B55" w:rsidRDefault="00E24953" w:rsidP="0090690D">
            <w:pPr>
              <w:keepNext/>
              <w:widowControl w:val="0"/>
              <w:jc w:val="center"/>
              <w:rPr>
                <w:rFonts w:cs="Arial"/>
                <w:sz w:val="22"/>
                <w:szCs w:val="22"/>
              </w:rPr>
            </w:pPr>
            <w:r w:rsidRPr="0006451F">
              <w:rPr>
                <w:color w:val="0000FF"/>
                <w:sz w:val="22"/>
                <w:szCs w:val="22"/>
              </w:rPr>
              <w:t>X,XXX</w:t>
            </w:r>
          </w:p>
        </w:tc>
        <w:tc>
          <w:tcPr>
            <w:tcW w:w="2034" w:type="dxa"/>
            <w:shd w:val="clear" w:color="auto" w:fill="auto"/>
            <w:vAlign w:val="center"/>
          </w:tcPr>
          <w:p w14:paraId="4032A2C8" w14:textId="77777777" w:rsidR="00E24953" w:rsidRPr="00993B55" w:rsidRDefault="00E24953" w:rsidP="0090690D">
            <w:pPr>
              <w:keepNext/>
              <w:widowControl w:val="0"/>
              <w:jc w:val="center"/>
              <w:rPr>
                <w:rFonts w:cs="Arial"/>
                <w:sz w:val="22"/>
                <w:szCs w:val="22"/>
              </w:rPr>
            </w:pPr>
            <w:r w:rsidRPr="00993B55">
              <w:rPr>
                <w:rFonts w:cs="Arial"/>
                <w:sz w:val="22"/>
                <w:szCs w:val="22"/>
              </w:rPr>
              <w:t>20,000</w:t>
            </w:r>
          </w:p>
        </w:tc>
        <w:tc>
          <w:tcPr>
            <w:tcW w:w="2613" w:type="dxa"/>
            <w:shd w:val="clear" w:color="auto" w:fill="auto"/>
            <w:vAlign w:val="center"/>
          </w:tcPr>
          <w:p w14:paraId="719BA24D" w14:textId="77777777" w:rsidR="00E24953" w:rsidRPr="00993B55" w:rsidRDefault="00E24953" w:rsidP="0090690D">
            <w:pPr>
              <w:keepNext/>
              <w:widowControl w:val="0"/>
              <w:jc w:val="center"/>
              <w:rPr>
                <w:color w:val="0000FF"/>
                <w:sz w:val="22"/>
                <w:szCs w:val="22"/>
              </w:rPr>
            </w:pPr>
            <w:r w:rsidRPr="00993B55">
              <w:rPr>
                <w:rFonts w:cs="Arial"/>
                <w:color w:val="0000FF"/>
                <w:sz w:val="22"/>
                <w:szCs w:val="22"/>
              </w:rPr>
              <w:t>Step 2 Required / No</w:t>
            </w:r>
          </w:p>
        </w:tc>
      </w:tr>
      <w:tr w:rsidR="00E24953" w:rsidRPr="00993B55" w14:paraId="3FB0FA95" w14:textId="77777777" w:rsidTr="00E24953">
        <w:trPr>
          <w:trHeight w:val="432"/>
        </w:trPr>
        <w:tc>
          <w:tcPr>
            <w:tcW w:w="2103" w:type="dxa"/>
            <w:shd w:val="clear" w:color="auto" w:fill="auto"/>
            <w:vAlign w:val="center"/>
          </w:tcPr>
          <w:p w14:paraId="0FC17E9D" w14:textId="1E4C8DBB" w:rsidR="00E24953" w:rsidRPr="00993B55" w:rsidRDefault="00E24953" w:rsidP="0090690D">
            <w:pPr>
              <w:keepNext/>
              <w:widowControl w:val="0"/>
              <w:jc w:val="center"/>
              <w:rPr>
                <w:rFonts w:cs="Arial"/>
                <w:sz w:val="22"/>
                <w:szCs w:val="22"/>
              </w:rPr>
            </w:pPr>
            <w:r w:rsidRPr="00993B55">
              <w:rPr>
                <w:rFonts w:cs="Arial"/>
                <w:sz w:val="22"/>
                <w:szCs w:val="22"/>
              </w:rPr>
              <w:t>SO</w:t>
            </w:r>
            <w:r>
              <w:rPr>
                <w:rFonts w:cs="Arial"/>
                <w:sz w:val="22"/>
                <w:szCs w:val="22"/>
              </w:rPr>
              <w:t>x</w:t>
            </w:r>
          </w:p>
        </w:tc>
        <w:tc>
          <w:tcPr>
            <w:tcW w:w="2340" w:type="dxa"/>
            <w:shd w:val="clear" w:color="auto" w:fill="auto"/>
            <w:vAlign w:val="center"/>
          </w:tcPr>
          <w:p w14:paraId="0D22F653" w14:textId="4B17BAE3" w:rsidR="00E24953" w:rsidRPr="00993B55" w:rsidRDefault="00E24953" w:rsidP="0090690D">
            <w:pPr>
              <w:keepNext/>
              <w:widowControl w:val="0"/>
              <w:jc w:val="center"/>
              <w:rPr>
                <w:rFonts w:cs="Arial"/>
                <w:sz w:val="22"/>
                <w:szCs w:val="22"/>
              </w:rPr>
            </w:pPr>
            <w:r w:rsidRPr="0006451F">
              <w:rPr>
                <w:color w:val="0000FF"/>
                <w:sz w:val="22"/>
                <w:szCs w:val="22"/>
              </w:rPr>
              <w:t>X,XXX</w:t>
            </w:r>
          </w:p>
        </w:tc>
        <w:tc>
          <w:tcPr>
            <w:tcW w:w="2034" w:type="dxa"/>
            <w:shd w:val="clear" w:color="auto" w:fill="auto"/>
            <w:vAlign w:val="center"/>
          </w:tcPr>
          <w:p w14:paraId="115084DA" w14:textId="77777777" w:rsidR="00E24953" w:rsidRPr="00993B55" w:rsidRDefault="00E24953" w:rsidP="0090690D">
            <w:pPr>
              <w:keepNext/>
              <w:widowControl w:val="0"/>
              <w:jc w:val="center"/>
              <w:rPr>
                <w:rFonts w:cs="Arial"/>
                <w:sz w:val="22"/>
                <w:szCs w:val="22"/>
              </w:rPr>
            </w:pPr>
            <w:r w:rsidRPr="00993B55">
              <w:rPr>
                <w:rFonts w:cs="Arial"/>
                <w:sz w:val="22"/>
                <w:szCs w:val="22"/>
              </w:rPr>
              <w:t>80,000</w:t>
            </w:r>
          </w:p>
        </w:tc>
        <w:tc>
          <w:tcPr>
            <w:tcW w:w="2613" w:type="dxa"/>
            <w:shd w:val="clear" w:color="auto" w:fill="auto"/>
            <w:vAlign w:val="center"/>
          </w:tcPr>
          <w:p w14:paraId="59056999" w14:textId="77777777" w:rsidR="00E24953" w:rsidRPr="00993B55" w:rsidRDefault="00E24953" w:rsidP="0090690D">
            <w:pPr>
              <w:keepNext/>
              <w:widowControl w:val="0"/>
              <w:jc w:val="center"/>
              <w:rPr>
                <w:color w:val="0000FF"/>
                <w:sz w:val="22"/>
                <w:szCs w:val="22"/>
              </w:rPr>
            </w:pPr>
            <w:r w:rsidRPr="00993B55">
              <w:rPr>
                <w:rFonts w:cs="Arial"/>
                <w:color w:val="0000FF"/>
                <w:sz w:val="22"/>
                <w:szCs w:val="22"/>
              </w:rPr>
              <w:t>Step 2 Required / No</w:t>
            </w:r>
          </w:p>
        </w:tc>
      </w:tr>
    </w:tbl>
    <w:p w14:paraId="038A0478" w14:textId="2992E8E6" w:rsidR="000177D5" w:rsidRPr="00993B55" w:rsidRDefault="000177D5" w:rsidP="007A60F3">
      <w:pPr>
        <w:widowControl w:val="0"/>
        <w:ind w:left="810"/>
        <w:rPr>
          <w:rFonts w:cs="Arial"/>
          <w:sz w:val="20"/>
        </w:rPr>
      </w:pPr>
      <w:r w:rsidRPr="00993B55">
        <w:rPr>
          <w:rFonts w:cs="Arial"/>
          <w:sz w:val="20"/>
        </w:rPr>
        <w:t>*If there is any emission increases in NO</w:t>
      </w:r>
      <w:r w:rsidR="00051B20">
        <w:rPr>
          <w:rFonts w:cs="Arial"/>
          <w:sz w:val="20"/>
        </w:rPr>
        <w:t>x</w:t>
      </w:r>
      <w:r w:rsidRPr="00993B55">
        <w:rPr>
          <w:rFonts w:cs="Arial"/>
          <w:sz w:val="20"/>
        </w:rPr>
        <w:t xml:space="preserve"> or VOC, this project is a Federal Major Modification and no further analysis is required.</w:t>
      </w:r>
    </w:p>
    <w:p w14:paraId="60DA1701" w14:textId="77777777" w:rsidR="000177D5" w:rsidRPr="00993B55" w:rsidRDefault="000177D5" w:rsidP="007A60F3">
      <w:pPr>
        <w:pStyle w:val="BodyText"/>
        <w:widowControl w:val="0"/>
        <w:autoSpaceDE w:val="0"/>
        <w:autoSpaceDN w:val="0"/>
        <w:adjustRightInd w:val="0"/>
        <w:ind w:left="720"/>
        <w:jc w:val="left"/>
        <w:rPr>
          <w:rFonts w:cs="Arial"/>
        </w:rPr>
      </w:pPr>
    </w:p>
    <w:p w14:paraId="29B17009" w14:textId="77777777" w:rsidR="000177D5" w:rsidRPr="00993B55" w:rsidRDefault="000177D5" w:rsidP="007A60F3">
      <w:pPr>
        <w:pStyle w:val="BodyText"/>
        <w:widowControl w:val="0"/>
        <w:autoSpaceDE w:val="0"/>
        <w:autoSpaceDN w:val="0"/>
        <w:adjustRightInd w:val="0"/>
        <w:ind w:left="720"/>
        <w:jc w:val="left"/>
        <w:rPr>
          <w:rFonts w:cs="Arial"/>
          <w:color w:val="FF0000"/>
        </w:rPr>
      </w:pPr>
      <w:r w:rsidRPr="00993B55">
        <w:rPr>
          <w:rFonts w:cs="Arial"/>
          <w:color w:val="FF0000"/>
        </w:rPr>
        <w:t>Use either one of the following 3 conclusions, as applicable</w:t>
      </w:r>
    </w:p>
    <w:p w14:paraId="1723C79D" w14:textId="77777777" w:rsidR="000177D5" w:rsidRPr="00993B55" w:rsidRDefault="000177D5" w:rsidP="007A60F3">
      <w:pPr>
        <w:pStyle w:val="BodyText"/>
        <w:widowControl w:val="0"/>
        <w:autoSpaceDE w:val="0"/>
        <w:autoSpaceDN w:val="0"/>
        <w:adjustRightInd w:val="0"/>
        <w:ind w:left="720"/>
        <w:rPr>
          <w:rFonts w:cs="Arial"/>
          <w:color w:val="FF0000"/>
        </w:rPr>
      </w:pPr>
    </w:p>
    <w:p w14:paraId="52AD8A4E" w14:textId="77777777" w:rsidR="000177D5" w:rsidRPr="00993B55" w:rsidRDefault="000177D5" w:rsidP="007A60F3">
      <w:pPr>
        <w:pStyle w:val="BodyText"/>
        <w:widowControl w:val="0"/>
        <w:autoSpaceDE w:val="0"/>
        <w:autoSpaceDN w:val="0"/>
        <w:adjustRightInd w:val="0"/>
        <w:ind w:left="720"/>
        <w:rPr>
          <w:rFonts w:cs="Arial"/>
          <w:b/>
          <w:color w:val="FF0000"/>
        </w:rPr>
      </w:pPr>
      <w:r w:rsidRPr="00993B55">
        <w:rPr>
          <w:rFonts w:cs="Arial"/>
          <w:color w:val="FF0000"/>
        </w:rPr>
        <w:t xml:space="preserve">Conclusion 1 - </w:t>
      </w:r>
      <w:r w:rsidRPr="00993B55">
        <w:rPr>
          <w:rFonts w:cs="Arial"/>
          <w:b/>
          <w:color w:val="FF0000"/>
        </w:rPr>
        <w:t xml:space="preserve">NOT Federal Major Modification for any pollutant </w:t>
      </w:r>
    </w:p>
    <w:p w14:paraId="669FBBFC" w14:textId="77777777" w:rsidR="000177D5" w:rsidRPr="00993B55" w:rsidRDefault="000177D5" w:rsidP="007A60F3">
      <w:pPr>
        <w:pStyle w:val="BodyText"/>
        <w:widowControl w:val="0"/>
        <w:autoSpaceDE w:val="0"/>
        <w:autoSpaceDN w:val="0"/>
        <w:adjustRightInd w:val="0"/>
        <w:ind w:left="720"/>
        <w:rPr>
          <w:rFonts w:cs="Arial"/>
          <w:color w:val="FF0000"/>
        </w:rPr>
      </w:pPr>
      <w:r w:rsidRPr="00993B55">
        <w:rPr>
          <w:rFonts w:cs="Arial"/>
          <w:b/>
          <w:color w:val="FF0000"/>
        </w:rPr>
        <w:t>All answers are “no” in table above</w:t>
      </w:r>
      <w:r w:rsidRPr="00993B55">
        <w:rPr>
          <w:rFonts w:cs="Arial"/>
          <w:color w:val="FF0000"/>
        </w:rPr>
        <w:t>: use the following paragraph and delete the rest of this section and Step 2 of FMM determination.</w:t>
      </w:r>
    </w:p>
    <w:p w14:paraId="18FB90BC" w14:textId="77777777" w:rsidR="000177D5" w:rsidRPr="00993B55" w:rsidRDefault="000177D5" w:rsidP="007A60F3">
      <w:pPr>
        <w:pStyle w:val="BodyText"/>
        <w:widowControl w:val="0"/>
        <w:autoSpaceDE w:val="0"/>
        <w:autoSpaceDN w:val="0"/>
        <w:adjustRightInd w:val="0"/>
        <w:ind w:left="720"/>
        <w:rPr>
          <w:rFonts w:cs="Arial"/>
        </w:rPr>
      </w:pPr>
      <w:r w:rsidRPr="00993B55">
        <w:rPr>
          <w:rFonts w:cs="Arial"/>
        </w:rPr>
        <w:t>Since none of the Federal Major Modification Thresholds are being surpassed with this project, this project does not constitute a Federal Major Modification and step 2 is not required and no further discussion is required.</w:t>
      </w:r>
    </w:p>
    <w:p w14:paraId="05EC3C24" w14:textId="77777777" w:rsidR="000177D5" w:rsidRPr="00993B55" w:rsidRDefault="000177D5" w:rsidP="007A60F3">
      <w:pPr>
        <w:pStyle w:val="BodyText"/>
        <w:widowControl w:val="0"/>
        <w:autoSpaceDE w:val="0"/>
        <w:autoSpaceDN w:val="0"/>
        <w:adjustRightInd w:val="0"/>
        <w:ind w:left="720"/>
        <w:rPr>
          <w:rFonts w:cs="Arial"/>
        </w:rPr>
      </w:pPr>
    </w:p>
    <w:p w14:paraId="52CBDB43" w14:textId="0161F876" w:rsidR="000177D5" w:rsidRPr="00993B55" w:rsidRDefault="000177D5" w:rsidP="007A60F3">
      <w:pPr>
        <w:pStyle w:val="BodyText"/>
        <w:widowControl w:val="0"/>
        <w:autoSpaceDE w:val="0"/>
        <w:autoSpaceDN w:val="0"/>
        <w:adjustRightInd w:val="0"/>
        <w:ind w:left="720"/>
        <w:rPr>
          <w:rFonts w:cs="Arial"/>
          <w:color w:val="FF0000"/>
        </w:rPr>
      </w:pPr>
      <w:r w:rsidRPr="00993B55">
        <w:rPr>
          <w:rFonts w:cs="Arial"/>
          <w:color w:val="FF0000"/>
        </w:rPr>
        <w:t xml:space="preserve">Conclusion 2 </w:t>
      </w:r>
      <w:r w:rsidR="00CB5810">
        <w:rPr>
          <w:rFonts w:cs="Arial"/>
          <w:color w:val="FF0000"/>
        </w:rPr>
        <w:t>-</w:t>
      </w:r>
      <w:r w:rsidRPr="00993B55">
        <w:rPr>
          <w:rFonts w:cs="Arial"/>
          <w:color w:val="FF0000"/>
        </w:rPr>
        <w:t xml:space="preserve"> </w:t>
      </w:r>
      <w:r w:rsidRPr="00993B55">
        <w:rPr>
          <w:rFonts w:cs="Arial"/>
          <w:b/>
          <w:color w:val="FF0000"/>
        </w:rPr>
        <w:t>Federal Major Modification for NOx or VOC</w:t>
      </w:r>
    </w:p>
    <w:p w14:paraId="248B1A19" w14:textId="7625436B" w:rsidR="003C04A7" w:rsidRDefault="000177D5" w:rsidP="007A60F3">
      <w:pPr>
        <w:pStyle w:val="BodyText"/>
        <w:widowControl w:val="0"/>
        <w:autoSpaceDE w:val="0"/>
        <w:autoSpaceDN w:val="0"/>
        <w:adjustRightInd w:val="0"/>
        <w:ind w:left="720"/>
      </w:pPr>
      <w:r w:rsidRPr="00993B55">
        <w:rPr>
          <w:rFonts w:cs="Arial"/>
        </w:rPr>
        <w:t xml:space="preserve">Since there is an increase in </w:t>
      </w:r>
      <w:r w:rsidRPr="00993B55">
        <w:rPr>
          <w:rFonts w:cs="Arial"/>
          <w:color w:val="0000FF"/>
        </w:rPr>
        <w:t>NO</w:t>
      </w:r>
      <w:r w:rsidR="00051B20">
        <w:rPr>
          <w:rFonts w:cs="Arial"/>
          <w:color w:val="0000FF"/>
        </w:rPr>
        <w:t>x</w:t>
      </w:r>
      <w:r w:rsidRPr="00993B55">
        <w:rPr>
          <w:rFonts w:cs="Arial"/>
          <w:color w:val="0000FF"/>
        </w:rPr>
        <w:t xml:space="preserve"> and/or VOC </w:t>
      </w:r>
      <w:r w:rsidRPr="00993B55">
        <w:rPr>
          <w:rFonts w:cs="Arial"/>
        </w:rPr>
        <w:t xml:space="preserve">emissions, this project constitutes a </w:t>
      </w:r>
      <w:r w:rsidRPr="00993B55">
        <w:rPr>
          <w:rFonts w:cs="Arial"/>
        </w:rPr>
        <w:lastRenderedPageBreak/>
        <w:t xml:space="preserve">Federal Major Modification.  </w:t>
      </w:r>
      <w:r w:rsidRPr="00993B55">
        <w:t xml:space="preserve">Consequently, as discussed below in the offset section of this evaluation, pursuant to Section </w:t>
      </w:r>
      <w:r w:rsidR="003D0AE4">
        <w:t>4.8.1.1</w:t>
      </w:r>
      <w:r w:rsidRPr="00993B55">
        <w:t xml:space="preserve"> of District Rule 2201, </w:t>
      </w:r>
      <w:r w:rsidRPr="00993B55">
        <w:rPr>
          <w:color w:val="0000FF"/>
        </w:rPr>
        <w:t xml:space="preserve">NOx and VOC </w:t>
      </w:r>
      <w:r w:rsidR="003D0AE4">
        <w:t>internal emission reductions (IER) or other actual emission reductions (AERs)</w:t>
      </w:r>
      <w:r w:rsidRPr="00993B55">
        <w:t xml:space="preserve"> used to satisfy the offset quantity required under District Rule 2201 must</w:t>
      </w:r>
      <w:r w:rsidR="00F04896">
        <w:t xml:space="preserve"> be</w:t>
      </w:r>
      <w:r w:rsidRPr="00993B55">
        <w:t xml:space="preserve"> surplus at the time of use (ATC issuance).</w:t>
      </w:r>
    </w:p>
    <w:p w14:paraId="5592D276" w14:textId="2EB3031C" w:rsidR="00B67F0D" w:rsidRDefault="000177D5" w:rsidP="007A60F3">
      <w:pPr>
        <w:pStyle w:val="BodyText"/>
        <w:widowControl w:val="0"/>
        <w:autoSpaceDE w:val="0"/>
        <w:autoSpaceDN w:val="0"/>
        <w:adjustRightInd w:val="0"/>
        <w:ind w:left="720"/>
      </w:pPr>
      <w:r w:rsidRPr="00993B55">
        <w:t xml:space="preserve"> </w:t>
      </w:r>
    </w:p>
    <w:p w14:paraId="2ECAC94F" w14:textId="04B54FE7" w:rsidR="000177D5" w:rsidRPr="00993B55" w:rsidRDefault="000177D5" w:rsidP="007A60F3">
      <w:pPr>
        <w:pStyle w:val="BodyText"/>
        <w:widowControl w:val="0"/>
        <w:autoSpaceDE w:val="0"/>
        <w:autoSpaceDN w:val="0"/>
        <w:adjustRightInd w:val="0"/>
        <w:ind w:left="720"/>
        <w:rPr>
          <w:rFonts w:cs="Arial"/>
        </w:rPr>
      </w:pPr>
      <w:r w:rsidRPr="00993B55">
        <w:rPr>
          <w:rFonts w:cs="Arial"/>
        </w:rPr>
        <w:t>Separately, Federal Offset Quantity is calculated below.</w:t>
      </w:r>
    </w:p>
    <w:p w14:paraId="05105CFE" w14:textId="77777777" w:rsidR="00856FA9" w:rsidRPr="00993B55" w:rsidRDefault="00856FA9" w:rsidP="007A60F3">
      <w:pPr>
        <w:pStyle w:val="BodyText"/>
        <w:widowControl w:val="0"/>
        <w:autoSpaceDE w:val="0"/>
        <w:autoSpaceDN w:val="0"/>
        <w:adjustRightInd w:val="0"/>
        <w:ind w:left="720"/>
        <w:rPr>
          <w:rFonts w:cs="Arial"/>
        </w:rPr>
      </w:pPr>
    </w:p>
    <w:p w14:paraId="0338D5F6" w14:textId="6868C283" w:rsidR="000177D5" w:rsidRPr="00993B55" w:rsidRDefault="000177D5" w:rsidP="007A60F3">
      <w:pPr>
        <w:pStyle w:val="BodyText"/>
        <w:widowControl w:val="0"/>
        <w:autoSpaceDE w:val="0"/>
        <w:autoSpaceDN w:val="0"/>
        <w:adjustRightInd w:val="0"/>
        <w:ind w:left="720"/>
        <w:rPr>
          <w:rFonts w:cs="Arial"/>
          <w:color w:val="FF0000"/>
        </w:rPr>
      </w:pPr>
      <w:r w:rsidRPr="00993B55">
        <w:rPr>
          <w:rFonts w:cs="Arial"/>
          <w:color w:val="FF0000"/>
        </w:rPr>
        <w:t xml:space="preserve">Conclusion </w:t>
      </w:r>
      <w:r w:rsidR="007D1076">
        <w:rPr>
          <w:rFonts w:cs="Arial"/>
          <w:color w:val="FF0000"/>
        </w:rPr>
        <w:t>3</w:t>
      </w:r>
      <w:r w:rsidRPr="00993B55">
        <w:rPr>
          <w:rFonts w:cs="Arial"/>
          <w:color w:val="FF0000"/>
        </w:rPr>
        <w:t xml:space="preserve"> </w:t>
      </w:r>
      <w:r w:rsidR="00CB5810">
        <w:rPr>
          <w:rFonts w:cs="Arial"/>
          <w:color w:val="FF0000"/>
        </w:rPr>
        <w:t>-</w:t>
      </w:r>
      <w:r w:rsidRPr="00993B55">
        <w:rPr>
          <w:rFonts w:cs="Arial"/>
          <w:color w:val="FF0000"/>
        </w:rPr>
        <w:t xml:space="preserve"> </w:t>
      </w:r>
      <w:r w:rsidRPr="00993B55">
        <w:rPr>
          <w:rFonts w:cs="Arial"/>
          <w:b/>
          <w:color w:val="FF0000"/>
        </w:rPr>
        <w:t>Federal Major Modification for PM10, PM2.5 or SOx</w:t>
      </w:r>
    </w:p>
    <w:p w14:paraId="3674F72A" w14:textId="77777777" w:rsidR="000177D5" w:rsidRPr="00993B55" w:rsidRDefault="000177D5" w:rsidP="007A60F3">
      <w:pPr>
        <w:pStyle w:val="BodyText"/>
        <w:widowControl w:val="0"/>
        <w:autoSpaceDE w:val="0"/>
        <w:autoSpaceDN w:val="0"/>
        <w:adjustRightInd w:val="0"/>
        <w:ind w:left="720"/>
        <w:rPr>
          <w:rFonts w:cs="Arial"/>
        </w:rPr>
      </w:pPr>
      <w:r w:rsidRPr="00993B55">
        <w:rPr>
          <w:rFonts w:cs="Arial"/>
        </w:rPr>
        <w:t xml:space="preserve">Since the Federal Major Modification Thresholds have been surpassed for </w:t>
      </w:r>
      <w:r w:rsidRPr="00993B55">
        <w:rPr>
          <w:rFonts w:cs="Arial"/>
          <w:color w:val="0000FF"/>
        </w:rPr>
        <w:t xml:space="preserve">PM10, PM2.5 and/or SOx </w:t>
      </w:r>
      <w:r w:rsidRPr="00993B55">
        <w:rPr>
          <w:rFonts w:cs="Arial"/>
        </w:rPr>
        <w:t>emissions, Step 2 is required.</w:t>
      </w:r>
    </w:p>
    <w:p w14:paraId="6AEB3694" w14:textId="19B49A99" w:rsidR="000177D5" w:rsidRDefault="000177D5" w:rsidP="007A60F3">
      <w:pPr>
        <w:pStyle w:val="BodyText"/>
        <w:widowControl w:val="0"/>
        <w:autoSpaceDE w:val="0"/>
        <w:autoSpaceDN w:val="0"/>
        <w:adjustRightInd w:val="0"/>
        <w:ind w:left="720"/>
        <w:rPr>
          <w:rFonts w:cs="Arial"/>
        </w:rPr>
      </w:pPr>
    </w:p>
    <w:p w14:paraId="5C99B796" w14:textId="77777777" w:rsidR="000177D5" w:rsidRPr="00993B55" w:rsidRDefault="000177D5" w:rsidP="007A60F3">
      <w:pPr>
        <w:pStyle w:val="BodyText"/>
        <w:widowControl w:val="0"/>
        <w:autoSpaceDE w:val="0"/>
        <w:autoSpaceDN w:val="0"/>
        <w:adjustRightInd w:val="0"/>
        <w:ind w:left="720"/>
        <w:jc w:val="left"/>
        <w:rPr>
          <w:rFonts w:cs="Arial"/>
          <w:b/>
          <w:color w:val="000000"/>
        </w:rPr>
      </w:pPr>
      <w:r w:rsidRPr="00993B55">
        <w:rPr>
          <w:rFonts w:cs="Arial"/>
          <w:b/>
          <w:color w:val="000000"/>
        </w:rPr>
        <w:t xml:space="preserve">Step 2: </w:t>
      </w:r>
      <w:r w:rsidRPr="00993B55">
        <w:rPr>
          <w:b/>
          <w:noProof/>
        </w:rPr>
        <w:t>Project Net Emissions Increase</w:t>
      </w:r>
    </w:p>
    <w:p w14:paraId="1024DE05" w14:textId="77777777" w:rsidR="000177D5" w:rsidRPr="00993B55" w:rsidRDefault="000177D5" w:rsidP="007A60F3">
      <w:pPr>
        <w:pStyle w:val="BodyText"/>
        <w:widowControl w:val="0"/>
        <w:autoSpaceDE w:val="0"/>
        <w:autoSpaceDN w:val="0"/>
        <w:adjustRightInd w:val="0"/>
        <w:ind w:left="720"/>
        <w:jc w:val="left"/>
        <w:rPr>
          <w:rFonts w:cs="Arial"/>
          <w:color w:val="000000"/>
        </w:rPr>
      </w:pPr>
    </w:p>
    <w:p w14:paraId="71662833" w14:textId="77777777" w:rsidR="000177D5" w:rsidRPr="00993B55" w:rsidRDefault="000177D5" w:rsidP="007A60F3">
      <w:pPr>
        <w:pStyle w:val="BodyText"/>
        <w:widowControl w:val="0"/>
        <w:autoSpaceDE w:val="0"/>
        <w:autoSpaceDN w:val="0"/>
        <w:adjustRightInd w:val="0"/>
        <w:ind w:left="720"/>
        <w:rPr>
          <w:rFonts w:cs="Arial"/>
          <w:szCs w:val="23"/>
        </w:rPr>
      </w:pPr>
      <w:r w:rsidRPr="00993B55">
        <w:rPr>
          <w:rFonts w:cs="Arial"/>
        </w:rPr>
        <w:t xml:space="preserve">The second step includes comparing the total of all related emissions increases </w:t>
      </w:r>
      <w:r w:rsidRPr="00993B55">
        <w:rPr>
          <w:rFonts w:cs="Arial"/>
          <w:szCs w:val="23"/>
        </w:rPr>
        <w:t>and decreases at the facility occurring within the past five years (including those projects not related to the subject project) to determine if the project results in a significant net emission increase and thus a Federal Major Modification. In this calculation, all creditable emission decreases and increases are counted.</w:t>
      </w:r>
    </w:p>
    <w:p w14:paraId="77212A2E" w14:textId="77777777" w:rsidR="000177D5" w:rsidRPr="00993B55" w:rsidRDefault="000177D5" w:rsidP="007A60F3">
      <w:pPr>
        <w:pStyle w:val="BodyText"/>
        <w:widowControl w:val="0"/>
        <w:autoSpaceDE w:val="0"/>
        <w:autoSpaceDN w:val="0"/>
        <w:adjustRightInd w:val="0"/>
        <w:ind w:left="720"/>
        <w:rPr>
          <w:rFonts w:cs="Arial"/>
          <w:szCs w:val="23"/>
        </w:rPr>
      </w:pPr>
    </w:p>
    <w:p w14:paraId="4E5C1814" w14:textId="77777777" w:rsidR="000177D5" w:rsidRPr="00993B55" w:rsidRDefault="000177D5" w:rsidP="007A60F3">
      <w:pPr>
        <w:pStyle w:val="BodyText"/>
        <w:widowControl w:val="0"/>
        <w:autoSpaceDE w:val="0"/>
        <w:autoSpaceDN w:val="0"/>
        <w:adjustRightInd w:val="0"/>
        <w:ind w:left="720"/>
        <w:rPr>
          <w:noProof/>
        </w:rPr>
      </w:pPr>
      <w:r w:rsidRPr="00993B55">
        <w:rPr>
          <w:noProof/>
        </w:rPr>
        <w:t>Please note that, under the Federal Clean Air Act, section 182 (e) (2), Step 2 of the analysis shall not be performed for pollutant or their precursors for which a district is in extreme non-attainment status.  Since the District is classified as extreme non-attainment for ozone, this requirement applies to NOx and VOC and Step 2 of the analysis shall not be performed for either of these 2 criteria pollutants.</w:t>
      </w:r>
    </w:p>
    <w:p w14:paraId="3E148A5D" w14:textId="77777777" w:rsidR="000177D5" w:rsidRPr="00993B55" w:rsidRDefault="000177D5" w:rsidP="007A60F3">
      <w:pPr>
        <w:pStyle w:val="BodyText"/>
        <w:widowControl w:val="0"/>
        <w:autoSpaceDE w:val="0"/>
        <w:autoSpaceDN w:val="0"/>
        <w:adjustRightInd w:val="0"/>
        <w:ind w:left="720"/>
        <w:rPr>
          <w:rFonts w:cs="Arial"/>
          <w:szCs w:val="23"/>
        </w:rPr>
      </w:pPr>
    </w:p>
    <w:p w14:paraId="350CD61F" w14:textId="7C48D7F6" w:rsidR="000177D5" w:rsidRPr="00993B55" w:rsidRDefault="000177D5" w:rsidP="007A60F3">
      <w:pPr>
        <w:pStyle w:val="BodyText"/>
        <w:widowControl w:val="0"/>
        <w:autoSpaceDE w:val="0"/>
        <w:autoSpaceDN w:val="0"/>
        <w:adjustRightInd w:val="0"/>
        <w:ind w:left="720"/>
        <w:rPr>
          <w:rFonts w:cs="Arial"/>
          <w:color w:val="FF0000"/>
          <w:szCs w:val="23"/>
        </w:rPr>
      </w:pPr>
      <w:r w:rsidRPr="00993B55">
        <w:rPr>
          <w:rFonts w:cs="Arial"/>
          <w:color w:val="FF0000"/>
          <w:szCs w:val="23"/>
        </w:rPr>
        <w:t xml:space="preserve">Add the next paragraph if proposed, </w:t>
      </w:r>
      <w:r w:rsidR="00154DE7">
        <w:rPr>
          <w:rFonts w:cs="Arial"/>
          <w:color w:val="FF0000"/>
          <w:szCs w:val="23"/>
        </w:rPr>
        <w:t>and</w:t>
      </w:r>
      <w:r w:rsidR="00154DE7" w:rsidRPr="00993B55">
        <w:rPr>
          <w:rFonts w:cs="Arial"/>
          <w:color w:val="FF0000"/>
          <w:szCs w:val="23"/>
        </w:rPr>
        <w:t xml:space="preserve"> </w:t>
      </w:r>
      <w:r w:rsidRPr="00993B55">
        <w:rPr>
          <w:rFonts w:cs="Arial"/>
          <w:color w:val="FF0000"/>
          <w:szCs w:val="23"/>
        </w:rPr>
        <w:t>delete the rest of this section.</w:t>
      </w:r>
    </w:p>
    <w:p w14:paraId="487F2FEA" w14:textId="77777777" w:rsidR="000177D5" w:rsidRPr="00993B55" w:rsidRDefault="000177D5" w:rsidP="007A60F3">
      <w:pPr>
        <w:pStyle w:val="BodyText"/>
        <w:widowControl w:val="0"/>
        <w:autoSpaceDE w:val="0"/>
        <w:autoSpaceDN w:val="0"/>
        <w:adjustRightInd w:val="0"/>
        <w:ind w:left="720"/>
        <w:rPr>
          <w:rFonts w:cs="Arial"/>
        </w:rPr>
      </w:pPr>
      <w:r w:rsidRPr="00993B55">
        <w:rPr>
          <w:rFonts w:cs="Arial"/>
          <w:szCs w:val="23"/>
        </w:rPr>
        <w:t xml:space="preserve">Rather than supplying the required historical operating data for every emissions change over the past 5 years, the applicant has conceded that this project does constitute a Federal Major Modification for </w:t>
      </w:r>
      <w:r w:rsidRPr="00993B55">
        <w:rPr>
          <w:rFonts w:cs="Arial"/>
          <w:color w:val="FF0000"/>
          <w:szCs w:val="23"/>
        </w:rPr>
        <w:t>XYZ</w:t>
      </w:r>
      <w:r w:rsidRPr="00993B55">
        <w:rPr>
          <w:rFonts w:cs="Arial"/>
          <w:szCs w:val="23"/>
        </w:rPr>
        <w:t xml:space="preserve">.  The </w:t>
      </w:r>
      <w:r w:rsidRPr="00993B55">
        <w:rPr>
          <w:rFonts w:cs="Arial"/>
        </w:rPr>
        <w:t>Federal Offset Quantity is calculated below</w:t>
      </w:r>
    </w:p>
    <w:p w14:paraId="525DF6E1" w14:textId="77777777" w:rsidR="000177D5" w:rsidRPr="00993B55" w:rsidRDefault="000177D5" w:rsidP="007A60F3">
      <w:pPr>
        <w:pStyle w:val="BodyText"/>
        <w:widowControl w:val="0"/>
        <w:autoSpaceDE w:val="0"/>
        <w:autoSpaceDN w:val="0"/>
        <w:adjustRightInd w:val="0"/>
        <w:ind w:left="720"/>
        <w:rPr>
          <w:color w:val="FF0000"/>
          <w:sz w:val="20"/>
          <w:szCs w:val="20"/>
        </w:rPr>
      </w:pPr>
    </w:p>
    <w:p w14:paraId="79D4EB87" w14:textId="7F1EA3F3" w:rsidR="000177D5" w:rsidRPr="00993B55" w:rsidRDefault="000177D5" w:rsidP="007A60F3">
      <w:pPr>
        <w:pStyle w:val="BodyText"/>
        <w:widowControl w:val="0"/>
        <w:autoSpaceDE w:val="0"/>
        <w:autoSpaceDN w:val="0"/>
        <w:adjustRightInd w:val="0"/>
        <w:ind w:left="720"/>
        <w:rPr>
          <w:rFonts w:cs="Arial"/>
          <w:color w:val="000000"/>
        </w:rPr>
      </w:pPr>
      <w:r w:rsidRPr="00993B55">
        <w:rPr>
          <w:color w:val="FF0000"/>
        </w:rPr>
        <w:t>Please note that for projects that constitute a Federal major modification, the “emission increase” (calculated consistent with the requirements of 40 CFR 51.165) for such projects must be determined.</w:t>
      </w:r>
    </w:p>
    <w:p w14:paraId="785C996B" w14:textId="77777777" w:rsidR="000177D5" w:rsidRPr="00993B55" w:rsidRDefault="000177D5" w:rsidP="007A60F3">
      <w:pPr>
        <w:pStyle w:val="BodyText"/>
        <w:widowControl w:val="0"/>
        <w:autoSpaceDE w:val="0"/>
        <w:autoSpaceDN w:val="0"/>
        <w:adjustRightInd w:val="0"/>
        <w:ind w:left="720"/>
        <w:rPr>
          <w:rFonts w:cs="Arial"/>
        </w:rPr>
      </w:pPr>
      <w:r w:rsidRPr="00993B55">
        <w:rPr>
          <w:rFonts w:cs="Arial"/>
          <w:color w:val="000000"/>
        </w:rPr>
        <w:t xml:space="preserve">The applicant has provided all of the require historical operating data for every emissions change over the past 5 </w:t>
      </w:r>
      <w:r w:rsidRPr="00993B55">
        <w:rPr>
          <w:rFonts w:cs="Arial"/>
        </w:rPr>
        <w:t xml:space="preserve">years (see </w:t>
      </w:r>
      <w:r w:rsidRPr="00993B55">
        <w:rPr>
          <w:color w:val="0000FF"/>
        </w:rPr>
        <w:t>Appendix XXX</w:t>
      </w:r>
      <w:r w:rsidRPr="00993B55">
        <w:rPr>
          <w:rFonts w:cs="Arial"/>
        </w:rPr>
        <w:t>).</w:t>
      </w:r>
    </w:p>
    <w:p w14:paraId="137695FC" w14:textId="77777777" w:rsidR="000177D5" w:rsidRPr="00993B55" w:rsidRDefault="000177D5" w:rsidP="007A60F3">
      <w:pPr>
        <w:pStyle w:val="BodyText"/>
        <w:widowControl w:val="0"/>
        <w:autoSpaceDE w:val="0"/>
        <w:autoSpaceDN w:val="0"/>
        <w:adjustRightInd w:val="0"/>
        <w:ind w:left="720"/>
        <w:rPr>
          <w:rFonts w:cs="Arial"/>
        </w:rPr>
      </w:pPr>
    </w:p>
    <w:p w14:paraId="47649E9E" w14:textId="77777777" w:rsidR="000177D5" w:rsidRPr="00993B55" w:rsidRDefault="000177D5" w:rsidP="007A60F3">
      <w:pPr>
        <w:pStyle w:val="BodyText"/>
        <w:widowControl w:val="0"/>
        <w:autoSpaceDE w:val="0"/>
        <w:autoSpaceDN w:val="0"/>
        <w:adjustRightInd w:val="0"/>
        <w:ind w:left="720"/>
        <w:rPr>
          <w:rFonts w:cs="Arial"/>
          <w:color w:val="FF0000"/>
        </w:rPr>
      </w:pPr>
      <w:r w:rsidRPr="00993B55">
        <w:rPr>
          <w:rFonts w:cs="Arial"/>
          <w:color w:val="000000"/>
        </w:rPr>
        <w:t xml:space="preserve">The total 5-year NEI is calculated in </w:t>
      </w:r>
      <w:r w:rsidRPr="00993B55">
        <w:rPr>
          <w:color w:val="0000FF"/>
        </w:rPr>
        <w:t>Appendix XXX</w:t>
      </w:r>
      <w:r w:rsidRPr="00993B55">
        <w:rPr>
          <w:rFonts w:cs="Arial"/>
          <w:color w:val="000000"/>
        </w:rPr>
        <w:t xml:space="preserve"> and the values are compared to the Federal Major Modification Thresholds in the following table.  </w:t>
      </w:r>
      <w:r w:rsidRPr="00993B55">
        <w:rPr>
          <w:rFonts w:cs="Arial"/>
          <w:color w:val="FF0000"/>
        </w:rPr>
        <w:t>Note that any emissions increases of 0.5 lb/day or less (annual emissions / 365) are rounded to zero for NSR purposes.</w:t>
      </w:r>
    </w:p>
    <w:p w14:paraId="7A25E478" w14:textId="77777777" w:rsidR="000177D5" w:rsidRPr="00993B55" w:rsidRDefault="000177D5" w:rsidP="007A60F3">
      <w:pPr>
        <w:widowControl w:val="0"/>
        <w:ind w:left="720"/>
        <w:rPr>
          <w:rFonts w:cs="Arial"/>
        </w:rPr>
      </w:pPr>
    </w:p>
    <w:tbl>
      <w:tblPr>
        <w:tblW w:w="8593"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070"/>
        <w:gridCol w:w="2160"/>
        <w:gridCol w:w="2473"/>
      </w:tblGrid>
      <w:tr w:rsidR="000177D5" w:rsidRPr="00993B55" w14:paraId="091675A4" w14:textId="77777777" w:rsidTr="00505E9F">
        <w:trPr>
          <w:trHeight w:val="485"/>
        </w:trPr>
        <w:tc>
          <w:tcPr>
            <w:tcW w:w="8593" w:type="dxa"/>
            <w:gridSpan w:val="4"/>
            <w:shd w:val="clear" w:color="auto" w:fill="D9D9D9" w:themeFill="background1" w:themeFillShade="D9"/>
            <w:vAlign w:val="center"/>
          </w:tcPr>
          <w:p w14:paraId="1ABABDF7" w14:textId="77777777" w:rsidR="000177D5" w:rsidRPr="00993B55" w:rsidRDefault="000177D5" w:rsidP="0090690D">
            <w:pPr>
              <w:keepNext/>
              <w:widowControl w:val="0"/>
              <w:jc w:val="center"/>
              <w:rPr>
                <w:rFonts w:cs="Arial"/>
                <w:b/>
                <w:sz w:val="22"/>
                <w:szCs w:val="22"/>
              </w:rPr>
            </w:pPr>
            <w:r w:rsidRPr="00993B55">
              <w:rPr>
                <w:rFonts w:cs="Arial"/>
                <w:b/>
                <w:sz w:val="22"/>
                <w:szCs w:val="22"/>
              </w:rPr>
              <w:lastRenderedPageBreak/>
              <w:t>Federal Major Modification Thresholds for Total 5-Year NEI</w:t>
            </w:r>
          </w:p>
        </w:tc>
      </w:tr>
      <w:tr w:rsidR="000177D5" w:rsidRPr="00993B55" w14:paraId="6DB2505E" w14:textId="77777777" w:rsidTr="00505E9F">
        <w:trPr>
          <w:trHeight w:val="690"/>
        </w:trPr>
        <w:tc>
          <w:tcPr>
            <w:tcW w:w="1890" w:type="dxa"/>
            <w:shd w:val="clear" w:color="auto" w:fill="D9D9D9" w:themeFill="background1" w:themeFillShade="D9"/>
            <w:vAlign w:val="center"/>
          </w:tcPr>
          <w:p w14:paraId="00A28439" w14:textId="1998A498" w:rsidR="000177D5" w:rsidRPr="00993B55" w:rsidRDefault="009C551C" w:rsidP="0090690D">
            <w:pPr>
              <w:keepNext/>
              <w:widowControl w:val="0"/>
              <w:jc w:val="center"/>
              <w:rPr>
                <w:rFonts w:cs="Arial"/>
                <w:b/>
                <w:sz w:val="22"/>
                <w:szCs w:val="22"/>
              </w:rPr>
            </w:pPr>
            <w:r w:rsidRPr="00993B55">
              <w:rPr>
                <w:rFonts w:cs="Arial"/>
                <w:b/>
                <w:sz w:val="22"/>
                <w:szCs w:val="22"/>
              </w:rPr>
              <w:t>Pollutant</w:t>
            </w:r>
          </w:p>
        </w:tc>
        <w:tc>
          <w:tcPr>
            <w:tcW w:w="2070" w:type="dxa"/>
            <w:shd w:val="clear" w:color="auto" w:fill="D9D9D9" w:themeFill="background1" w:themeFillShade="D9"/>
            <w:vAlign w:val="center"/>
          </w:tcPr>
          <w:p w14:paraId="75B71EA0" w14:textId="77777777" w:rsidR="000177D5" w:rsidRPr="00993B55" w:rsidRDefault="000177D5" w:rsidP="0090690D">
            <w:pPr>
              <w:keepNext/>
              <w:widowControl w:val="0"/>
              <w:jc w:val="center"/>
              <w:rPr>
                <w:rFonts w:cs="Arial"/>
                <w:b/>
                <w:sz w:val="22"/>
                <w:szCs w:val="22"/>
              </w:rPr>
            </w:pPr>
            <w:r w:rsidRPr="00993B55">
              <w:rPr>
                <w:rFonts w:cs="Arial"/>
                <w:b/>
                <w:sz w:val="22"/>
                <w:szCs w:val="22"/>
              </w:rPr>
              <w:t>5-Year NEI</w:t>
            </w:r>
          </w:p>
          <w:p w14:paraId="0D1EC881" w14:textId="66AC31E8" w:rsidR="000177D5" w:rsidRPr="00993B55" w:rsidRDefault="000177D5" w:rsidP="0090690D">
            <w:pPr>
              <w:keepNext/>
              <w:widowControl w:val="0"/>
              <w:jc w:val="center"/>
              <w:rPr>
                <w:rFonts w:cs="Arial"/>
                <w:b/>
                <w:sz w:val="22"/>
                <w:szCs w:val="22"/>
              </w:rPr>
            </w:pPr>
            <w:r w:rsidRPr="00993B55">
              <w:rPr>
                <w:rFonts w:cs="Arial"/>
                <w:b/>
                <w:sz w:val="22"/>
                <w:szCs w:val="22"/>
              </w:rPr>
              <w:t>(lb/y</w:t>
            </w:r>
            <w:r w:rsidR="00393E25">
              <w:rPr>
                <w:rFonts w:cs="Arial"/>
                <w:b/>
                <w:sz w:val="22"/>
                <w:szCs w:val="22"/>
              </w:rPr>
              <w:t>ea</w:t>
            </w:r>
            <w:r w:rsidRPr="00993B55">
              <w:rPr>
                <w:rFonts w:cs="Arial"/>
                <w:b/>
                <w:sz w:val="22"/>
                <w:szCs w:val="22"/>
              </w:rPr>
              <w:t>r)</w:t>
            </w:r>
          </w:p>
        </w:tc>
        <w:tc>
          <w:tcPr>
            <w:tcW w:w="2160" w:type="dxa"/>
            <w:shd w:val="clear" w:color="auto" w:fill="D9D9D9" w:themeFill="background1" w:themeFillShade="D9"/>
            <w:vAlign w:val="center"/>
          </w:tcPr>
          <w:p w14:paraId="70FEBCED" w14:textId="42561ADD" w:rsidR="000177D5" w:rsidRPr="00993B55" w:rsidRDefault="000177D5" w:rsidP="0090690D">
            <w:pPr>
              <w:keepNext/>
              <w:widowControl w:val="0"/>
              <w:jc w:val="center"/>
              <w:rPr>
                <w:rFonts w:cs="Arial"/>
                <w:b/>
                <w:sz w:val="22"/>
                <w:szCs w:val="22"/>
              </w:rPr>
            </w:pPr>
            <w:r w:rsidRPr="00993B55">
              <w:rPr>
                <w:rFonts w:cs="Arial"/>
                <w:b/>
                <w:sz w:val="22"/>
                <w:szCs w:val="22"/>
              </w:rPr>
              <w:t>5-Year NEI</w:t>
            </w:r>
            <w:r w:rsidR="00D9275A">
              <w:rPr>
                <w:rFonts w:cs="Arial"/>
                <w:b/>
                <w:sz w:val="22"/>
                <w:szCs w:val="22"/>
              </w:rPr>
              <w:t xml:space="preserve"> Thresholds</w:t>
            </w:r>
          </w:p>
          <w:p w14:paraId="77A2B58C" w14:textId="596233BC" w:rsidR="000177D5" w:rsidRPr="00993B55" w:rsidRDefault="000177D5" w:rsidP="0090690D">
            <w:pPr>
              <w:keepNext/>
              <w:widowControl w:val="0"/>
              <w:jc w:val="center"/>
              <w:rPr>
                <w:rFonts w:cs="Arial"/>
                <w:b/>
                <w:sz w:val="22"/>
                <w:szCs w:val="22"/>
              </w:rPr>
            </w:pPr>
            <w:r w:rsidRPr="00993B55">
              <w:rPr>
                <w:rFonts w:cs="Arial"/>
                <w:b/>
                <w:sz w:val="22"/>
                <w:szCs w:val="22"/>
              </w:rPr>
              <w:t>(lb/y</w:t>
            </w:r>
            <w:r w:rsidR="00393E25">
              <w:rPr>
                <w:rFonts w:cs="Arial"/>
                <w:b/>
                <w:sz w:val="22"/>
                <w:szCs w:val="22"/>
              </w:rPr>
              <w:t>ea</w:t>
            </w:r>
            <w:r w:rsidRPr="00993B55">
              <w:rPr>
                <w:rFonts w:cs="Arial"/>
                <w:b/>
                <w:sz w:val="22"/>
                <w:szCs w:val="22"/>
              </w:rPr>
              <w:t>r)</w:t>
            </w:r>
          </w:p>
        </w:tc>
        <w:tc>
          <w:tcPr>
            <w:tcW w:w="2473" w:type="dxa"/>
            <w:shd w:val="clear" w:color="auto" w:fill="D9D9D9" w:themeFill="background1" w:themeFillShade="D9"/>
            <w:vAlign w:val="center"/>
          </w:tcPr>
          <w:p w14:paraId="1ABA072F" w14:textId="6E27E444" w:rsidR="000177D5" w:rsidRPr="00993B55" w:rsidRDefault="00D9275A" w:rsidP="0090690D">
            <w:pPr>
              <w:keepNext/>
              <w:widowControl w:val="0"/>
              <w:jc w:val="center"/>
              <w:rPr>
                <w:rFonts w:cs="Arial"/>
                <w:b/>
                <w:sz w:val="22"/>
                <w:szCs w:val="22"/>
              </w:rPr>
            </w:pPr>
            <w:r>
              <w:rPr>
                <w:rFonts w:cs="Arial"/>
                <w:b/>
                <w:sz w:val="22"/>
                <w:szCs w:val="22"/>
              </w:rPr>
              <w:t xml:space="preserve">Federal Major Modification </w:t>
            </w:r>
          </w:p>
        </w:tc>
      </w:tr>
      <w:tr w:rsidR="00393E25" w:rsidRPr="00993B55" w14:paraId="5232FAFD" w14:textId="77777777" w:rsidTr="00393E25">
        <w:trPr>
          <w:trHeight w:val="357"/>
        </w:trPr>
        <w:tc>
          <w:tcPr>
            <w:tcW w:w="1890" w:type="dxa"/>
            <w:shd w:val="clear" w:color="auto" w:fill="auto"/>
            <w:vAlign w:val="center"/>
          </w:tcPr>
          <w:p w14:paraId="6CC20C20" w14:textId="3155D0E4" w:rsidR="00393E25" w:rsidRPr="00993B55" w:rsidRDefault="00393E25" w:rsidP="0090690D">
            <w:pPr>
              <w:keepNext/>
              <w:widowControl w:val="0"/>
              <w:jc w:val="center"/>
              <w:rPr>
                <w:rFonts w:cs="Arial"/>
                <w:sz w:val="22"/>
                <w:szCs w:val="22"/>
              </w:rPr>
            </w:pPr>
            <w:r w:rsidRPr="00993B55">
              <w:rPr>
                <w:rFonts w:cs="Arial"/>
                <w:sz w:val="22"/>
                <w:szCs w:val="22"/>
              </w:rPr>
              <w:t>PM</w:t>
            </w:r>
            <w:r>
              <w:rPr>
                <w:rFonts w:cs="Arial"/>
                <w:sz w:val="22"/>
                <w:szCs w:val="22"/>
              </w:rPr>
              <w:t>10</w:t>
            </w:r>
          </w:p>
        </w:tc>
        <w:tc>
          <w:tcPr>
            <w:tcW w:w="2070" w:type="dxa"/>
            <w:shd w:val="clear" w:color="auto" w:fill="auto"/>
            <w:vAlign w:val="center"/>
          </w:tcPr>
          <w:p w14:paraId="6B5809B4" w14:textId="3DFAD961" w:rsidR="00393E25" w:rsidRPr="00993B55" w:rsidRDefault="00393E25" w:rsidP="0090690D">
            <w:pPr>
              <w:keepNext/>
              <w:widowControl w:val="0"/>
              <w:jc w:val="center"/>
              <w:rPr>
                <w:rFonts w:cs="Arial"/>
                <w:sz w:val="22"/>
                <w:szCs w:val="22"/>
              </w:rPr>
            </w:pPr>
            <w:r w:rsidRPr="00C030EA">
              <w:rPr>
                <w:color w:val="0000FF"/>
                <w:sz w:val="22"/>
                <w:szCs w:val="22"/>
              </w:rPr>
              <w:t>X,XXX</w:t>
            </w:r>
          </w:p>
        </w:tc>
        <w:tc>
          <w:tcPr>
            <w:tcW w:w="2160" w:type="dxa"/>
            <w:shd w:val="clear" w:color="auto" w:fill="auto"/>
            <w:vAlign w:val="center"/>
          </w:tcPr>
          <w:p w14:paraId="2B7935C1" w14:textId="77777777" w:rsidR="00393E25" w:rsidRPr="00993B55" w:rsidRDefault="00393E25" w:rsidP="0090690D">
            <w:pPr>
              <w:keepNext/>
              <w:widowControl w:val="0"/>
              <w:jc w:val="center"/>
              <w:rPr>
                <w:rFonts w:cs="Arial"/>
                <w:sz w:val="22"/>
                <w:szCs w:val="22"/>
              </w:rPr>
            </w:pPr>
            <w:r w:rsidRPr="00993B55">
              <w:rPr>
                <w:rFonts w:cs="Arial"/>
                <w:sz w:val="22"/>
                <w:szCs w:val="22"/>
              </w:rPr>
              <w:t>30,000</w:t>
            </w:r>
          </w:p>
        </w:tc>
        <w:tc>
          <w:tcPr>
            <w:tcW w:w="2473" w:type="dxa"/>
            <w:shd w:val="clear" w:color="auto" w:fill="auto"/>
            <w:vAlign w:val="center"/>
          </w:tcPr>
          <w:p w14:paraId="640FEE39" w14:textId="77777777" w:rsidR="00393E25" w:rsidRPr="00993B55" w:rsidRDefault="00393E25" w:rsidP="0090690D">
            <w:pPr>
              <w:keepNext/>
              <w:widowControl w:val="0"/>
              <w:jc w:val="center"/>
              <w:rPr>
                <w:color w:val="0000FF"/>
                <w:sz w:val="22"/>
                <w:szCs w:val="22"/>
              </w:rPr>
            </w:pPr>
            <w:r w:rsidRPr="00993B55">
              <w:rPr>
                <w:rFonts w:cs="Arial"/>
                <w:color w:val="0000FF"/>
                <w:sz w:val="22"/>
                <w:szCs w:val="22"/>
              </w:rPr>
              <w:t>Yes/No</w:t>
            </w:r>
          </w:p>
        </w:tc>
      </w:tr>
      <w:tr w:rsidR="00393E25" w:rsidRPr="00993B55" w14:paraId="5B0E431A" w14:textId="77777777" w:rsidTr="00393E25">
        <w:trPr>
          <w:trHeight w:val="357"/>
        </w:trPr>
        <w:tc>
          <w:tcPr>
            <w:tcW w:w="1890" w:type="dxa"/>
            <w:shd w:val="clear" w:color="auto" w:fill="auto"/>
            <w:vAlign w:val="center"/>
          </w:tcPr>
          <w:p w14:paraId="08D3A689" w14:textId="561B05A8" w:rsidR="00393E25" w:rsidRPr="00993B55" w:rsidRDefault="00393E25" w:rsidP="0090690D">
            <w:pPr>
              <w:keepNext/>
              <w:widowControl w:val="0"/>
              <w:jc w:val="center"/>
              <w:rPr>
                <w:rFonts w:cs="Arial"/>
                <w:sz w:val="22"/>
                <w:szCs w:val="22"/>
              </w:rPr>
            </w:pPr>
            <w:r w:rsidRPr="00993B55">
              <w:rPr>
                <w:rFonts w:cs="Arial"/>
                <w:sz w:val="22"/>
                <w:szCs w:val="22"/>
              </w:rPr>
              <w:t>PM</w:t>
            </w:r>
            <w:r>
              <w:rPr>
                <w:rFonts w:cs="Arial"/>
                <w:sz w:val="22"/>
                <w:szCs w:val="22"/>
              </w:rPr>
              <w:t>2.5</w:t>
            </w:r>
          </w:p>
        </w:tc>
        <w:tc>
          <w:tcPr>
            <w:tcW w:w="2070" w:type="dxa"/>
            <w:shd w:val="clear" w:color="auto" w:fill="auto"/>
            <w:vAlign w:val="center"/>
          </w:tcPr>
          <w:p w14:paraId="3AA89B74" w14:textId="5B722CFD" w:rsidR="00393E25" w:rsidRPr="00993B55" w:rsidRDefault="00393E25" w:rsidP="0090690D">
            <w:pPr>
              <w:keepNext/>
              <w:widowControl w:val="0"/>
              <w:jc w:val="center"/>
              <w:rPr>
                <w:rFonts w:cs="Arial"/>
                <w:sz w:val="22"/>
                <w:szCs w:val="22"/>
              </w:rPr>
            </w:pPr>
            <w:r w:rsidRPr="00C030EA">
              <w:rPr>
                <w:color w:val="0000FF"/>
                <w:sz w:val="22"/>
                <w:szCs w:val="22"/>
              </w:rPr>
              <w:t>X,XXX</w:t>
            </w:r>
          </w:p>
        </w:tc>
        <w:tc>
          <w:tcPr>
            <w:tcW w:w="2160" w:type="dxa"/>
            <w:shd w:val="clear" w:color="auto" w:fill="auto"/>
            <w:vAlign w:val="center"/>
          </w:tcPr>
          <w:p w14:paraId="71608821" w14:textId="77777777" w:rsidR="00393E25" w:rsidRPr="00993B55" w:rsidRDefault="00393E25" w:rsidP="0090690D">
            <w:pPr>
              <w:keepNext/>
              <w:widowControl w:val="0"/>
              <w:jc w:val="center"/>
              <w:rPr>
                <w:rFonts w:cs="Arial"/>
                <w:sz w:val="22"/>
                <w:szCs w:val="22"/>
              </w:rPr>
            </w:pPr>
            <w:r w:rsidRPr="00993B55">
              <w:rPr>
                <w:rFonts w:cs="Arial"/>
                <w:sz w:val="22"/>
                <w:szCs w:val="22"/>
              </w:rPr>
              <w:t>20,000</w:t>
            </w:r>
          </w:p>
        </w:tc>
        <w:tc>
          <w:tcPr>
            <w:tcW w:w="2473" w:type="dxa"/>
            <w:shd w:val="clear" w:color="auto" w:fill="auto"/>
            <w:vAlign w:val="center"/>
          </w:tcPr>
          <w:p w14:paraId="1F5355C6" w14:textId="77777777" w:rsidR="00393E25" w:rsidRPr="00993B55" w:rsidRDefault="00393E25" w:rsidP="0090690D">
            <w:pPr>
              <w:keepNext/>
              <w:widowControl w:val="0"/>
              <w:jc w:val="center"/>
              <w:rPr>
                <w:color w:val="0000FF"/>
                <w:sz w:val="22"/>
                <w:szCs w:val="22"/>
              </w:rPr>
            </w:pPr>
            <w:r w:rsidRPr="00993B55">
              <w:rPr>
                <w:rFonts w:cs="Arial"/>
                <w:color w:val="0000FF"/>
                <w:sz w:val="22"/>
                <w:szCs w:val="22"/>
              </w:rPr>
              <w:t>Yes/No</w:t>
            </w:r>
          </w:p>
        </w:tc>
      </w:tr>
      <w:tr w:rsidR="00393E25" w:rsidRPr="00993B55" w14:paraId="7DEB5DEA" w14:textId="77777777" w:rsidTr="00393E25">
        <w:trPr>
          <w:trHeight w:val="357"/>
        </w:trPr>
        <w:tc>
          <w:tcPr>
            <w:tcW w:w="1890" w:type="dxa"/>
            <w:shd w:val="clear" w:color="auto" w:fill="auto"/>
            <w:vAlign w:val="center"/>
          </w:tcPr>
          <w:p w14:paraId="4D3122CC" w14:textId="7AF7A8A8" w:rsidR="00393E25" w:rsidRPr="00993B55" w:rsidRDefault="00393E25" w:rsidP="0090690D">
            <w:pPr>
              <w:keepNext/>
              <w:widowControl w:val="0"/>
              <w:jc w:val="center"/>
              <w:rPr>
                <w:rFonts w:cs="Arial"/>
                <w:sz w:val="22"/>
                <w:szCs w:val="22"/>
              </w:rPr>
            </w:pPr>
            <w:r w:rsidRPr="00993B55">
              <w:rPr>
                <w:rFonts w:cs="Arial"/>
                <w:sz w:val="22"/>
                <w:szCs w:val="22"/>
              </w:rPr>
              <w:t>SO</w:t>
            </w:r>
            <w:r>
              <w:rPr>
                <w:rFonts w:cs="Arial"/>
                <w:sz w:val="22"/>
                <w:szCs w:val="22"/>
              </w:rPr>
              <w:t>x</w:t>
            </w:r>
          </w:p>
        </w:tc>
        <w:tc>
          <w:tcPr>
            <w:tcW w:w="2070" w:type="dxa"/>
            <w:shd w:val="clear" w:color="auto" w:fill="auto"/>
            <w:vAlign w:val="center"/>
          </w:tcPr>
          <w:p w14:paraId="7110CA97" w14:textId="4634BC14" w:rsidR="00393E25" w:rsidRPr="00993B55" w:rsidRDefault="00393E25" w:rsidP="0090690D">
            <w:pPr>
              <w:keepNext/>
              <w:widowControl w:val="0"/>
              <w:jc w:val="center"/>
              <w:rPr>
                <w:rFonts w:cs="Arial"/>
                <w:sz w:val="22"/>
                <w:szCs w:val="22"/>
              </w:rPr>
            </w:pPr>
            <w:r w:rsidRPr="00C030EA">
              <w:rPr>
                <w:color w:val="0000FF"/>
                <w:sz w:val="22"/>
                <w:szCs w:val="22"/>
              </w:rPr>
              <w:t>X,XXX</w:t>
            </w:r>
          </w:p>
        </w:tc>
        <w:tc>
          <w:tcPr>
            <w:tcW w:w="2160" w:type="dxa"/>
            <w:shd w:val="clear" w:color="auto" w:fill="auto"/>
            <w:vAlign w:val="center"/>
          </w:tcPr>
          <w:p w14:paraId="2C3904EF" w14:textId="77777777" w:rsidR="00393E25" w:rsidRPr="00993B55" w:rsidRDefault="00393E25" w:rsidP="0090690D">
            <w:pPr>
              <w:keepNext/>
              <w:widowControl w:val="0"/>
              <w:jc w:val="center"/>
              <w:rPr>
                <w:rFonts w:cs="Arial"/>
                <w:sz w:val="22"/>
                <w:szCs w:val="22"/>
              </w:rPr>
            </w:pPr>
            <w:r w:rsidRPr="00993B55">
              <w:rPr>
                <w:rFonts w:cs="Arial"/>
                <w:sz w:val="22"/>
                <w:szCs w:val="22"/>
              </w:rPr>
              <w:t>80,000</w:t>
            </w:r>
          </w:p>
        </w:tc>
        <w:tc>
          <w:tcPr>
            <w:tcW w:w="2473" w:type="dxa"/>
            <w:shd w:val="clear" w:color="auto" w:fill="auto"/>
            <w:vAlign w:val="center"/>
          </w:tcPr>
          <w:p w14:paraId="227F04E4" w14:textId="77777777" w:rsidR="00393E25" w:rsidRPr="00993B55" w:rsidRDefault="00393E25" w:rsidP="0090690D">
            <w:pPr>
              <w:keepNext/>
              <w:widowControl w:val="0"/>
              <w:jc w:val="center"/>
              <w:rPr>
                <w:color w:val="0000FF"/>
                <w:sz w:val="22"/>
                <w:szCs w:val="22"/>
              </w:rPr>
            </w:pPr>
            <w:r w:rsidRPr="00993B55">
              <w:rPr>
                <w:rFonts w:cs="Arial"/>
                <w:color w:val="0000FF"/>
                <w:sz w:val="22"/>
                <w:szCs w:val="22"/>
              </w:rPr>
              <w:t>Yes/No</w:t>
            </w:r>
          </w:p>
        </w:tc>
      </w:tr>
    </w:tbl>
    <w:p w14:paraId="497ED7F6" w14:textId="77777777" w:rsidR="000177D5" w:rsidRPr="00993B55" w:rsidRDefault="000177D5" w:rsidP="007A60F3">
      <w:pPr>
        <w:pStyle w:val="BodyText"/>
        <w:widowControl w:val="0"/>
        <w:autoSpaceDE w:val="0"/>
        <w:autoSpaceDN w:val="0"/>
        <w:adjustRightInd w:val="0"/>
        <w:ind w:left="720"/>
        <w:jc w:val="left"/>
        <w:rPr>
          <w:rFonts w:cs="Arial"/>
          <w:color w:val="000000"/>
        </w:rPr>
      </w:pPr>
    </w:p>
    <w:p w14:paraId="222FDF3F" w14:textId="77777777" w:rsidR="000177D5" w:rsidRPr="00993B55" w:rsidRDefault="000177D5" w:rsidP="007A60F3">
      <w:pPr>
        <w:pStyle w:val="BodyText"/>
        <w:widowControl w:val="0"/>
        <w:autoSpaceDE w:val="0"/>
        <w:autoSpaceDN w:val="0"/>
        <w:adjustRightInd w:val="0"/>
        <w:ind w:left="720"/>
        <w:rPr>
          <w:rFonts w:cs="Arial"/>
          <w:color w:val="FF0000"/>
        </w:rPr>
      </w:pPr>
      <w:r w:rsidRPr="00993B55">
        <w:rPr>
          <w:rFonts w:cs="Arial"/>
          <w:color w:val="FF0000"/>
        </w:rPr>
        <w:t xml:space="preserve">Project is a Federal Major Modification for PM10, PM2.5 and/or SOx emissions </w:t>
      </w:r>
    </w:p>
    <w:p w14:paraId="2194366D" w14:textId="77777777" w:rsidR="000177D5" w:rsidRPr="00993B55" w:rsidRDefault="000177D5" w:rsidP="007A60F3">
      <w:pPr>
        <w:pStyle w:val="BodyText"/>
        <w:widowControl w:val="0"/>
        <w:autoSpaceDE w:val="0"/>
        <w:autoSpaceDN w:val="0"/>
        <w:adjustRightInd w:val="0"/>
        <w:ind w:left="720"/>
        <w:rPr>
          <w:rFonts w:cs="Arial"/>
          <w:color w:val="000000"/>
        </w:rPr>
      </w:pPr>
      <w:r w:rsidRPr="00993B55">
        <w:rPr>
          <w:rFonts w:cs="Arial"/>
          <w:color w:val="000000"/>
        </w:rPr>
        <w:t xml:space="preserve">As demonstrated in the preceding table, this project constitutes a Federal Major Modification </w:t>
      </w:r>
      <w:r w:rsidRPr="00993B55">
        <w:rPr>
          <w:rFonts w:cs="Arial"/>
        </w:rPr>
        <w:t xml:space="preserve">for </w:t>
      </w:r>
      <w:r w:rsidRPr="00993B55">
        <w:rPr>
          <w:rFonts w:cs="Arial"/>
          <w:color w:val="0000FF"/>
        </w:rPr>
        <w:t xml:space="preserve">PM10, PM2.5 and/or SOx </w:t>
      </w:r>
      <w:r w:rsidRPr="00993B55">
        <w:rPr>
          <w:rFonts w:cs="Arial"/>
        </w:rPr>
        <w:t>emissions</w:t>
      </w:r>
      <w:r w:rsidRPr="00993B55">
        <w:rPr>
          <w:rFonts w:cs="Arial"/>
          <w:color w:val="000000"/>
        </w:rPr>
        <w:t>.</w:t>
      </w:r>
    </w:p>
    <w:p w14:paraId="4DF8B276" w14:textId="77777777" w:rsidR="000177D5" w:rsidRPr="00993B55" w:rsidRDefault="000177D5" w:rsidP="007A60F3">
      <w:pPr>
        <w:pStyle w:val="BodyText"/>
        <w:widowControl w:val="0"/>
        <w:autoSpaceDE w:val="0"/>
        <w:autoSpaceDN w:val="0"/>
        <w:adjustRightInd w:val="0"/>
        <w:ind w:left="720"/>
        <w:rPr>
          <w:rFonts w:cs="Arial"/>
          <w:color w:val="000000"/>
        </w:rPr>
      </w:pPr>
    </w:p>
    <w:p w14:paraId="58E341EA" w14:textId="77777777" w:rsidR="000177D5" w:rsidRPr="00993B55" w:rsidRDefault="000177D5" w:rsidP="007A60F3">
      <w:pPr>
        <w:pStyle w:val="BodyText"/>
        <w:widowControl w:val="0"/>
        <w:autoSpaceDE w:val="0"/>
        <w:autoSpaceDN w:val="0"/>
        <w:adjustRightInd w:val="0"/>
        <w:ind w:left="720"/>
        <w:rPr>
          <w:rFonts w:cs="Arial"/>
        </w:rPr>
      </w:pPr>
      <w:r w:rsidRPr="00993B55">
        <w:rPr>
          <w:rFonts w:cs="Arial"/>
        </w:rPr>
        <w:t xml:space="preserve">Separately, the Federal Offset Quantity is calculated below.  </w:t>
      </w:r>
    </w:p>
    <w:p w14:paraId="2164A12D" w14:textId="77777777" w:rsidR="000177D5" w:rsidRPr="00993B55" w:rsidRDefault="000177D5" w:rsidP="007A60F3">
      <w:pPr>
        <w:pStyle w:val="BodyText"/>
        <w:widowControl w:val="0"/>
        <w:autoSpaceDE w:val="0"/>
        <w:autoSpaceDN w:val="0"/>
        <w:adjustRightInd w:val="0"/>
        <w:ind w:left="720"/>
        <w:rPr>
          <w:rFonts w:cs="Arial"/>
          <w:color w:val="000000"/>
        </w:rPr>
      </w:pPr>
    </w:p>
    <w:p w14:paraId="2C87F5CB" w14:textId="77777777" w:rsidR="000177D5" w:rsidRPr="00993B55" w:rsidRDefault="000177D5" w:rsidP="007A60F3">
      <w:pPr>
        <w:pStyle w:val="BodyText"/>
        <w:widowControl w:val="0"/>
        <w:autoSpaceDE w:val="0"/>
        <w:autoSpaceDN w:val="0"/>
        <w:adjustRightInd w:val="0"/>
        <w:ind w:left="720"/>
        <w:rPr>
          <w:rFonts w:cs="Arial"/>
          <w:color w:val="FF0000"/>
        </w:rPr>
      </w:pPr>
      <w:r w:rsidRPr="00993B55">
        <w:rPr>
          <w:rFonts w:cs="Arial"/>
          <w:color w:val="FF0000"/>
        </w:rPr>
        <w:t xml:space="preserve">Project is NOT a Federal Major Modification for PM10, PM2.5 and/or SOx emissions </w:t>
      </w:r>
    </w:p>
    <w:p w14:paraId="76ED3A4B" w14:textId="77777777" w:rsidR="000177D5" w:rsidRPr="00993B55" w:rsidRDefault="000177D5" w:rsidP="007A60F3">
      <w:pPr>
        <w:pStyle w:val="BodyText"/>
        <w:widowControl w:val="0"/>
        <w:autoSpaceDE w:val="0"/>
        <w:autoSpaceDN w:val="0"/>
        <w:adjustRightInd w:val="0"/>
        <w:ind w:left="720"/>
        <w:rPr>
          <w:rFonts w:cs="Arial"/>
          <w:color w:val="000000"/>
        </w:rPr>
      </w:pPr>
      <w:r w:rsidRPr="00993B55">
        <w:rPr>
          <w:rFonts w:cs="Arial"/>
          <w:color w:val="000000"/>
        </w:rPr>
        <w:t xml:space="preserve">As demonstrated in the preceding table, this project </w:t>
      </w:r>
      <w:r w:rsidRPr="00993B55">
        <w:rPr>
          <w:rFonts w:cs="Arial"/>
        </w:rPr>
        <w:t xml:space="preserve">does not constitute </w:t>
      </w:r>
      <w:r w:rsidRPr="00993B55">
        <w:rPr>
          <w:rFonts w:cs="Arial"/>
          <w:color w:val="000000"/>
        </w:rPr>
        <w:t xml:space="preserve">a Federal Major Modification </w:t>
      </w:r>
      <w:r w:rsidRPr="00993B55">
        <w:rPr>
          <w:rFonts w:cs="Arial"/>
        </w:rPr>
        <w:t xml:space="preserve">for </w:t>
      </w:r>
      <w:r w:rsidRPr="00993B55">
        <w:rPr>
          <w:rFonts w:cs="Arial"/>
          <w:color w:val="0000FF"/>
        </w:rPr>
        <w:t xml:space="preserve">PM10, PM2.5 and/or SOx </w:t>
      </w:r>
      <w:r w:rsidRPr="00993B55">
        <w:rPr>
          <w:rFonts w:cs="Arial"/>
        </w:rPr>
        <w:t>emissions</w:t>
      </w:r>
      <w:r w:rsidRPr="00993B55">
        <w:rPr>
          <w:rFonts w:cs="Arial"/>
          <w:color w:val="000000"/>
        </w:rPr>
        <w:t>.</w:t>
      </w:r>
    </w:p>
    <w:p w14:paraId="05E24F61" w14:textId="77777777" w:rsidR="000177D5" w:rsidRPr="00993B55" w:rsidRDefault="000177D5" w:rsidP="007A60F3">
      <w:pPr>
        <w:pStyle w:val="BodyText"/>
        <w:widowControl w:val="0"/>
        <w:autoSpaceDE w:val="0"/>
        <w:autoSpaceDN w:val="0"/>
        <w:adjustRightInd w:val="0"/>
        <w:ind w:left="720"/>
        <w:rPr>
          <w:rFonts w:cs="Arial"/>
          <w:color w:val="000000"/>
        </w:rPr>
      </w:pPr>
    </w:p>
    <w:p w14:paraId="560BE0BA" w14:textId="77777777" w:rsidR="000177D5" w:rsidRPr="00993B55" w:rsidRDefault="000177D5" w:rsidP="007A60F3">
      <w:pPr>
        <w:pStyle w:val="BodyText"/>
        <w:widowControl w:val="0"/>
        <w:autoSpaceDE w:val="0"/>
        <w:autoSpaceDN w:val="0"/>
        <w:adjustRightInd w:val="0"/>
        <w:ind w:left="720"/>
        <w:rPr>
          <w:b/>
        </w:rPr>
      </w:pPr>
      <w:r w:rsidRPr="00993B55">
        <w:rPr>
          <w:b/>
        </w:rPr>
        <w:t>New Major Source</w:t>
      </w:r>
    </w:p>
    <w:p w14:paraId="20B92B05" w14:textId="77777777" w:rsidR="000177D5" w:rsidRPr="00993B55" w:rsidRDefault="000177D5" w:rsidP="007A60F3">
      <w:pPr>
        <w:pStyle w:val="BodyText"/>
        <w:widowControl w:val="0"/>
        <w:autoSpaceDE w:val="0"/>
        <w:autoSpaceDN w:val="0"/>
        <w:adjustRightInd w:val="0"/>
        <w:ind w:left="720"/>
        <w:rPr>
          <w:rFonts w:cs="Arial"/>
        </w:rPr>
      </w:pPr>
    </w:p>
    <w:p w14:paraId="7AB4246C" w14:textId="77777777" w:rsidR="000177D5" w:rsidRPr="00993B55" w:rsidRDefault="000177D5" w:rsidP="007A60F3">
      <w:pPr>
        <w:pStyle w:val="BodyText"/>
        <w:widowControl w:val="0"/>
        <w:autoSpaceDE w:val="0"/>
        <w:autoSpaceDN w:val="0"/>
        <w:adjustRightInd w:val="0"/>
        <w:ind w:left="720"/>
        <w:rPr>
          <w:rFonts w:cs="Arial"/>
          <w:color w:val="000000"/>
        </w:rPr>
      </w:pPr>
      <w:r w:rsidRPr="00993B55">
        <w:rPr>
          <w:rFonts w:cs="Arial"/>
          <w:color w:val="FF0000"/>
        </w:rPr>
        <w:t>Facility NOT becoming a Major Source</w:t>
      </w:r>
    </w:p>
    <w:p w14:paraId="6BE6399E" w14:textId="5D6643C2" w:rsidR="000177D5" w:rsidRPr="00993B55" w:rsidRDefault="000177D5" w:rsidP="007A60F3">
      <w:pPr>
        <w:pStyle w:val="BodyText"/>
        <w:widowControl w:val="0"/>
        <w:autoSpaceDE w:val="0"/>
        <w:autoSpaceDN w:val="0"/>
        <w:adjustRightInd w:val="0"/>
        <w:ind w:left="720"/>
        <w:rPr>
          <w:rFonts w:cs="Arial"/>
          <w:color w:val="000000"/>
        </w:rPr>
      </w:pPr>
      <w:r w:rsidRPr="00993B55">
        <w:rPr>
          <w:rFonts w:cs="Arial"/>
          <w:color w:val="000000"/>
        </w:rPr>
        <w:t xml:space="preserve">As demonstrated above, this facility is not becoming a Major Source </w:t>
      </w:r>
      <w:r w:rsidRPr="00993B55">
        <w:t>as a result of this project</w:t>
      </w:r>
      <w:r w:rsidRPr="00993B55">
        <w:rPr>
          <w:rFonts w:cs="Arial"/>
          <w:color w:val="000000"/>
        </w:rPr>
        <w:t xml:space="preserve">, therefore, this facility is not a New Major Source pursuant </w:t>
      </w:r>
      <w:r w:rsidRPr="00993B55">
        <w:t xml:space="preserve">to </w:t>
      </w:r>
      <w:r w:rsidR="009A6F6A">
        <w:t xml:space="preserve">Section 3.30 of </w:t>
      </w:r>
      <w:r w:rsidR="00A62513" w:rsidRPr="00993B55">
        <w:t xml:space="preserve">District </w:t>
      </w:r>
      <w:r w:rsidR="00B1046A">
        <w:t>Rule 2201</w:t>
      </w:r>
      <w:r w:rsidRPr="00993B55">
        <w:t>.</w:t>
      </w:r>
    </w:p>
    <w:p w14:paraId="7A3D624C" w14:textId="77777777" w:rsidR="000177D5" w:rsidRPr="00993B55" w:rsidRDefault="000177D5" w:rsidP="007A60F3">
      <w:pPr>
        <w:pStyle w:val="BodyText"/>
        <w:widowControl w:val="0"/>
        <w:autoSpaceDE w:val="0"/>
        <w:autoSpaceDN w:val="0"/>
        <w:adjustRightInd w:val="0"/>
        <w:ind w:left="720"/>
        <w:rPr>
          <w:rFonts w:cs="Arial"/>
          <w:color w:val="000000"/>
        </w:rPr>
      </w:pPr>
    </w:p>
    <w:p w14:paraId="1FF10036" w14:textId="7F74241D" w:rsidR="000177D5" w:rsidRPr="00993B55" w:rsidRDefault="000177D5" w:rsidP="007A60F3">
      <w:pPr>
        <w:pStyle w:val="BodyText"/>
        <w:widowControl w:val="0"/>
        <w:autoSpaceDE w:val="0"/>
        <w:autoSpaceDN w:val="0"/>
        <w:adjustRightInd w:val="0"/>
        <w:ind w:left="720"/>
        <w:rPr>
          <w:rFonts w:cs="Arial"/>
          <w:color w:val="000000"/>
        </w:rPr>
      </w:pPr>
      <w:r w:rsidRPr="00993B55">
        <w:rPr>
          <w:rFonts w:cs="Arial"/>
          <w:b/>
          <w:color w:val="FF0000"/>
        </w:rPr>
        <w:t>New Major Source</w:t>
      </w:r>
      <w:r w:rsidRPr="00993B55">
        <w:rPr>
          <w:rFonts w:cs="Arial"/>
          <w:color w:val="FF0000"/>
        </w:rPr>
        <w:t>: Facility becoming a Major Source with project increase exceeding major source threshold</w:t>
      </w:r>
    </w:p>
    <w:p w14:paraId="7BA1E22B" w14:textId="634E9E2A" w:rsidR="000177D5" w:rsidRPr="00993B55" w:rsidRDefault="000177D5" w:rsidP="007A60F3">
      <w:pPr>
        <w:pStyle w:val="Subtitle"/>
        <w:widowControl w:val="0"/>
        <w:ind w:left="720" w:right="-180"/>
        <w:jc w:val="both"/>
        <w:rPr>
          <w:rFonts w:cs="Arial"/>
          <w:sz w:val="24"/>
        </w:rPr>
      </w:pPr>
      <w:r w:rsidRPr="00993B55">
        <w:rPr>
          <w:sz w:val="24"/>
        </w:rPr>
        <w:t xml:space="preserve">Pursuant to </w:t>
      </w:r>
      <w:r w:rsidR="006D680D">
        <w:rPr>
          <w:sz w:val="24"/>
        </w:rPr>
        <w:t xml:space="preserve">District </w:t>
      </w:r>
      <w:r w:rsidR="00B1046A">
        <w:rPr>
          <w:sz w:val="24"/>
        </w:rPr>
        <w:t>Rule 2201</w:t>
      </w:r>
      <w:r w:rsidRPr="00993B55">
        <w:rPr>
          <w:rFonts w:cs="Arial"/>
          <w:sz w:val="24"/>
        </w:rPr>
        <w:t>, emission increases at a non-major source (or at new sources) constitute a New Major Source</w:t>
      </w:r>
      <w:r w:rsidRPr="00993B55" w:rsidDel="00D11A94">
        <w:rPr>
          <w:rFonts w:cs="Arial"/>
          <w:sz w:val="24"/>
        </w:rPr>
        <w:t xml:space="preserve"> </w:t>
      </w:r>
      <w:r w:rsidRPr="00993B55">
        <w:rPr>
          <w:rFonts w:cs="Arial"/>
          <w:sz w:val="24"/>
        </w:rPr>
        <w:t>if the emission increase for a given pollutant is as large as the major source threshold for that pollutant, i.e. the project by itself would result in a net emission increase exceeding the major source threshold.</w:t>
      </w:r>
    </w:p>
    <w:p w14:paraId="0C6E8190" w14:textId="77777777" w:rsidR="000177D5" w:rsidRPr="00993B55" w:rsidRDefault="000177D5" w:rsidP="007A60F3">
      <w:pPr>
        <w:pStyle w:val="Subtitle"/>
        <w:widowControl w:val="0"/>
        <w:ind w:left="720" w:right="-180"/>
        <w:jc w:val="both"/>
        <w:rPr>
          <w:rFonts w:cs="Arial"/>
          <w:sz w:val="24"/>
        </w:rPr>
      </w:pPr>
    </w:p>
    <w:p w14:paraId="066D2132" w14:textId="245C4C32" w:rsidR="000177D5" w:rsidRPr="00993B55" w:rsidRDefault="000177D5" w:rsidP="007A60F3">
      <w:pPr>
        <w:widowControl w:val="0"/>
        <w:ind w:left="720"/>
      </w:pPr>
      <w:r w:rsidRPr="00993B55">
        <w:t xml:space="preserve">Since this facility is becoming Major Source for </w:t>
      </w:r>
      <w:r w:rsidRPr="00993B55">
        <w:rPr>
          <w:color w:val="0000FF"/>
        </w:rPr>
        <w:t>NOx</w:t>
      </w:r>
      <w:r w:rsidRPr="00993B55">
        <w:t xml:space="preserve"> as a result of this project, the project </w:t>
      </w:r>
      <w:r w:rsidRPr="00993B55">
        <w:rPr>
          <w:color w:val="0000FF"/>
        </w:rPr>
        <w:t>NOx</w:t>
      </w:r>
      <w:r w:rsidRPr="00993B55">
        <w:t xml:space="preserve"> emissions increase will be compared to the Federal Major Source threshold for </w:t>
      </w:r>
      <w:r w:rsidRPr="00993B55">
        <w:rPr>
          <w:color w:val="0000FF"/>
        </w:rPr>
        <w:t xml:space="preserve">NOx </w:t>
      </w:r>
      <w:r w:rsidRPr="00993B55">
        <w:t>to determine whether the project results in a New Major Source according to</w:t>
      </w:r>
      <w:r w:rsidR="009A6F6A">
        <w:t xml:space="preserve"> Section 3.30 of </w:t>
      </w:r>
      <w:r w:rsidR="00A62513" w:rsidRPr="00993B55">
        <w:rPr>
          <w:szCs w:val="24"/>
        </w:rPr>
        <w:t xml:space="preserve">District </w:t>
      </w:r>
      <w:r w:rsidR="009A6F6A">
        <w:t>Rule 2201</w:t>
      </w:r>
      <w:r w:rsidRPr="00993B55">
        <w:t>.</w:t>
      </w:r>
    </w:p>
    <w:p w14:paraId="239F3144" w14:textId="77777777" w:rsidR="000177D5" w:rsidRPr="00993B55" w:rsidRDefault="000177D5" w:rsidP="007A60F3">
      <w:pPr>
        <w:widowControl w:val="0"/>
        <w:ind w:left="720"/>
      </w:pPr>
    </w:p>
    <w:p w14:paraId="2D31B6BA" w14:textId="2ED1D146" w:rsidR="000177D5" w:rsidRPr="00993B55" w:rsidRDefault="000177D5" w:rsidP="007A60F3">
      <w:pPr>
        <w:widowControl w:val="0"/>
        <w:ind w:left="720"/>
        <w:rPr>
          <w:color w:val="FF0000"/>
        </w:rPr>
      </w:pPr>
      <w:r w:rsidRPr="00993B55">
        <w:rPr>
          <w:color w:val="FF0000"/>
        </w:rPr>
        <w:t>In this case</w:t>
      </w:r>
      <w:r w:rsidR="009A6F6A">
        <w:rPr>
          <w:color w:val="FF0000"/>
        </w:rPr>
        <w:t>,</w:t>
      </w:r>
      <w:r w:rsidRPr="00993B55">
        <w:rPr>
          <w:color w:val="FF0000"/>
        </w:rPr>
        <w:t xml:space="preserve"> project emissions increase/net emissions increase is calculated as described in the Federal Major Modification section above.  Therefore, please use the Federal Major Modification project emissions increase/net emissions increase discussion and calculation above and paste it here.</w:t>
      </w:r>
    </w:p>
    <w:p w14:paraId="673BB9D0" w14:textId="77777777" w:rsidR="000177D5" w:rsidRPr="00993B55" w:rsidRDefault="000177D5" w:rsidP="007A60F3">
      <w:pPr>
        <w:widowControl w:val="0"/>
        <w:ind w:left="720"/>
      </w:pPr>
    </w:p>
    <w:p w14:paraId="79543BE6" w14:textId="77777777" w:rsidR="000177D5" w:rsidRPr="00993B55" w:rsidRDefault="000177D5" w:rsidP="007A60F3">
      <w:pPr>
        <w:widowControl w:val="0"/>
        <w:ind w:left="720"/>
      </w:pPr>
      <w:r w:rsidRPr="00993B55">
        <w:t xml:space="preserve">The project </w:t>
      </w:r>
      <w:r w:rsidRPr="00993B55">
        <w:rPr>
          <w:color w:val="0000FF"/>
        </w:rPr>
        <w:t>NOx</w:t>
      </w:r>
      <w:r w:rsidRPr="00993B55">
        <w:t xml:space="preserve"> emissions increase is compared to the Federal Major Source threshold for </w:t>
      </w:r>
      <w:r w:rsidRPr="00993B55">
        <w:rPr>
          <w:color w:val="0000FF"/>
        </w:rPr>
        <w:t>NOx</w:t>
      </w:r>
      <w:r w:rsidRPr="00993B55">
        <w:t xml:space="preserve"> in the table below.</w:t>
      </w:r>
    </w:p>
    <w:p w14:paraId="2F8AD081" w14:textId="77777777" w:rsidR="000177D5" w:rsidRPr="00993B55" w:rsidRDefault="000177D5" w:rsidP="007A60F3">
      <w:pPr>
        <w:widowControl w:val="0"/>
        <w:ind w:left="720"/>
      </w:pPr>
    </w:p>
    <w:tbl>
      <w:tblPr>
        <w:tblW w:w="9562"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080"/>
        <w:gridCol w:w="1170"/>
        <w:gridCol w:w="1170"/>
        <w:gridCol w:w="1080"/>
        <w:gridCol w:w="1080"/>
        <w:gridCol w:w="1012"/>
      </w:tblGrid>
      <w:tr w:rsidR="000177D5" w:rsidRPr="00993B55" w14:paraId="1B15151A" w14:textId="77777777" w:rsidTr="00505E9F">
        <w:trPr>
          <w:cantSplit/>
          <w:trHeight w:val="591"/>
        </w:trPr>
        <w:tc>
          <w:tcPr>
            <w:tcW w:w="9562" w:type="dxa"/>
            <w:gridSpan w:val="7"/>
            <w:shd w:val="clear" w:color="auto" w:fill="D9D9D9" w:themeFill="background1" w:themeFillShade="D9"/>
            <w:vAlign w:val="center"/>
          </w:tcPr>
          <w:p w14:paraId="7B6DB8B4" w14:textId="77777777" w:rsidR="000177D5" w:rsidRPr="00993B55" w:rsidRDefault="000177D5" w:rsidP="0090690D">
            <w:pPr>
              <w:keepNext/>
              <w:widowControl w:val="0"/>
              <w:jc w:val="center"/>
              <w:rPr>
                <w:b/>
                <w:sz w:val="22"/>
                <w:szCs w:val="22"/>
              </w:rPr>
            </w:pPr>
            <w:r w:rsidRPr="00993B55">
              <w:rPr>
                <w:b/>
                <w:sz w:val="22"/>
                <w:szCs w:val="22"/>
              </w:rPr>
              <w:lastRenderedPageBreak/>
              <w:t>New Major Source Determination</w:t>
            </w:r>
          </w:p>
          <w:p w14:paraId="3B53DB69" w14:textId="77777777" w:rsidR="000177D5" w:rsidRPr="00993B55" w:rsidRDefault="000177D5" w:rsidP="0090690D">
            <w:pPr>
              <w:keepNext/>
              <w:widowControl w:val="0"/>
              <w:jc w:val="center"/>
              <w:rPr>
                <w:b/>
                <w:sz w:val="22"/>
                <w:szCs w:val="22"/>
              </w:rPr>
            </w:pPr>
            <w:r w:rsidRPr="00993B55">
              <w:rPr>
                <w:b/>
                <w:sz w:val="22"/>
                <w:szCs w:val="22"/>
              </w:rPr>
              <w:t>(lb/year)</w:t>
            </w:r>
          </w:p>
        </w:tc>
      </w:tr>
      <w:tr w:rsidR="000177D5" w:rsidRPr="00993B55" w14:paraId="71CC13DC" w14:textId="77777777" w:rsidTr="00505E9F">
        <w:trPr>
          <w:trHeight w:val="438"/>
        </w:trPr>
        <w:tc>
          <w:tcPr>
            <w:tcW w:w="2970" w:type="dxa"/>
            <w:shd w:val="clear" w:color="auto" w:fill="D9D9D9" w:themeFill="background1" w:themeFillShade="D9"/>
            <w:vAlign w:val="center"/>
          </w:tcPr>
          <w:p w14:paraId="12D744A4" w14:textId="77777777" w:rsidR="000177D5" w:rsidRPr="00993B55" w:rsidRDefault="000177D5" w:rsidP="0090690D">
            <w:pPr>
              <w:keepNext/>
              <w:widowControl w:val="0"/>
              <w:jc w:val="center"/>
              <w:rPr>
                <w:sz w:val="22"/>
                <w:szCs w:val="22"/>
              </w:rPr>
            </w:pPr>
          </w:p>
        </w:tc>
        <w:tc>
          <w:tcPr>
            <w:tcW w:w="1080" w:type="dxa"/>
            <w:shd w:val="clear" w:color="auto" w:fill="D9D9D9" w:themeFill="background1" w:themeFillShade="D9"/>
            <w:vAlign w:val="center"/>
          </w:tcPr>
          <w:p w14:paraId="6770F1E9" w14:textId="6650BCF8" w:rsidR="000177D5" w:rsidRPr="00505E9F" w:rsidRDefault="000177D5" w:rsidP="0090690D">
            <w:pPr>
              <w:keepNext/>
              <w:widowControl w:val="0"/>
              <w:jc w:val="center"/>
              <w:rPr>
                <w:b/>
                <w:sz w:val="22"/>
                <w:szCs w:val="22"/>
              </w:rPr>
            </w:pPr>
            <w:r w:rsidRPr="00505E9F">
              <w:rPr>
                <w:b/>
                <w:sz w:val="22"/>
                <w:szCs w:val="22"/>
              </w:rPr>
              <w:t>NO</w:t>
            </w:r>
            <w:r w:rsidR="00664E07" w:rsidRPr="00505E9F">
              <w:rPr>
                <w:b/>
                <w:sz w:val="22"/>
                <w:szCs w:val="22"/>
              </w:rPr>
              <w:t>x</w:t>
            </w:r>
          </w:p>
        </w:tc>
        <w:tc>
          <w:tcPr>
            <w:tcW w:w="1170" w:type="dxa"/>
            <w:shd w:val="clear" w:color="auto" w:fill="D9D9D9" w:themeFill="background1" w:themeFillShade="D9"/>
            <w:vAlign w:val="center"/>
          </w:tcPr>
          <w:p w14:paraId="72FD6988" w14:textId="1CBEBCF2" w:rsidR="000177D5" w:rsidRPr="00505E9F" w:rsidRDefault="000177D5" w:rsidP="0090690D">
            <w:pPr>
              <w:keepNext/>
              <w:widowControl w:val="0"/>
              <w:jc w:val="center"/>
              <w:rPr>
                <w:b/>
                <w:sz w:val="22"/>
                <w:szCs w:val="22"/>
              </w:rPr>
            </w:pPr>
            <w:r w:rsidRPr="00505E9F">
              <w:rPr>
                <w:b/>
                <w:sz w:val="22"/>
                <w:szCs w:val="22"/>
              </w:rPr>
              <w:t>SO</w:t>
            </w:r>
            <w:r w:rsidR="00664E07" w:rsidRPr="00505E9F">
              <w:rPr>
                <w:b/>
                <w:sz w:val="22"/>
                <w:szCs w:val="22"/>
              </w:rPr>
              <w:t>x</w:t>
            </w:r>
          </w:p>
        </w:tc>
        <w:tc>
          <w:tcPr>
            <w:tcW w:w="1170" w:type="dxa"/>
            <w:shd w:val="clear" w:color="auto" w:fill="D9D9D9" w:themeFill="background1" w:themeFillShade="D9"/>
            <w:vAlign w:val="center"/>
          </w:tcPr>
          <w:p w14:paraId="7EC68A34" w14:textId="3AF5ADC3" w:rsidR="000177D5" w:rsidRPr="00505E9F" w:rsidRDefault="000177D5" w:rsidP="0090690D">
            <w:pPr>
              <w:keepNext/>
              <w:widowControl w:val="0"/>
              <w:jc w:val="center"/>
              <w:rPr>
                <w:b/>
                <w:sz w:val="22"/>
                <w:szCs w:val="22"/>
              </w:rPr>
            </w:pPr>
            <w:r w:rsidRPr="00505E9F">
              <w:rPr>
                <w:b/>
                <w:sz w:val="22"/>
                <w:szCs w:val="22"/>
              </w:rPr>
              <w:t>PM</w:t>
            </w:r>
            <w:r w:rsidR="00664E07" w:rsidRPr="00505E9F">
              <w:rPr>
                <w:b/>
                <w:sz w:val="22"/>
                <w:szCs w:val="22"/>
              </w:rPr>
              <w:t>10</w:t>
            </w:r>
          </w:p>
        </w:tc>
        <w:tc>
          <w:tcPr>
            <w:tcW w:w="1080" w:type="dxa"/>
            <w:shd w:val="clear" w:color="auto" w:fill="D9D9D9" w:themeFill="background1" w:themeFillShade="D9"/>
            <w:vAlign w:val="center"/>
          </w:tcPr>
          <w:p w14:paraId="21B0DA37" w14:textId="7ADDA2DB" w:rsidR="000177D5" w:rsidRPr="00505E9F" w:rsidRDefault="000177D5" w:rsidP="0090690D">
            <w:pPr>
              <w:keepNext/>
              <w:widowControl w:val="0"/>
              <w:jc w:val="center"/>
              <w:rPr>
                <w:b/>
                <w:sz w:val="22"/>
                <w:szCs w:val="22"/>
              </w:rPr>
            </w:pPr>
            <w:r w:rsidRPr="00505E9F">
              <w:rPr>
                <w:b/>
                <w:sz w:val="22"/>
                <w:szCs w:val="22"/>
              </w:rPr>
              <w:t>PM</w:t>
            </w:r>
            <w:r w:rsidR="00664E07" w:rsidRPr="00505E9F">
              <w:rPr>
                <w:b/>
                <w:sz w:val="22"/>
                <w:szCs w:val="22"/>
              </w:rPr>
              <w:t>2.5</w:t>
            </w:r>
          </w:p>
        </w:tc>
        <w:tc>
          <w:tcPr>
            <w:tcW w:w="1080" w:type="dxa"/>
            <w:shd w:val="clear" w:color="auto" w:fill="D9D9D9" w:themeFill="background1" w:themeFillShade="D9"/>
            <w:vAlign w:val="center"/>
          </w:tcPr>
          <w:p w14:paraId="18B0240F" w14:textId="77777777" w:rsidR="000177D5" w:rsidRPr="00505E9F" w:rsidRDefault="000177D5" w:rsidP="0090690D">
            <w:pPr>
              <w:keepNext/>
              <w:widowControl w:val="0"/>
              <w:jc w:val="center"/>
              <w:rPr>
                <w:b/>
                <w:sz w:val="22"/>
                <w:szCs w:val="22"/>
              </w:rPr>
            </w:pPr>
            <w:r w:rsidRPr="00505E9F">
              <w:rPr>
                <w:b/>
                <w:sz w:val="22"/>
                <w:szCs w:val="22"/>
              </w:rPr>
              <w:t>CO</w:t>
            </w:r>
          </w:p>
        </w:tc>
        <w:tc>
          <w:tcPr>
            <w:tcW w:w="1012" w:type="dxa"/>
            <w:shd w:val="clear" w:color="auto" w:fill="D9D9D9" w:themeFill="background1" w:themeFillShade="D9"/>
            <w:vAlign w:val="center"/>
          </w:tcPr>
          <w:p w14:paraId="38641024" w14:textId="77777777" w:rsidR="000177D5" w:rsidRPr="00505E9F" w:rsidRDefault="000177D5" w:rsidP="0090690D">
            <w:pPr>
              <w:keepNext/>
              <w:widowControl w:val="0"/>
              <w:jc w:val="center"/>
              <w:rPr>
                <w:b/>
                <w:sz w:val="22"/>
                <w:szCs w:val="22"/>
              </w:rPr>
            </w:pPr>
            <w:r w:rsidRPr="00505E9F">
              <w:rPr>
                <w:b/>
                <w:sz w:val="22"/>
                <w:szCs w:val="22"/>
              </w:rPr>
              <w:t>VOC</w:t>
            </w:r>
          </w:p>
        </w:tc>
      </w:tr>
      <w:tr w:rsidR="00393E25" w:rsidRPr="00993B55" w14:paraId="25DE5B9D" w14:textId="77777777" w:rsidTr="00393E25">
        <w:trPr>
          <w:trHeight w:val="449"/>
        </w:trPr>
        <w:tc>
          <w:tcPr>
            <w:tcW w:w="2970" w:type="dxa"/>
            <w:shd w:val="clear" w:color="auto" w:fill="auto"/>
            <w:vAlign w:val="center"/>
          </w:tcPr>
          <w:p w14:paraId="3D22D682" w14:textId="77777777" w:rsidR="00393E25" w:rsidRPr="00993B55" w:rsidRDefault="00393E25" w:rsidP="0090690D">
            <w:pPr>
              <w:keepNext/>
              <w:widowControl w:val="0"/>
              <w:jc w:val="center"/>
              <w:rPr>
                <w:sz w:val="22"/>
                <w:szCs w:val="22"/>
              </w:rPr>
            </w:pPr>
            <w:r w:rsidRPr="00993B55">
              <w:rPr>
                <w:sz w:val="22"/>
                <w:szCs w:val="22"/>
              </w:rPr>
              <w:t>Project Emissions Increase</w:t>
            </w:r>
          </w:p>
        </w:tc>
        <w:tc>
          <w:tcPr>
            <w:tcW w:w="1080" w:type="dxa"/>
            <w:shd w:val="clear" w:color="auto" w:fill="auto"/>
            <w:vAlign w:val="center"/>
          </w:tcPr>
          <w:p w14:paraId="7C8C0F2A" w14:textId="4C739D70" w:rsidR="00393E25" w:rsidRPr="00993B55" w:rsidRDefault="00393E25" w:rsidP="0090690D">
            <w:pPr>
              <w:keepNext/>
              <w:widowControl w:val="0"/>
              <w:jc w:val="center"/>
              <w:rPr>
                <w:color w:val="0000FF"/>
                <w:sz w:val="22"/>
                <w:szCs w:val="22"/>
              </w:rPr>
            </w:pPr>
            <w:r w:rsidRPr="008C0E59">
              <w:rPr>
                <w:color w:val="0000FF"/>
                <w:sz w:val="22"/>
                <w:szCs w:val="22"/>
              </w:rPr>
              <w:t>X,XXX</w:t>
            </w:r>
          </w:p>
        </w:tc>
        <w:tc>
          <w:tcPr>
            <w:tcW w:w="1170" w:type="dxa"/>
            <w:shd w:val="clear" w:color="auto" w:fill="auto"/>
            <w:vAlign w:val="center"/>
          </w:tcPr>
          <w:p w14:paraId="242ECB93" w14:textId="60FBFC11" w:rsidR="00393E25" w:rsidRPr="00993B55" w:rsidRDefault="00393E25" w:rsidP="0090690D">
            <w:pPr>
              <w:keepNext/>
              <w:widowControl w:val="0"/>
              <w:jc w:val="center"/>
              <w:rPr>
                <w:color w:val="0000FF"/>
                <w:sz w:val="22"/>
                <w:szCs w:val="22"/>
              </w:rPr>
            </w:pPr>
            <w:r w:rsidRPr="008C0E59">
              <w:rPr>
                <w:color w:val="0000FF"/>
                <w:sz w:val="22"/>
                <w:szCs w:val="22"/>
              </w:rPr>
              <w:t>X,XXX</w:t>
            </w:r>
          </w:p>
        </w:tc>
        <w:tc>
          <w:tcPr>
            <w:tcW w:w="1170" w:type="dxa"/>
            <w:shd w:val="clear" w:color="auto" w:fill="auto"/>
            <w:vAlign w:val="center"/>
          </w:tcPr>
          <w:p w14:paraId="3244900F" w14:textId="6B9FF5C5" w:rsidR="00393E25" w:rsidRPr="00993B55" w:rsidRDefault="00393E25" w:rsidP="0090690D">
            <w:pPr>
              <w:keepNext/>
              <w:widowControl w:val="0"/>
              <w:jc w:val="center"/>
              <w:rPr>
                <w:color w:val="0000FF"/>
                <w:sz w:val="22"/>
                <w:szCs w:val="22"/>
              </w:rPr>
            </w:pPr>
            <w:r w:rsidRPr="008C0E59">
              <w:rPr>
                <w:color w:val="0000FF"/>
                <w:sz w:val="22"/>
                <w:szCs w:val="22"/>
              </w:rPr>
              <w:t>X,XXX</w:t>
            </w:r>
          </w:p>
        </w:tc>
        <w:tc>
          <w:tcPr>
            <w:tcW w:w="1080" w:type="dxa"/>
            <w:vAlign w:val="center"/>
          </w:tcPr>
          <w:p w14:paraId="0B575822" w14:textId="2A1884AB" w:rsidR="00393E25" w:rsidRPr="00993B55" w:rsidRDefault="00393E25" w:rsidP="0090690D">
            <w:pPr>
              <w:keepNext/>
              <w:widowControl w:val="0"/>
              <w:jc w:val="center"/>
              <w:rPr>
                <w:color w:val="0000FF"/>
                <w:sz w:val="22"/>
                <w:szCs w:val="22"/>
              </w:rPr>
            </w:pPr>
            <w:r w:rsidRPr="008C0E59">
              <w:rPr>
                <w:color w:val="0000FF"/>
                <w:sz w:val="22"/>
                <w:szCs w:val="22"/>
              </w:rPr>
              <w:t>X,XXX</w:t>
            </w:r>
          </w:p>
        </w:tc>
        <w:tc>
          <w:tcPr>
            <w:tcW w:w="1080" w:type="dxa"/>
            <w:shd w:val="clear" w:color="auto" w:fill="auto"/>
            <w:vAlign w:val="center"/>
          </w:tcPr>
          <w:p w14:paraId="30DCCB2C" w14:textId="4B9F840C" w:rsidR="00393E25" w:rsidRPr="00993B55" w:rsidRDefault="00393E25" w:rsidP="0090690D">
            <w:pPr>
              <w:keepNext/>
              <w:widowControl w:val="0"/>
              <w:jc w:val="center"/>
              <w:rPr>
                <w:color w:val="0000FF"/>
                <w:sz w:val="22"/>
                <w:szCs w:val="22"/>
              </w:rPr>
            </w:pPr>
            <w:r w:rsidRPr="008C0E59">
              <w:rPr>
                <w:color w:val="0000FF"/>
                <w:sz w:val="22"/>
                <w:szCs w:val="22"/>
              </w:rPr>
              <w:t>X,XXX</w:t>
            </w:r>
          </w:p>
        </w:tc>
        <w:tc>
          <w:tcPr>
            <w:tcW w:w="1012" w:type="dxa"/>
            <w:shd w:val="clear" w:color="auto" w:fill="auto"/>
            <w:vAlign w:val="center"/>
          </w:tcPr>
          <w:p w14:paraId="216B2104" w14:textId="3BC63352" w:rsidR="00393E25" w:rsidRPr="00993B55" w:rsidRDefault="00393E25" w:rsidP="0090690D">
            <w:pPr>
              <w:keepNext/>
              <w:widowControl w:val="0"/>
              <w:jc w:val="center"/>
              <w:rPr>
                <w:color w:val="0000FF"/>
                <w:sz w:val="22"/>
                <w:szCs w:val="22"/>
              </w:rPr>
            </w:pPr>
            <w:r w:rsidRPr="008C0E59">
              <w:rPr>
                <w:color w:val="0000FF"/>
                <w:sz w:val="22"/>
                <w:szCs w:val="22"/>
              </w:rPr>
              <w:t>X,XXX</w:t>
            </w:r>
          </w:p>
        </w:tc>
      </w:tr>
      <w:tr w:rsidR="000177D5" w:rsidRPr="00993B55" w14:paraId="4899EB65" w14:textId="77777777" w:rsidTr="00505E9F">
        <w:trPr>
          <w:trHeight w:val="449"/>
        </w:trPr>
        <w:tc>
          <w:tcPr>
            <w:tcW w:w="2970" w:type="dxa"/>
            <w:shd w:val="clear" w:color="auto" w:fill="auto"/>
            <w:vAlign w:val="center"/>
          </w:tcPr>
          <w:p w14:paraId="5E6D629C" w14:textId="77777777" w:rsidR="000177D5" w:rsidRPr="00993B55" w:rsidRDefault="000177D5" w:rsidP="0090690D">
            <w:pPr>
              <w:keepNext/>
              <w:widowControl w:val="0"/>
              <w:jc w:val="center"/>
              <w:rPr>
                <w:sz w:val="22"/>
                <w:szCs w:val="22"/>
              </w:rPr>
            </w:pPr>
            <w:r w:rsidRPr="00993B55">
              <w:rPr>
                <w:sz w:val="22"/>
                <w:szCs w:val="22"/>
              </w:rPr>
              <w:t>Major Source Threshold</w:t>
            </w:r>
          </w:p>
        </w:tc>
        <w:tc>
          <w:tcPr>
            <w:tcW w:w="1080" w:type="dxa"/>
            <w:shd w:val="clear" w:color="auto" w:fill="auto"/>
            <w:vAlign w:val="center"/>
          </w:tcPr>
          <w:p w14:paraId="256CECF1" w14:textId="77777777" w:rsidR="000177D5" w:rsidRPr="00993B55" w:rsidRDefault="000177D5" w:rsidP="0090690D">
            <w:pPr>
              <w:keepNext/>
              <w:widowControl w:val="0"/>
              <w:jc w:val="center"/>
              <w:rPr>
                <w:color w:val="0000FF"/>
                <w:sz w:val="22"/>
                <w:szCs w:val="22"/>
              </w:rPr>
            </w:pPr>
            <w:r w:rsidRPr="00993B55">
              <w:rPr>
                <w:color w:val="0000FF"/>
                <w:sz w:val="22"/>
                <w:szCs w:val="22"/>
              </w:rPr>
              <w:t>20,000</w:t>
            </w:r>
          </w:p>
        </w:tc>
        <w:tc>
          <w:tcPr>
            <w:tcW w:w="1170" w:type="dxa"/>
            <w:shd w:val="clear" w:color="auto" w:fill="auto"/>
            <w:vAlign w:val="center"/>
          </w:tcPr>
          <w:p w14:paraId="5ECA8D1A" w14:textId="77777777" w:rsidR="000177D5" w:rsidRPr="00993B55" w:rsidRDefault="000177D5" w:rsidP="0090690D">
            <w:pPr>
              <w:keepNext/>
              <w:widowControl w:val="0"/>
              <w:jc w:val="center"/>
              <w:rPr>
                <w:color w:val="0000FF"/>
                <w:sz w:val="22"/>
                <w:szCs w:val="22"/>
              </w:rPr>
            </w:pPr>
            <w:r w:rsidRPr="00993B55">
              <w:rPr>
                <w:color w:val="0000FF"/>
                <w:sz w:val="22"/>
                <w:szCs w:val="22"/>
              </w:rPr>
              <w:t>140,000</w:t>
            </w:r>
          </w:p>
        </w:tc>
        <w:tc>
          <w:tcPr>
            <w:tcW w:w="1170" w:type="dxa"/>
            <w:shd w:val="clear" w:color="auto" w:fill="auto"/>
            <w:vAlign w:val="center"/>
          </w:tcPr>
          <w:p w14:paraId="1B93F717" w14:textId="77777777" w:rsidR="000177D5" w:rsidRPr="00993B55" w:rsidRDefault="000177D5" w:rsidP="0090690D">
            <w:pPr>
              <w:keepNext/>
              <w:widowControl w:val="0"/>
              <w:jc w:val="center"/>
              <w:rPr>
                <w:color w:val="0000FF"/>
                <w:sz w:val="22"/>
                <w:szCs w:val="22"/>
              </w:rPr>
            </w:pPr>
            <w:r w:rsidRPr="00993B55">
              <w:rPr>
                <w:color w:val="0000FF"/>
                <w:sz w:val="22"/>
                <w:szCs w:val="22"/>
              </w:rPr>
              <w:t>140,000</w:t>
            </w:r>
          </w:p>
        </w:tc>
        <w:tc>
          <w:tcPr>
            <w:tcW w:w="1080" w:type="dxa"/>
            <w:vAlign w:val="center"/>
          </w:tcPr>
          <w:p w14:paraId="167ADC43" w14:textId="77777777" w:rsidR="000177D5" w:rsidRPr="00993B55" w:rsidRDefault="000177D5" w:rsidP="0090690D">
            <w:pPr>
              <w:keepNext/>
              <w:widowControl w:val="0"/>
              <w:jc w:val="center"/>
              <w:rPr>
                <w:color w:val="0000FF"/>
                <w:sz w:val="22"/>
                <w:szCs w:val="22"/>
              </w:rPr>
            </w:pPr>
            <w:r w:rsidRPr="00993B55">
              <w:rPr>
                <w:color w:val="0000FF"/>
                <w:sz w:val="22"/>
                <w:szCs w:val="22"/>
              </w:rPr>
              <w:t>140,000</w:t>
            </w:r>
          </w:p>
        </w:tc>
        <w:tc>
          <w:tcPr>
            <w:tcW w:w="1080" w:type="dxa"/>
            <w:shd w:val="clear" w:color="auto" w:fill="auto"/>
            <w:vAlign w:val="center"/>
          </w:tcPr>
          <w:p w14:paraId="0260C4F2" w14:textId="77777777" w:rsidR="000177D5" w:rsidRPr="00993B55" w:rsidRDefault="000177D5" w:rsidP="0090690D">
            <w:pPr>
              <w:keepNext/>
              <w:widowControl w:val="0"/>
              <w:jc w:val="center"/>
              <w:rPr>
                <w:color w:val="0000FF"/>
                <w:sz w:val="22"/>
                <w:szCs w:val="22"/>
              </w:rPr>
            </w:pPr>
            <w:r w:rsidRPr="00993B55">
              <w:rPr>
                <w:color w:val="0000FF"/>
                <w:sz w:val="22"/>
                <w:szCs w:val="22"/>
              </w:rPr>
              <w:t>200,000</w:t>
            </w:r>
          </w:p>
        </w:tc>
        <w:tc>
          <w:tcPr>
            <w:tcW w:w="1012" w:type="dxa"/>
            <w:shd w:val="clear" w:color="auto" w:fill="auto"/>
            <w:vAlign w:val="center"/>
          </w:tcPr>
          <w:p w14:paraId="557019C8" w14:textId="77777777" w:rsidR="000177D5" w:rsidRPr="00993B55" w:rsidRDefault="000177D5" w:rsidP="0090690D">
            <w:pPr>
              <w:keepNext/>
              <w:widowControl w:val="0"/>
              <w:jc w:val="center"/>
              <w:rPr>
                <w:color w:val="0000FF"/>
                <w:sz w:val="22"/>
                <w:szCs w:val="22"/>
              </w:rPr>
            </w:pPr>
            <w:r w:rsidRPr="00993B55">
              <w:rPr>
                <w:color w:val="0000FF"/>
                <w:sz w:val="22"/>
                <w:szCs w:val="22"/>
              </w:rPr>
              <w:t>20,000</w:t>
            </w:r>
          </w:p>
        </w:tc>
      </w:tr>
      <w:tr w:rsidR="000177D5" w:rsidRPr="00993B55" w14:paraId="44FA902D" w14:textId="77777777" w:rsidTr="006616E4">
        <w:trPr>
          <w:trHeight w:val="504"/>
        </w:trPr>
        <w:tc>
          <w:tcPr>
            <w:tcW w:w="2970" w:type="dxa"/>
            <w:shd w:val="clear" w:color="auto" w:fill="D9D9D9" w:themeFill="background1" w:themeFillShade="D9"/>
            <w:vAlign w:val="center"/>
          </w:tcPr>
          <w:p w14:paraId="53E85516" w14:textId="77777777" w:rsidR="000177D5" w:rsidRPr="00505E9F" w:rsidRDefault="000177D5" w:rsidP="0090690D">
            <w:pPr>
              <w:keepNext/>
              <w:widowControl w:val="0"/>
              <w:jc w:val="center"/>
              <w:rPr>
                <w:b/>
                <w:bCs/>
                <w:sz w:val="22"/>
                <w:szCs w:val="22"/>
              </w:rPr>
            </w:pPr>
            <w:r w:rsidRPr="00505E9F">
              <w:rPr>
                <w:b/>
                <w:bCs/>
                <w:sz w:val="22"/>
                <w:szCs w:val="22"/>
              </w:rPr>
              <w:t>New Major Source?</w:t>
            </w:r>
          </w:p>
        </w:tc>
        <w:tc>
          <w:tcPr>
            <w:tcW w:w="1080" w:type="dxa"/>
            <w:shd w:val="clear" w:color="auto" w:fill="D9D9D9" w:themeFill="background1" w:themeFillShade="D9"/>
            <w:vAlign w:val="center"/>
          </w:tcPr>
          <w:p w14:paraId="13150D34" w14:textId="77777777" w:rsidR="000177D5" w:rsidRPr="00505E9F" w:rsidRDefault="000177D5" w:rsidP="0090690D">
            <w:pPr>
              <w:keepNext/>
              <w:widowControl w:val="0"/>
              <w:jc w:val="center"/>
              <w:rPr>
                <w:b/>
                <w:bCs/>
                <w:color w:val="0000FF"/>
                <w:sz w:val="22"/>
                <w:szCs w:val="22"/>
              </w:rPr>
            </w:pPr>
            <w:r w:rsidRPr="00505E9F">
              <w:rPr>
                <w:b/>
                <w:bCs/>
                <w:color w:val="0000FF"/>
                <w:sz w:val="22"/>
                <w:szCs w:val="22"/>
              </w:rPr>
              <w:t>No</w:t>
            </w:r>
          </w:p>
        </w:tc>
        <w:tc>
          <w:tcPr>
            <w:tcW w:w="1170" w:type="dxa"/>
            <w:shd w:val="clear" w:color="auto" w:fill="D9D9D9" w:themeFill="background1" w:themeFillShade="D9"/>
            <w:vAlign w:val="center"/>
          </w:tcPr>
          <w:p w14:paraId="29A8400F" w14:textId="77777777" w:rsidR="000177D5" w:rsidRPr="00505E9F" w:rsidRDefault="000177D5" w:rsidP="0090690D">
            <w:pPr>
              <w:keepNext/>
              <w:widowControl w:val="0"/>
              <w:jc w:val="center"/>
              <w:rPr>
                <w:b/>
                <w:bCs/>
                <w:color w:val="0000FF"/>
                <w:sz w:val="22"/>
                <w:szCs w:val="22"/>
              </w:rPr>
            </w:pPr>
            <w:r w:rsidRPr="00505E9F">
              <w:rPr>
                <w:b/>
                <w:bCs/>
                <w:color w:val="0000FF"/>
                <w:sz w:val="22"/>
                <w:szCs w:val="22"/>
              </w:rPr>
              <w:t>No</w:t>
            </w:r>
          </w:p>
        </w:tc>
        <w:tc>
          <w:tcPr>
            <w:tcW w:w="1170" w:type="dxa"/>
            <w:shd w:val="clear" w:color="auto" w:fill="D9D9D9" w:themeFill="background1" w:themeFillShade="D9"/>
            <w:vAlign w:val="center"/>
          </w:tcPr>
          <w:p w14:paraId="36AE53D2" w14:textId="77777777" w:rsidR="000177D5" w:rsidRPr="00505E9F" w:rsidRDefault="000177D5" w:rsidP="0090690D">
            <w:pPr>
              <w:keepNext/>
              <w:widowControl w:val="0"/>
              <w:jc w:val="center"/>
              <w:rPr>
                <w:b/>
                <w:bCs/>
                <w:color w:val="0000FF"/>
                <w:sz w:val="22"/>
                <w:szCs w:val="22"/>
              </w:rPr>
            </w:pPr>
            <w:r w:rsidRPr="00505E9F">
              <w:rPr>
                <w:b/>
                <w:bCs/>
                <w:color w:val="0000FF"/>
                <w:sz w:val="22"/>
                <w:szCs w:val="22"/>
              </w:rPr>
              <w:t>No</w:t>
            </w:r>
          </w:p>
        </w:tc>
        <w:tc>
          <w:tcPr>
            <w:tcW w:w="1080" w:type="dxa"/>
            <w:shd w:val="clear" w:color="auto" w:fill="D9D9D9" w:themeFill="background1" w:themeFillShade="D9"/>
            <w:vAlign w:val="center"/>
          </w:tcPr>
          <w:p w14:paraId="58D266FF" w14:textId="77777777" w:rsidR="000177D5" w:rsidRPr="00505E9F" w:rsidRDefault="000177D5" w:rsidP="0090690D">
            <w:pPr>
              <w:keepNext/>
              <w:widowControl w:val="0"/>
              <w:jc w:val="center"/>
              <w:rPr>
                <w:b/>
                <w:bCs/>
                <w:color w:val="0000FF"/>
                <w:sz w:val="22"/>
                <w:szCs w:val="22"/>
              </w:rPr>
            </w:pPr>
            <w:r w:rsidRPr="00505E9F">
              <w:rPr>
                <w:b/>
                <w:bCs/>
                <w:color w:val="0000FF"/>
                <w:sz w:val="22"/>
                <w:szCs w:val="22"/>
              </w:rPr>
              <w:t>No</w:t>
            </w:r>
          </w:p>
        </w:tc>
        <w:tc>
          <w:tcPr>
            <w:tcW w:w="1080" w:type="dxa"/>
            <w:shd w:val="clear" w:color="auto" w:fill="D9D9D9" w:themeFill="background1" w:themeFillShade="D9"/>
            <w:vAlign w:val="center"/>
          </w:tcPr>
          <w:p w14:paraId="1AC617F6" w14:textId="77777777" w:rsidR="000177D5" w:rsidRPr="00505E9F" w:rsidRDefault="000177D5" w:rsidP="0090690D">
            <w:pPr>
              <w:keepNext/>
              <w:widowControl w:val="0"/>
              <w:jc w:val="center"/>
              <w:rPr>
                <w:b/>
                <w:bCs/>
                <w:color w:val="0000FF"/>
                <w:sz w:val="22"/>
                <w:szCs w:val="22"/>
              </w:rPr>
            </w:pPr>
            <w:r w:rsidRPr="00505E9F">
              <w:rPr>
                <w:b/>
                <w:bCs/>
                <w:color w:val="0000FF"/>
                <w:sz w:val="22"/>
                <w:szCs w:val="22"/>
              </w:rPr>
              <w:t>No</w:t>
            </w:r>
          </w:p>
        </w:tc>
        <w:tc>
          <w:tcPr>
            <w:tcW w:w="1012" w:type="dxa"/>
            <w:shd w:val="clear" w:color="auto" w:fill="D9D9D9" w:themeFill="background1" w:themeFillShade="D9"/>
            <w:vAlign w:val="center"/>
          </w:tcPr>
          <w:p w14:paraId="3C91EB3E" w14:textId="77777777" w:rsidR="000177D5" w:rsidRPr="00505E9F" w:rsidRDefault="000177D5" w:rsidP="0090690D">
            <w:pPr>
              <w:keepNext/>
              <w:widowControl w:val="0"/>
              <w:jc w:val="center"/>
              <w:rPr>
                <w:b/>
                <w:bCs/>
                <w:color w:val="0000FF"/>
                <w:sz w:val="22"/>
                <w:szCs w:val="22"/>
              </w:rPr>
            </w:pPr>
            <w:r w:rsidRPr="00505E9F">
              <w:rPr>
                <w:b/>
                <w:bCs/>
                <w:color w:val="0000FF"/>
                <w:sz w:val="22"/>
                <w:szCs w:val="22"/>
              </w:rPr>
              <w:t>No</w:t>
            </w:r>
          </w:p>
        </w:tc>
      </w:tr>
    </w:tbl>
    <w:p w14:paraId="5B79E257" w14:textId="77777777" w:rsidR="000177D5" w:rsidRPr="00993B55" w:rsidRDefault="000177D5" w:rsidP="007A60F3">
      <w:pPr>
        <w:widowControl w:val="0"/>
        <w:autoSpaceDE w:val="0"/>
        <w:autoSpaceDN w:val="0"/>
        <w:adjustRightInd w:val="0"/>
        <w:ind w:left="720"/>
        <w:rPr>
          <w:color w:val="000000"/>
        </w:rPr>
      </w:pPr>
      <w:r w:rsidRPr="00993B55">
        <w:rPr>
          <w:color w:val="000000"/>
        </w:rPr>
        <w:tab/>
        <w:t>Note: PM2.5 assumed to be equal to PM10</w:t>
      </w:r>
    </w:p>
    <w:p w14:paraId="6DED1532" w14:textId="77777777" w:rsidR="000177D5" w:rsidRPr="00993B55" w:rsidRDefault="000177D5" w:rsidP="007A60F3">
      <w:pPr>
        <w:widowControl w:val="0"/>
        <w:autoSpaceDE w:val="0"/>
        <w:autoSpaceDN w:val="0"/>
        <w:adjustRightInd w:val="0"/>
        <w:ind w:left="720"/>
        <w:rPr>
          <w:color w:val="000000"/>
        </w:rPr>
      </w:pPr>
    </w:p>
    <w:p w14:paraId="3B530717" w14:textId="77777777" w:rsidR="000177D5" w:rsidRPr="00993B55" w:rsidRDefault="000177D5" w:rsidP="007A60F3">
      <w:pPr>
        <w:widowControl w:val="0"/>
        <w:ind w:left="720"/>
        <w:rPr>
          <w:color w:val="FF0000"/>
        </w:rPr>
      </w:pPr>
      <w:r w:rsidRPr="00993B55">
        <w:rPr>
          <w:color w:val="FF0000"/>
        </w:rPr>
        <w:t>Conclusion – NOT New Major Source</w:t>
      </w:r>
    </w:p>
    <w:p w14:paraId="7B43D4CB" w14:textId="129BF149" w:rsidR="000177D5" w:rsidRPr="00993B55" w:rsidRDefault="000177D5" w:rsidP="007A60F3">
      <w:pPr>
        <w:widowControl w:val="0"/>
        <w:ind w:left="720"/>
      </w:pPr>
      <w:r w:rsidRPr="00993B55">
        <w:t xml:space="preserve">Since the project emissions increase does not exceed the Major Source thresholds for any pollutant, this facility is not a New Major Source </w:t>
      </w:r>
      <w:r w:rsidRPr="00993B55">
        <w:rPr>
          <w:rFonts w:cs="Arial"/>
          <w:color w:val="000000"/>
        </w:rPr>
        <w:t xml:space="preserve">pursuant </w:t>
      </w:r>
      <w:r w:rsidRPr="00993B55">
        <w:t xml:space="preserve">to </w:t>
      </w:r>
      <w:r w:rsidR="008974C8">
        <w:t xml:space="preserve">Section 3.30 of </w:t>
      </w:r>
      <w:r w:rsidR="00A62513" w:rsidRPr="00993B55">
        <w:rPr>
          <w:szCs w:val="24"/>
        </w:rPr>
        <w:t xml:space="preserve">District </w:t>
      </w:r>
      <w:r w:rsidR="008974C8">
        <w:t>Rule 2201</w:t>
      </w:r>
      <w:r w:rsidRPr="00993B55">
        <w:t xml:space="preserve"> and no further discussion is required.</w:t>
      </w:r>
    </w:p>
    <w:p w14:paraId="74476EF9" w14:textId="77777777" w:rsidR="000177D5" w:rsidRPr="00993B55" w:rsidRDefault="000177D5" w:rsidP="007A60F3">
      <w:pPr>
        <w:widowControl w:val="0"/>
        <w:ind w:left="720"/>
      </w:pPr>
    </w:p>
    <w:p w14:paraId="737930C7" w14:textId="77777777" w:rsidR="000177D5" w:rsidRPr="00993B55" w:rsidRDefault="000177D5" w:rsidP="007A60F3">
      <w:pPr>
        <w:widowControl w:val="0"/>
        <w:ind w:left="720"/>
        <w:rPr>
          <w:color w:val="FF0000"/>
        </w:rPr>
      </w:pPr>
      <w:r w:rsidRPr="00993B55">
        <w:rPr>
          <w:color w:val="FF0000"/>
        </w:rPr>
        <w:t xml:space="preserve">Conclusion – New Major Source for </w:t>
      </w:r>
      <w:r w:rsidRPr="00993B55">
        <w:rPr>
          <w:b/>
          <w:color w:val="FF0000"/>
        </w:rPr>
        <w:t>NOx or VOC</w:t>
      </w:r>
    </w:p>
    <w:p w14:paraId="0B5138E8" w14:textId="02DEF8BC" w:rsidR="000177D5" w:rsidRPr="00993B55" w:rsidRDefault="000177D5" w:rsidP="007A60F3">
      <w:pPr>
        <w:widowControl w:val="0"/>
        <w:ind w:left="720"/>
      </w:pPr>
      <w:r w:rsidRPr="00993B55">
        <w:t xml:space="preserve">Since the project emissions increase exceeds the Major Source thresholds </w:t>
      </w:r>
      <w:r w:rsidRPr="00993B55">
        <w:rPr>
          <w:color w:val="0000FF"/>
        </w:rPr>
        <w:t>for NOx and VOC</w:t>
      </w:r>
      <w:r w:rsidRPr="00993B55">
        <w:t xml:space="preserve">, this facility is a New Major Source </w:t>
      </w:r>
      <w:r w:rsidRPr="00993B55">
        <w:rPr>
          <w:rFonts w:cs="Arial"/>
          <w:color w:val="000000"/>
        </w:rPr>
        <w:t xml:space="preserve">pursuant </w:t>
      </w:r>
      <w:r w:rsidRPr="00993B55">
        <w:t xml:space="preserve">to </w:t>
      </w:r>
      <w:r w:rsidR="00A62513">
        <w:t xml:space="preserve">Section 3.30 of </w:t>
      </w:r>
      <w:r w:rsidR="006D680D">
        <w:t xml:space="preserve">District </w:t>
      </w:r>
      <w:r w:rsidR="00A62513">
        <w:t>Rule 2201</w:t>
      </w:r>
      <w:r w:rsidRPr="00993B55">
        <w:t xml:space="preserve"> </w:t>
      </w:r>
      <w:r w:rsidRPr="00993B55">
        <w:rPr>
          <w:color w:val="0000FF"/>
        </w:rPr>
        <w:t>for NOx and VOC</w:t>
      </w:r>
      <w:r w:rsidRPr="00993B55">
        <w:t xml:space="preserve">.  Consequently, as discussed below in the offset section of this evaluation, </w:t>
      </w:r>
      <w:r w:rsidRPr="00993B55">
        <w:rPr>
          <w:szCs w:val="24"/>
        </w:rPr>
        <w:t xml:space="preserve">pursuant to </w:t>
      </w:r>
      <w:r w:rsidR="004734B8" w:rsidRPr="00993B55">
        <w:t xml:space="preserve">Section </w:t>
      </w:r>
      <w:r w:rsidR="004734B8">
        <w:t>4.8.1.1</w:t>
      </w:r>
      <w:r w:rsidR="004734B8" w:rsidRPr="00993B55">
        <w:t xml:space="preserve"> of District Rule 2201, </w:t>
      </w:r>
      <w:r w:rsidR="004734B8" w:rsidRPr="00993B55">
        <w:rPr>
          <w:color w:val="0000FF"/>
        </w:rPr>
        <w:t xml:space="preserve">NOx and VOC </w:t>
      </w:r>
      <w:r w:rsidR="004734B8">
        <w:t>internal emission reductions (IER) or other actual emission reductions (AERs)</w:t>
      </w:r>
      <w:r w:rsidRPr="00993B55">
        <w:t xml:space="preserve"> used to satisfy the offset quantity required under District Rule 2201 must </w:t>
      </w:r>
      <w:r w:rsidR="006D680D">
        <w:t xml:space="preserve">be </w:t>
      </w:r>
      <w:r w:rsidRPr="00993B55">
        <w:t>surplus at the time of use (ATC issuance).</w:t>
      </w:r>
    </w:p>
    <w:p w14:paraId="4600E470" w14:textId="77777777" w:rsidR="000177D5" w:rsidRPr="00993B55" w:rsidRDefault="000177D5" w:rsidP="007A60F3">
      <w:pPr>
        <w:widowControl w:val="0"/>
        <w:ind w:left="720"/>
      </w:pPr>
    </w:p>
    <w:p w14:paraId="2B487375" w14:textId="77777777" w:rsidR="000177D5" w:rsidRPr="00993B55" w:rsidRDefault="000177D5" w:rsidP="007A60F3">
      <w:pPr>
        <w:widowControl w:val="0"/>
        <w:ind w:left="720"/>
        <w:rPr>
          <w:color w:val="FF0000"/>
        </w:rPr>
      </w:pPr>
      <w:r w:rsidRPr="00993B55">
        <w:rPr>
          <w:color w:val="FF0000"/>
        </w:rPr>
        <w:t xml:space="preserve">Or, for threshold(s) </w:t>
      </w:r>
      <w:r w:rsidRPr="00993B55">
        <w:rPr>
          <w:b/>
          <w:color w:val="FF0000"/>
          <w:u w:val="single"/>
        </w:rPr>
        <w:t>other than NOx and VOC</w:t>
      </w:r>
      <w:r w:rsidRPr="00993B55">
        <w:rPr>
          <w:color w:val="FF0000"/>
        </w:rPr>
        <w:t xml:space="preserve"> thresholds being exceeded</w:t>
      </w:r>
    </w:p>
    <w:p w14:paraId="15821005" w14:textId="6E4F2F3C" w:rsidR="000177D5" w:rsidRPr="00993B55" w:rsidRDefault="000177D5" w:rsidP="007A60F3">
      <w:pPr>
        <w:widowControl w:val="0"/>
        <w:ind w:left="720"/>
      </w:pPr>
      <w:r w:rsidRPr="00993B55">
        <w:t xml:space="preserve">Since the project emissions increase exceeds the Major Source thresholds for </w:t>
      </w:r>
      <w:r w:rsidRPr="00993B55">
        <w:rPr>
          <w:color w:val="0000FF"/>
        </w:rPr>
        <w:t>PM10, PM2.5, CO, and SOx</w:t>
      </w:r>
      <w:r w:rsidRPr="00993B55">
        <w:t xml:space="preserve">, this facility is a New Major Source </w:t>
      </w:r>
      <w:r w:rsidRPr="00993B55">
        <w:rPr>
          <w:rFonts w:cs="Arial"/>
          <w:color w:val="000000"/>
        </w:rPr>
        <w:t xml:space="preserve">pursuant </w:t>
      </w:r>
      <w:r w:rsidRPr="00993B55">
        <w:t xml:space="preserve">to </w:t>
      </w:r>
      <w:r w:rsidR="004734B8">
        <w:t>Section 3.30 of District Rule 2201</w:t>
      </w:r>
      <w:r w:rsidRPr="00993B55">
        <w:t xml:space="preserve"> for </w:t>
      </w:r>
      <w:r w:rsidRPr="00993B55">
        <w:rPr>
          <w:color w:val="0000FF"/>
        </w:rPr>
        <w:t>PM10, PM2.5, CO, and SOx</w:t>
      </w:r>
      <w:r w:rsidRPr="00993B55">
        <w:t>.</w:t>
      </w:r>
    </w:p>
    <w:p w14:paraId="3AF1B3B3" w14:textId="7AC7F43B" w:rsidR="000177D5" w:rsidRPr="0063101B" w:rsidRDefault="000177D5" w:rsidP="007C1ED2">
      <w:pPr>
        <w:pStyle w:val="Heading3"/>
        <w:widowControl w:val="0"/>
        <w:numPr>
          <w:ilvl w:val="0"/>
          <w:numId w:val="3"/>
        </w:numPr>
        <w:tabs>
          <w:tab w:val="clear" w:pos="1224"/>
        </w:tabs>
        <w:spacing w:before="240" w:after="240"/>
        <w:ind w:left="1080"/>
        <w:jc w:val="both"/>
        <w:rPr>
          <w:b/>
          <w:bCs/>
          <w:color w:val="000000"/>
          <w:sz w:val="24"/>
          <w:szCs w:val="24"/>
        </w:rPr>
      </w:pPr>
      <w:r w:rsidRPr="0063101B">
        <w:rPr>
          <w:b/>
          <w:bCs/>
          <w:color w:val="000000"/>
          <w:sz w:val="24"/>
          <w:szCs w:val="24"/>
        </w:rPr>
        <w:t>Rule 2410 – Prevention of Significant Deterioration (PSD) Applicability Determination</w:t>
      </w:r>
    </w:p>
    <w:p w14:paraId="204BB17F" w14:textId="6ED3F978" w:rsidR="000177D5" w:rsidRPr="00993B55" w:rsidRDefault="000177D5" w:rsidP="007A60F3">
      <w:pPr>
        <w:widowControl w:val="0"/>
        <w:ind w:left="720"/>
        <w:rPr>
          <w:rFonts w:cs="Arial"/>
          <w:noProof/>
        </w:rPr>
      </w:pPr>
      <w:r w:rsidRPr="00993B55">
        <w:rPr>
          <w:rFonts w:cs="Arial"/>
          <w:noProof/>
        </w:rPr>
        <w:t>Rule 2410 applies to any pollutant regulated under the Clean Air Act, except those for which the District has been classified nonattainment. The pollutants which must be addressed in the PSD applicability determination for sources located in the SJV and which are emitted in this project are: (See 52.21 (b) (23) definition of significant)</w:t>
      </w:r>
    </w:p>
    <w:p w14:paraId="12E5253D" w14:textId="77777777" w:rsidR="000177D5" w:rsidRPr="00AE74B1" w:rsidRDefault="000177D5" w:rsidP="007A60F3">
      <w:pPr>
        <w:widowControl w:val="0"/>
        <w:ind w:left="720"/>
        <w:rPr>
          <w:rFonts w:cs="Arial"/>
          <w:noProof/>
          <w:szCs w:val="24"/>
        </w:rPr>
      </w:pPr>
    </w:p>
    <w:p w14:paraId="7BD24F4D" w14:textId="77777777" w:rsidR="000177D5" w:rsidRPr="00993B55" w:rsidRDefault="000177D5" w:rsidP="007A60F3">
      <w:pPr>
        <w:widowControl w:val="0"/>
        <w:ind w:left="720"/>
        <w:rPr>
          <w:rFonts w:cs="Arial"/>
          <w:noProof/>
          <w:color w:val="FF0000"/>
          <w:szCs w:val="24"/>
        </w:rPr>
      </w:pPr>
      <w:r w:rsidRPr="00993B55">
        <w:rPr>
          <w:rFonts w:cs="Arial"/>
          <w:noProof/>
          <w:color w:val="FF0000"/>
          <w:szCs w:val="24"/>
        </w:rPr>
        <w:t>(Eliminate from the list those pollutants which are not emitted in the project.)</w:t>
      </w:r>
    </w:p>
    <w:p w14:paraId="4E393B60" w14:textId="77777777" w:rsidR="000177D5" w:rsidRPr="00AE74B1" w:rsidRDefault="000177D5" w:rsidP="007A60F3">
      <w:pPr>
        <w:widowControl w:val="0"/>
        <w:ind w:left="720"/>
        <w:rPr>
          <w:rFonts w:cs="Arial"/>
          <w:noProof/>
          <w:szCs w:val="24"/>
        </w:rPr>
      </w:pPr>
    </w:p>
    <w:p w14:paraId="04A7BC34" w14:textId="77777777" w:rsidR="000177D5" w:rsidRPr="00993B55" w:rsidRDefault="000177D5" w:rsidP="007A60F3">
      <w:pPr>
        <w:widowControl w:val="0"/>
        <w:numPr>
          <w:ilvl w:val="0"/>
          <w:numId w:val="22"/>
        </w:numPr>
        <w:ind w:left="1080"/>
        <w:contextualSpacing/>
        <w:jc w:val="left"/>
        <w:rPr>
          <w:rFonts w:cs="Arial"/>
          <w:noProof/>
        </w:rPr>
      </w:pPr>
      <w:r w:rsidRPr="00993B55">
        <w:rPr>
          <w:rFonts w:cs="Arial"/>
          <w:noProof/>
        </w:rPr>
        <w:t>NO2 (as a primary pollutant)</w:t>
      </w:r>
    </w:p>
    <w:p w14:paraId="31EBC0B4" w14:textId="77777777" w:rsidR="000177D5" w:rsidRPr="00993B55" w:rsidRDefault="000177D5" w:rsidP="007A60F3">
      <w:pPr>
        <w:widowControl w:val="0"/>
        <w:numPr>
          <w:ilvl w:val="0"/>
          <w:numId w:val="22"/>
        </w:numPr>
        <w:ind w:left="1080"/>
        <w:contextualSpacing/>
        <w:jc w:val="left"/>
        <w:rPr>
          <w:rFonts w:cs="Arial"/>
          <w:noProof/>
        </w:rPr>
      </w:pPr>
      <w:r w:rsidRPr="00993B55">
        <w:rPr>
          <w:rFonts w:cs="Arial"/>
          <w:noProof/>
        </w:rPr>
        <w:t>SO2 (as a primary pollutant)</w:t>
      </w:r>
    </w:p>
    <w:p w14:paraId="3C4C7A81" w14:textId="77777777" w:rsidR="000177D5" w:rsidRPr="00993B55" w:rsidRDefault="000177D5" w:rsidP="007A60F3">
      <w:pPr>
        <w:widowControl w:val="0"/>
        <w:numPr>
          <w:ilvl w:val="0"/>
          <w:numId w:val="22"/>
        </w:numPr>
        <w:ind w:left="1080"/>
        <w:contextualSpacing/>
        <w:jc w:val="left"/>
        <w:rPr>
          <w:rFonts w:cs="Arial"/>
          <w:noProof/>
        </w:rPr>
      </w:pPr>
      <w:r w:rsidRPr="00993B55">
        <w:rPr>
          <w:rFonts w:cs="Arial"/>
          <w:noProof/>
        </w:rPr>
        <w:t>CO</w:t>
      </w:r>
    </w:p>
    <w:p w14:paraId="5D047AC8" w14:textId="77777777" w:rsidR="000177D5" w:rsidRPr="00993B55" w:rsidRDefault="000177D5" w:rsidP="007A60F3">
      <w:pPr>
        <w:widowControl w:val="0"/>
        <w:numPr>
          <w:ilvl w:val="0"/>
          <w:numId w:val="22"/>
        </w:numPr>
        <w:ind w:left="1080"/>
        <w:contextualSpacing/>
        <w:jc w:val="left"/>
        <w:rPr>
          <w:rFonts w:cs="Arial"/>
          <w:noProof/>
        </w:rPr>
      </w:pPr>
      <w:r w:rsidRPr="00993B55">
        <w:rPr>
          <w:rFonts w:cs="Arial"/>
          <w:noProof/>
        </w:rPr>
        <w:t>PM</w:t>
      </w:r>
    </w:p>
    <w:p w14:paraId="0FE73548" w14:textId="77777777" w:rsidR="000177D5" w:rsidRPr="00993B55" w:rsidRDefault="000177D5" w:rsidP="007A60F3">
      <w:pPr>
        <w:widowControl w:val="0"/>
        <w:numPr>
          <w:ilvl w:val="0"/>
          <w:numId w:val="22"/>
        </w:numPr>
        <w:ind w:left="1080"/>
        <w:contextualSpacing/>
        <w:jc w:val="left"/>
        <w:rPr>
          <w:rFonts w:cs="Arial"/>
          <w:noProof/>
        </w:rPr>
      </w:pPr>
      <w:r w:rsidRPr="00993B55">
        <w:rPr>
          <w:rFonts w:cs="Arial"/>
          <w:noProof/>
        </w:rPr>
        <w:t>PM10</w:t>
      </w:r>
    </w:p>
    <w:p w14:paraId="33F3D0D7" w14:textId="77777777" w:rsidR="000177D5" w:rsidRPr="00993B55" w:rsidRDefault="000177D5" w:rsidP="007A60F3">
      <w:pPr>
        <w:widowControl w:val="0"/>
        <w:numPr>
          <w:ilvl w:val="0"/>
          <w:numId w:val="22"/>
        </w:numPr>
        <w:ind w:left="1080"/>
        <w:contextualSpacing/>
        <w:jc w:val="left"/>
        <w:rPr>
          <w:rFonts w:cs="Arial"/>
          <w:noProof/>
        </w:rPr>
      </w:pPr>
      <w:r w:rsidRPr="00993B55">
        <w:rPr>
          <w:rFonts w:cs="Arial"/>
          <w:noProof/>
        </w:rPr>
        <w:t>Lead</w:t>
      </w:r>
    </w:p>
    <w:p w14:paraId="2B9F9F19" w14:textId="77777777" w:rsidR="000177D5" w:rsidRPr="00993B55" w:rsidRDefault="000177D5" w:rsidP="007A60F3">
      <w:pPr>
        <w:widowControl w:val="0"/>
        <w:numPr>
          <w:ilvl w:val="0"/>
          <w:numId w:val="22"/>
        </w:numPr>
        <w:ind w:left="1080"/>
        <w:contextualSpacing/>
        <w:jc w:val="left"/>
        <w:rPr>
          <w:rFonts w:cs="Arial"/>
          <w:noProof/>
        </w:rPr>
      </w:pPr>
      <w:r w:rsidRPr="00993B55">
        <w:rPr>
          <w:rFonts w:cs="Arial"/>
          <w:noProof/>
        </w:rPr>
        <w:t>Fluorides</w:t>
      </w:r>
    </w:p>
    <w:p w14:paraId="25A75781" w14:textId="77777777" w:rsidR="000177D5" w:rsidRPr="00993B55" w:rsidRDefault="000177D5" w:rsidP="007A60F3">
      <w:pPr>
        <w:widowControl w:val="0"/>
        <w:numPr>
          <w:ilvl w:val="0"/>
          <w:numId w:val="22"/>
        </w:numPr>
        <w:ind w:left="1080"/>
        <w:contextualSpacing/>
        <w:jc w:val="left"/>
        <w:rPr>
          <w:rFonts w:cs="Arial"/>
          <w:noProof/>
        </w:rPr>
      </w:pPr>
      <w:r w:rsidRPr="00993B55">
        <w:rPr>
          <w:rFonts w:cs="Arial"/>
          <w:noProof/>
        </w:rPr>
        <w:lastRenderedPageBreak/>
        <w:t>Sulfuric acid mist</w:t>
      </w:r>
    </w:p>
    <w:p w14:paraId="1FD4A60A" w14:textId="77777777" w:rsidR="000177D5" w:rsidRPr="00993B55" w:rsidRDefault="000177D5" w:rsidP="007A60F3">
      <w:pPr>
        <w:widowControl w:val="0"/>
        <w:numPr>
          <w:ilvl w:val="0"/>
          <w:numId w:val="22"/>
        </w:numPr>
        <w:ind w:left="1080"/>
        <w:contextualSpacing/>
        <w:jc w:val="left"/>
        <w:rPr>
          <w:rFonts w:cs="Arial"/>
          <w:noProof/>
        </w:rPr>
      </w:pPr>
      <w:r w:rsidRPr="00993B55">
        <w:rPr>
          <w:rFonts w:cs="Arial"/>
          <w:noProof/>
        </w:rPr>
        <w:t>Hydrogen sulfide (H2S)</w:t>
      </w:r>
    </w:p>
    <w:p w14:paraId="3BF28D9F" w14:textId="77777777" w:rsidR="000177D5" w:rsidRPr="00993B55" w:rsidRDefault="000177D5" w:rsidP="007A60F3">
      <w:pPr>
        <w:widowControl w:val="0"/>
        <w:numPr>
          <w:ilvl w:val="0"/>
          <w:numId w:val="22"/>
        </w:numPr>
        <w:ind w:left="1080"/>
        <w:contextualSpacing/>
        <w:jc w:val="left"/>
        <w:rPr>
          <w:rFonts w:cs="Arial"/>
          <w:noProof/>
        </w:rPr>
      </w:pPr>
      <w:r w:rsidRPr="00993B55">
        <w:rPr>
          <w:rFonts w:cs="Arial"/>
          <w:noProof/>
        </w:rPr>
        <w:t>Total reduced sulfur (including H2S)</w:t>
      </w:r>
    </w:p>
    <w:p w14:paraId="632FEB3F" w14:textId="77777777" w:rsidR="000177D5" w:rsidRPr="00993B55" w:rsidRDefault="000177D5" w:rsidP="007A60F3">
      <w:pPr>
        <w:widowControl w:val="0"/>
        <w:numPr>
          <w:ilvl w:val="0"/>
          <w:numId w:val="22"/>
        </w:numPr>
        <w:ind w:left="1080"/>
        <w:contextualSpacing/>
        <w:jc w:val="left"/>
        <w:rPr>
          <w:rFonts w:cs="Arial"/>
          <w:noProof/>
        </w:rPr>
      </w:pPr>
      <w:r w:rsidRPr="00993B55">
        <w:rPr>
          <w:rFonts w:cs="Arial"/>
          <w:noProof/>
        </w:rPr>
        <w:t>Reduced sulfur compounds</w:t>
      </w:r>
    </w:p>
    <w:p w14:paraId="4060AB99" w14:textId="5516675B" w:rsidR="000177D5" w:rsidRPr="00993B55" w:rsidRDefault="000177D5" w:rsidP="007A60F3">
      <w:pPr>
        <w:widowControl w:val="0"/>
        <w:numPr>
          <w:ilvl w:val="0"/>
          <w:numId w:val="22"/>
        </w:numPr>
        <w:spacing w:before="100" w:beforeAutospacing="1" w:after="100" w:afterAutospacing="1"/>
        <w:ind w:left="1080"/>
        <w:contextualSpacing/>
        <w:rPr>
          <w:rFonts w:cs="Arial"/>
          <w:szCs w:val="24"/>
        </w:rPr>
      </w:pPr>
      <w:r w:rsidRPr="00993B55">
        <w:rPr>
          <w:rFonts w:cs="Arial"/>
          <w:szCs w:val="24"/>
        </w:rPr>
        <w:t>Municipal waste combustor organics (measured as total tetra-through octa-chlorinated dibenzo-p-dioxins and dibenzofurans): 3.2 × 10</w:t>
      </w:r>
      <w:r w:rsidRPr="00993B55">
        <w:rPr>
          <w:rFonts w:cs="Arial"/>
          <w:szCs w:val="24"/>
          <w:vertAlign w:val="superscript"/>
        </w:rPr>
        <w:t>-6</w:t>
      </w:r>
      <w:r w:rsidRPr="00993B55">
        <w:rPr>
          <w:rFonts w:cs="Arial"/>
          <w:szCs w:val="24"/>
        </w:rPr>
        <w:t xml:space="preserve"> megagrams per year (3.5 × 10</w:t>
      </w:r>
      <w:r w:rsidRPr="00993B55">
        <w:rPr>
          <w:rFonts w:cs="Arial"/>
          <w:szCs w:val="24"/>
          <w:vertAlign w:val="superscript"/>
        </w:rPr>
        <w:t>-6</w:t>
      </w:r>
      <w:r w:rsidRPr="00993B55">
        <w:rPr>
          <w:rFonts w:cs="Arial"/>
          <w:szCs w:val="24"/>
        </w:rPr>
        <w:t xml:space="preserve"> tons per year)</w:t>
      </w:r>
    </w:p>
    <w:p w14:paraId="57A3F302" w14:textId="5787E426" w:rsidR="000177D5" w:rsidRPr="00993B55" w:rsidRDefault="000177D5" w:rsidP="007A60F3">
      <w:pPr>
        <w:widowControl w:val="0"/>
        <w:numPr>
          <w:ilvl w:val="0"/>
          <w:numId w:val="22"/>
        </w:numPr>
        <w:spacing w:before="100" w:beforeAutospacing="1" w:after="100" w:afterAutospacing="1"/>
        <w:ind w:left="1080"/>
        <w:contextualSpacing/>
        <w:rPr>
          <w:rFonts w:cs="Arial"/>
          <w:szCs w:val="24"/>
        </w:rPr>
      </w:pPr>
      <w:r w:rsidRPr="00993B55">
        <w:rPr>
          <w:rFonts w:cs="Arial"/>
          <w:szCs w:val="24"/>
        </w:rPr>
        <w:t>Municipal waste combustor metals (measured as particulate matter): 14 megagrams per year (15 tons per year)</w:t>
      </w:r>
    </w:p>
    <w:p w14:paraId="47AE792E" w14:textId="13487AB2" w:rsidR="000177D5" w:rsidRPr="00993B55" w:rsidRDefault="000177D5" w:rsidP="007A60F3">
      <w:pPr>
        <w:widowControl w:val="0"/>
        <w:numPr>
          <w:ilvl w:val="0"/>
          <w:numId w:val="22"/>
        </w:numPr>
        <w:spacing w:before="100" w:beforeAutospacing="1" w:after="100" w:afterAutospacing="1"/>
        <w:ind w:left="1080"/>
        <w:contextualSpacing/>
        <w:rPr>
          <w:rFonts w:cs="Arial"/>
          <w:szCs w:val="24"/>
        </w:rPr>
      </w:pPr>
      <w:r w:rsidRPr="00993B55">
        <w:rPr>
          <w:rFonts w:cs="Arial"/>
          <w:szCs w:val="24"/>
        </w:rPr>
        <w:t>Municipal waste combustor acid gases (measured as sulfur dioxide and hydrogen chloride): 36 megagrams per year (40 tons per year)</w:t>
      </w:r>
    </w:p>
    <w:p w14:paraId="0B6BB14E" w14:textId="5E97BFED" w:rsidR="000177D5" w:rsidRPr="00993B55" w:rsidRDefault="000177D5" w:rsidP="007A60F3">
      <w:pPr>
        <w:widowControl w:val="0"/>
        <w:numPr>
          <w:ilvl w:val="0"/>
          <w:numId w:val="22"/>
        </w:numPr>
        <w:spacing w:before="100" w:beforeAutospacing="1" w:after="100" w:afterAutospacing="1"/>
        <w:ind w:left="1080"/>
        <w:contextualSpacing/>
        <w:rPr>
          <w:rFonts w:cs="Arial"/>
          <w:szCs w:val="24"/>
        </w:rPr>
      </w:pPr>
      <w:r w:rsidRPr="00993B55">
        <w:rPr>
          <w:rFonts w:cs="Arial"/>
          <w:szCs w:val="24"/>
        </w:rPr>
        <w:t>Municipal solid waste landfills emissions (measured as nonmethane organic compounds): 45 megagrams per year (50 tons per year)</w:t>
      </w:r>
    </w:p>
    <w:p w14:paraId="49646DBB" w14:textId="77777777" w:rsidR="00042509" w:rsidRDefault="00042509" w:rsidP="007A60F3">
      <w:pPr>
        <w:widowControl w:val="0"/>
        <w:ind w:left="720"/>
        <w:rPr>
          <w:rFonts w:cs="Arial"/>
          <w:noProof/>
          <w:color w:val="FF0000"/>
        </w:rPr>
      </w:pPr>
    </w:p>
    <w:p w14:paraId="1BE636DD" w14:textId="31C0B820" w:rsidR="000177D5" w:rsidRPr="00993B55" w:rsidRDefault="000177D5" w:rsidP="007A60F3">
      <w:pPr>
        <w:widowControl w:val="0"/>
        <w:ind w:left="720"/>
        <w:rPr>
          <w:rFonts w:cs="Arial"/>
          <w:noProof/>
          <w:color w:val="FF0000"/>
        </w:rPr>
      </w:pPr>
      <w:r w:rsidRPr="00993B55">
        <w:rPr>
          <w:rFonts w:cs="Arial"/>
          <w:noProof/>
          <w:color w:val="FF0000"/>
        </w:rPr>
        <w:t>The first step of this PSD applicability determination consists of determining whether the facility is or is not an existing PSD Major Source (See Section Vll.C.5 of this document).</w:t>
      </w:r>
    </w:p>
    <w:p w14:paraId="69D37F45" w14:textId="77777777" w:rsidR="000177D5" w:rsidRPr="00993B55" w:rsidRDefault="000177D5" w:rsidP="007A60F3">
      <w:pPr>
        <w:widowControl w:val="0"/>
        <w:ind w:left="720"/>
        <w:rPr>
          <w:rFonts w:cs="Arial"/>
          <w:noProof/>
          <w:color w:val="FF0000"/>
        </w:rPr>
      </w:pPr>
    </w:p>
    <w:p w14:paraId="71C662BD" w14:textId="77777777" w:rsidR="000177D5" w:rsidRPr="00993B55" w:rsidRDefault="000177D5" w:rsidP="007A60F3">
      <w:pPr>
        <w:widowControl w:val="0"/>
        <w:ind w:left="720"/>
        <w:rPr>
          <w:rFonts w:cs="Arial"/>
          <w:noProof/>
          <w:color w:val="FF0000"/>
        </w:rPr>
      </w:pPr>
      <w:r w:rsidRPr="00993B55">
        <w:rPr>
          <w:rFonts w:cs="Arial"/>
          <w:noProof/>
          <w:color w:val="FF0000"/>
        </w:rPr>
        <w:t>If the facility is an existing PSD Major Source, the second step to determine PSD applicability is to determine if the project results in a significant increase and if so, also a significant net emissions increase for any PSD pollutant.</w:t>
      </w:r>
    </w:p>
    <w:p w14:paraId="62C6E358" w14:textId="77777777" w:rsidR="000177D5" w:rsidRPr="00993B55" w:rsidRDefault="000177D5" w:rsidP="007A60F3">
      <w:pPr>
        <w:widowControl w:val="0"/>
        <w:ind w:left="720"/>
        <w:rPr>
          <w:rFonts w:cs="Arial"/>
          <w:noProof/>
        </w:rPr>
      </w:pPr>
    </w:p>
    <w:p w14:paraId="030C9C63" w14:textId="77777777" w:rsidR="000177D5" w:rsidRPr="00993B55" w:rsidRDefault="000177D5" w:rsidP="007A60F3">
      <w:pPr>
        <w:widowControl w:val="0"/>
        <w:ind w:left="720"/>
        <w:rPr>
          <w:rFonts w:cs="Arial"/>
          <w:noProof/>
          <w:color w:val="FF0000"/>
        </w:rPr>
      </w:pPr>
      <w:r w:rsidRPr="00993B55">
        <w:rPr>
          <w:rFonts w:cs="Arial"/>
          <w:noProof/>
          <w:color w:val="FF0000"/>
        </w:rPr>
        <w:t>If the facility is an existing source but not an existing PSD Major Source, the second step to determine PSD applicability is to determine if the project, by itself,  would be a PSD Major Source.  If so, then the project must be evaluated to  determine if the emissions increase of any PSD pollutant will result in a significant increase and if so, also a significant net emissions increase.</w:t>
      </w:r>
    </w:p>
    <w:p w14:paraId="15D82748" w14:textId="77777777" w:rsidR="000177D5" w:rsidRPr="00993B55" w:rsidRDefault="000177D5" w:rsidP="007A60F3">
      <w:pPr>
        <w:widowControl w:val="0"/>
        <w:ind w:left="720"/>
        <w:rPr>
          <w:rFonts w:cs="Arial"/>
          <w:noProof/>
          <w:color w:val="FF0000"/>
        </w:rPr>
      </w:pPr>
    </w:p>
    <w:p w14:paraId="2067BA2B" w14:textId="77777777" w:rsidR="000177D5" w:rsidRPr="00993B55" w:rsidRDefault="000177D5" w:rsidP="007A60F3">
      <w:pPr>
        <w:widowControl w:val="0"/>
        <w:ind w:left="720"/>
        <w:rPr>
          <w:rFonts w:cs="Arial"/>
          <w:noProof/>
          <w:color w:val="FF0000"/>
        </w:rPr>
      </w:pPr>
      <w:r w:rsidRPr="00993B55">
        <w:rPr>
          <w:rFonts w:cs="Arial"/>
          <w:noProof/>
          <w:color w:val="FF0000"/>
        </w:rPr>
        <w:t>If the facility is new source, the second step to determine PSD applicability is to determine if this new facility is a new PSD Major Source as a result of the project. If so, then the project must be evaluated to determine if the emissions increase of any PSD pollutant will result in a significant emissions increase and if so, also a significant net emissions increase.</w:t>
      </w:r>
    </w:p>
    <w:p w14:paraId="465DD944" w14:textId="77777777" w:rsidR="000177D5" w:rsidRPr="00993B55" w:rsidRDefault="000177D5" w:rsidP="007A60F3">
      <w:pPr>
        <w:widowControl w:val="0"/>
        <w:ind w:left="720"/>
        <w:rPr>
          <w:rFonts w:cs="Arial"/>
          <w:noProof/>
        </w:rPr>
      </w:pPr>
    </w:p>
    <w:p w14:paraId="1964D0C9" w14:textId="77777777" w:rsidR="000177D5" w:rsidRPr="00993B55" w:rsidRDefault="000177D5" w:rsidP="007A60F3">
      <w:pPr>
        <w:widowControl w:val="0"/>
        <w:ind w:left="720"/>
        <w:rPr>
          <w:rFonts w:cs="Arial"/>
          <w:noProof/>
          <w:color w:val="FF0000"/>
        </w:rPr>
      </w:pPr>
      <w:r w:rsidRPr="00993B55">
        <w:rPr>
          <w:rFonts w:cs="Arial"/>
          <w:noProof/>
          <w:color w:val="FF0000"/>
        </w:rPr>
        <w:t>The determination of whether various permitting actions involving new or modified emission units are part of the same project is to be performed on a case by case basis. In general, new or modified emission units that are technically or economically dependent shall be considered one project for purposes of Rule 2410 applicability (see 71 FR 54235).</w:t>
      </w:r>
    </w:p>
    <w:p w14:paraId="4BAA62A5" w14:textId="77777777" w:rsidR="000177D5" w:rsidRPr="00993B55" w:rsidRDefault="000177D5" w:rsidP="007A60F3">
      <w:pPr>
        <w:widowControl w:val="0"/>
        <w:ind w:left="720"/>
        <w:rPr>
          <w:rFonts w:cs="Arial"/>
          <w:noProof/>
          <w:color w:val="FF0000"/>
          <w:sz w:val="16"/>
          <w:szCs w:val="16"/>
        </w:rPr>
      </w:pPr>
      <w:r w:rsidRPr="00993B55">
        <w:rPr>
          <w:rFonts w:cs="Arial"/>
          <w:noProof/>
          <w:color w:val="FF0000"/>
          <w:sz w:val="16"/>
          <w:szCs w:val="16"/>
        </w:rPr>
        <w:t xml:space="preserve"> </w:t>
      </w:r>
    </w:p>
    <w:p w14:paraId="6297338C" w14:textId="77777777" w:rsidR="000177D5" w:rsidRPr="00993B55" w:rsidRDefault="000177D5" w:rsidP="007A60F3">
      <w:pPr>
        <w:widowControl w:val="0"/>
        <w:ind w:left="720"/>
        <w:rPr>
          <w:bCs/>
          <w:iCs/>
          <w:color w:val="FF0000"/>
        </w:rPr>
      </w:pPr>
      <w:r w:rsidRPr="00993B55">
        <w:rPr>
          <w:bCs/>
          <w:iCs/>
          <w:color w:val="FF0000"/>
        </w:rPr>
        <w:t>Please note that in the calculations below, PM emissions may be assumed to be equal to PM10 (particulate matter less than 10 microns in diameter) emissions for certain types of emission units at the facility.  For combustion sources, assume all PM is equal to PM10.  This assumption will need to be stated in the evaluation.</w:t>
      </w:r>
    </w:p>
    <w:p w14:paraId="5DA1795E" w14:textId="77777777" w:rsidR="000177D5" w:rsidRPr="00993B55" w:rsidRDefault="000177D5" w:rsidP="007A60F3">
      <w:pPr>
        <w:widowControl w:val="0"/>
        <w:ind w:left="720"/>
        <w:rPr>
          <w:bCs/>
          <w:iCs/>
          <w:color w:val="FF0000"/>
          <w:sz w:val="16"/>
          <w:szCs w:val="16"/>
        </w:rPr>
      </w:pPr>
    </w:p>
    <w:p w14:paraId="16BA007D" w14:textId="17EC69E8" w:rsidR="000177D5" w:rsidRDefault="000177D5" w:rsidP="007A60F3">
      <w:pPr>
        <w:widowControl w:val="0"/>
        <w:ind w:left="720"/>
        <w:rPr>
          <w:bCs/>
          <w:iCs/>
          <w:color w:val="FF0000"/>
        </w:rPr>
      </w:pPr>
      <w:r w:rsidRPr="00993B55">
        <w:rPr>
          <w:bCs/>
          <w:iCs/>
          <w:color w:val="FF0000"/>
        </w:rPr>
        <w:t>If for a given emission stationary source type, this assumption is not accurate, then separate calculations are required for PM and PM10.</w:t>
      </w:r>
    </w:p>
    <w:p w14:paraId="63A7A42C" w14:textId="77777777" w:rsidR="00856175" w:rsidRPr="00993B55" w:rsidRDefault="00856175" w:rsidP="007A60F3">
      <w:pPr>
        <w:widowControl w:val="0"/>
        <w:ind w:left="720"/>
        <w:rPr>
          <w:bCs/>
          <w:iCs/>
          <w:color w:val="FF0000"/>
        </w:rPr>
      </w:pPr>
    </w:p>
    <w:p w14:paraId="410AE67D" w14:textId="4B184041" w:rsidR="000177D5" w:rsidRPr="00993B55" w:rsidRDefault="000177D5" w:rsidP="007A60F3">
      <w:pPr>
        <w:widowControl w:val="0"/>
        <w:ind w:left="720"/>
        <w:contextualSpacing/>
        <w:rPr>
          <w:rFonts w:cs="Arial"/>
          <w:b/>
          <w:noProof/>
          <w:color w:val="FF0000"/>
          <w:sz w:val="28"/>
          <w:u w:val="single"/>
        </w:rPr>
      </w:pPr>
      <w:r w:rsidRPr="00993B55">
        <w:rPr>
          <w:rFonts w:cs="Arial"/>
          <w:b/>
          <w:noProof/>
          <w:color w:val="FF0000"/>
          <w:sz w:val="28"/>
          <w:u w:val="single"/>
        </w:rPr>
        <w:t xml:space="preserve">SECTION </w:t>
      </w:r>
      <w:r w:rsidR="000F4538">
        <w:rPr>
          <w:rFonts w:cs="Arial"/>
          <w:b/>
          <w:noProof/>
          <w:color w:val="FF0000"/>
          <w:sz w:val="28"/>
          <w:u w:val="single"/>
        </w:rPr>
        <w:t>A</w:t>
      </w:r>
      <w:r w:rsidRPr="00993B55">
        <w:rPr>
          <w:rFonts w:cs="Arial"/>
          <w:b/>
          <w:noProof/>
          <w:color w:val="FF0000"/>
          <w:sz w:val="28"/>
          <w:u w:val="single"/>
        </w:rPr>
        <w:t>:</w:t>
      </w:r>
      <w:r w:rsidRPr="00993B55">
        <w:rPr>
          <w:rFonts w:cs="Arial"/>
          <w:b/>
          <w:noProof/>
          <w:color w:val="FF0000"/>
          <w:sz w:val="28"/>
          <w:u w:val="single"/>
        </w:rPr>
        <w:tab/>
        <w:t xml:space="preserve">Facility is NOT an existing PSD Major Source </w:t>
      </w:r>
    </w:p>
    <w:p w14:paraId="5A392B0A" w14:textId="78EC1B05" w:rsidR="000177D5" w:rsidRPr="00993B55" w:rsidRDefault="000177D5" w:rsidP="007A60F3">
      <w:pPr>
        <w:widowControl w:val="0"/>
        <w:ind w:left="720"/>
        <w:contextualSpacing/>
        <w:rPr>
          <w:rFonts w:cs="Arial"/>
          <w:noProof/>
          <w:color w:val="FF0000"/>
        </w:rPr>
      </w:pPr>
      <w:r w:rsidRPr="00993B55">
        <w:rPr>
          <w:rFonts w:cs="Arial"/>
          <w:noProof/>
          <w:color w:val="FF0000"/>
        </w:rPr>
        <w:t xml:space="preserve">If in the “PSD Major Source Determination” Section above, the facility was determined to </w:t>
      </w:r>
      <w:r w:rsidRPr="00993B55">
        <w:rPr>
          <w:rFonts w:cs="Arial"/>
          <w:noProof/>
          <w:color w:val="FF0000"/>
        </w:rPr>
        <w:lastRenderedPageBreak/>
        <w:t>NOT be a existing PSD Major Source, use the following.</w:t>
      </w:r>
    </w:p>
    <w:p w14:paraId="35127EC1" w14:textId="77777777" w:rsidR="000177D5" w:rsidRPr="00993B55" w:rsidRDefault="000177D5" w:rsidP="007A60F3">
      <w:pPr>
        <w:widowControl w:val="0"/>
        <w:ind w:left="720"/>
        <w:contextualSpacing/>
        <w:rPr>
          <w:rFonts w:cs="Arial"/>
          <w:noProof/>
          <w:color w:val="FF0000"/>
        </w:rPr>
      </w:pPr>
    </w:p>
    <w:p w14:paraId="219580F1" w14:textId="77777777" w:rsidR="000177D5" w:rsidRPr="00993B55" w:rsidRDefault="000177D5" w:rsidP="007A60F3">
      <w:pPr>
        <w:widowControl w:val="0"/>
        <w:numPr>
          <w:ilvl w:val="0"/>
          <w:numId w:val="26"/>
        </w:numPr>
        <w:ind w:left="1260"/>
        <w:contextualSpacing/>
        <w:rPr>
          <w:rFonts w:cs="Arial"/>
          <w:b/>
          <w:noProof/>
        </w:rPr>
      </w:pPr>
      <w:r w:rsidRPr="00993B55">
        <w:rPr>
          <w:rFonts w:cs="Arial"/>
          <w:b/>
          <w:noProof/>
        </w:rPr>
        <w:t>Project Emissions Increase - New Major Source Determination</w:t>
      </w:r>
    </w:p>
    <w:p w14:paraId="7F805452" w14:textId="77777777" w:rsidR="000177D5" w:rsidRPr="00993B55" w:rsidRDefault="000177D5" w:rsidP="007A60F3">
      <w:pPr>
        <w:widowControl w:val="0"/>
        <w:ind w:left="720"/>
        <w:rPr>
          <w:rFonts w:cs="Arial"/>
          <w:noProof/>
        </w:rPr>
      </w:pPr>
    </w:p>
    <w:p w14:paraId="792FC585" w14:textId="14D57BB1" w:rsidR="000177D5" w:rsidRPr="00993B55" w:rsidRDefault="000177D5" w:rsidP="007A60F3">
      <w:pPr>
        <w:widowControl w:val="0"/>
        <w:ind w:left="720"/>
        <w:contextualSpacing/>
        <w:rPr>
          <w:rFonts w:cs="Arial"/>
          <w:noProof/>
        </w:rPr>
      </w:pPr>
      <w:r w:rsidRPr="00993B55">
        <w:rPr>
          <w:rFonts w:cs="Arial"/>
          <w:noProof/>
        </w:rPr>
        <w:t>The post-project potentials to emit from all new and modified units are compared to the PSD major source thresholds to determine if the project constitutes a new major source subject to PSD requirements.</w:t>
      </w:r>
    </w:p>
    <w:p w14:paraId="38B989B6" w14:textId="77777777" w:rsidR="000177D5" w:rsidRPr="00993B55" w:rsidRDefault="000177D5" w:rsidP="007A60F3">
      <w:pPr>
        <w:widowControl w:val="0"/>
        <w:ind w:left="720"/>
        <w:rPr>
          <w:rFonts w:cs="Arial"/>
          <w:noProof/>
        </w:rPr>
      </w:pPr>
    </w:p>
    <w:p w14:paraId="796DADA7" w14:textId="77777777" w:rsidR="00C16522" w:rsidRPr="00993B55" w:rsidRDefault="00C16522" w:rsidP="00C16522">
      <w:pPr>
        <w:widowControl w:val="0"/>
        <w:ind w:left="720"/>
        <w:rPr>
          <w:rFonts w:cs="Arial"/>
          <w:noProof/>
          <w:color w:val="FF0000"/>
        </w:rPr>
      </w:pPr>
      <w:r w:rsidRPr="00993B55">
        <w:rPr>
          <w:rFonts w:cs="Arial"/>
          <w:noProof/>
          <w:color w:val="FF0000"/>
          <w:u w:val="single"/>
        </w:rPr>
        <w:t xml:space="preserve">Facility or equipment evaluated under this project </w:t>
      </w:r>
      <w:r w:rsidRPr="00993B55">
        <w:rPr>
          <w:rFonts w:cs="Arial"/>
          <w:b/>
          <w:noProof/>
          <w:color w:val="FF0000"/>
          <w:u w:val="single"/>
        </w:rPr>
        <w:t>NOT</w:t>
      </w:r>
      <w:r w:rsidRPr="00993B55">
        <w:rPr>
          <w:rFonts w:cs="Arial"/>
          <w:noProof/>
          <w:color w:val="FF0000"/>
          <w:u w:val="single"/>
        </w:rPr>
        <w:t xml:space="preserve"> listed as one of the categories specified in </w:t>
      </w:r>
      <w:r w:rsidRPr="00993B55">
        <w:rPr>
          <w:bCs/>
          <w:iCs/>
          <w:color w:val="FF0000"/>
          <w:u w:val="single"/>
        </w:rPr>
        <w:t>40 CFR 52.21 (b)(1)(i)</w:t>
      </w:r>
      <w:r>
        <w:rPr>
          <w:bCs/>
          <w:iCs/>
          <w:color w:val="FF0000"/>
          <w:u w:val="single"/>
        </w:rPr>
        <w:t>(A)</w:t>
      </w:r>
      <w:r w:rsidRPr="00993B55">
        <w:rPr>
          <w:bCs/>
          <w:iCs/>
          <w:color w:val="FF0000"/>
        </w:rPr>
        <w:t xml:space="preserve">, </w:t>
      </w:r>
      <w:r w:rsidRPr="00993B55">
        <w:rPr>
          <w:rFonts w:cs="Arial"/>
          <w:noProof/>
          <w:color w:val="FF0000"/>
        </w:rPr>
        <w:t>Please use the following section: otherwise delete.</w:t>
      </w:r>
    </w:p>
    <w:p w14:paraId="7FABDD3F" w14:textId="77777777" w:rsidR="00C16522" w:rsidRPr="00993B55" w:rsidRDefault="00C16522" w:rsidP="00C16522">
      <w:pPr>
        <w:widowControl w:val="0"/>
        <w:ind w:left="720"/>
        <w:rPr>
          <w:bCs/>
          <w:iCs/>
        </w:rPr>
      </w:pPr>
      <w:r w:rsidRPr="00993B55">
        <w:rPr>
          <w:rFonts w:cs="Arial"/>
          <w:noProof/>
        </w:rPr>
        <w:t xml:space="preserve">The facility or the equipment evaluated under this project is not listed as one of the categories specified in </w:t>
      </w:r>
      <w:r w:rsidRPr="00993B55">
        <w:rPr>
          <w:bCs/>
          <w:iCs/>
        </w:rPr>
        <w:t>40 CFR 52.21 (b)(1)(i)</w:t>
      </w:r>
      <w:r>
        <w:rPr>
          <w:bCs/>
          <w:iCs/>
        </w:rPr>
        <w:t>(A)</w:t>
      </w:r>
      <w:r w:rsidRPr="00993B55">
        <w:rPr>
          <w:bCs/>
          <w:iCs/>
        </w:rPr>
        <w:t>.  The PSD Major Source threshold is 250 tpy for any regulated NSR pollutant.</w:t>
      </w:r>
    </w:p>
    <w:p w14:paraId="7F53AFBF" w14:textId="77777777" w:rsidR="00C16522" w:rsidRPr="00993B55" w:rsidRDefault="00C16522" w:rsidP="00C16522">
      <w:pPr>
        <w:widowControl w:val="0"/>
        <w:ind w:left="720"/>
        <w:rPr>
          <w:bCs/>
          <w:iCs/>
        </w:rPr>
      </w:pPr>
    </w:p>
    <w:tbl>
      <w:tblPr>
        <w:tblStyle w:val="TableGrid11"/>
        <w:tblW w:w="9455" w:type="dxa"/>
        <w:tblInd w:w="795" w:type="dxa"/>
        <w:tblLayout w:type="fixed"/>
        <w:tblLook w:val="04A0" w:firstRow="1" w:lastRow="0" w:firstColumn="1" w:lastColumn="0" w:noHBand="0" w:noVBand="1"/>
      </w:tblPr>
      <w:tblGrid>
        <w:gridCol w:w="3420"/>
        <w:gridCol w:w="1005"/>
        <w:gridCol w:w="1006"/>
        <w:gridCol w:w="1006"/>
        <w:gridCol w:w="1006"/>
        <w:gridCol w:w="1006"/>
        <w:gridCol w:w="1006"/>
      </w:tblGrid>
      <w:tr w:rsidR="00C16522" w:rsidRPr="00993B55" w14:paraId="584CE3D4" w14:textId="77777777" w:rsidTr="00255C28">
        <w:trPr>
          <w:trHeight w:val="618"/>
        </w:trPr>
        <w:tc>
          <w:tcPr>
            <w:tcW w:w="9455" w:type="dxa"/>
            <w:gridSpan w:val="7"/>
            <w:shd w:val="clear" w:color="auto" w:fill="D9D9D9" w:themeFill="background1" w:themeFillShade="D9"/>
            <w:vAlign w:val="center"/>
          </w:tcPr>
          <w:p w14:paraId="488A27F3" w14:textId="77777777" w:rsidR="00C16522" w:rsidRPr="00993B55" w:rsidRDefault="00C16522" w:rsidP="00255C28">
            <w:pPr>
              <w:keepNext/>
              <w:widowControl w:val="0"/>
              <w:jc w:val="center"/>
              <w:rPr>
                <w:b/>
                <w:sz w:val="22"/>
                <w:szCs w:val="22"/>
              </w:rPr>
            </w:pPr>
            <w:r w:rsidRPr="00993B55">
              <w:rPr>
                <w:b/>
                <w:sz w:val="22"/>
                <w:szCs w:val="22"/>
              </w:rPr>
              <w:t>PSD Major Source Determination: Potential to Emit</w:t>
            </w:r>
          </w:p>
          <w:p w14:paraId="772B6EF7" w14:textId="77777777" w:rsidR="00C16522" w:rsidRPr="00993B55" w:rsidRDefault="00C16522" w:rsidP="00255C28">
            <w:pPr>
              <w:keepNext/>
              <w:widowControl w:val="0"/>
              <w:jc w:val="center"/>
              <w:rPr>
                <w:rFonts w:cs="Arial"/>
                <w:noProof/>
                <w:color w:val="000000" w:themeColor="text1"/>
                <w:sz w:val="22"/>
                <w:szCs w:val="22"/>
              </w:rPr>
            </w:pPr>
            <w:r w:rsidRPr="00993B55">
              <w:rPr>
                <w:b/>
                <w:sz w:val="22"/>
                <w:szCs w:val="22"/>
              </w:rPr>
              <w:t>(tons/year)</w:t>
            </w:r>
          </w:p>
        </w:tc>
      </w:tr>
      <w:tr w:rsidR="00C16522" w:rsidRPr="00993B55" w14:paraId="2B5FCD60" w14:textId="77777777" w:rsidTr="00255C28">
        <w:trPr>
          <w:trHeight w:val="447"/>
        </w:trPr>
        <w:tc>
          <w:tcPr>
            <w:tcW w:w="3420" w:type="dxa"/>
            <w:shd w:val="clear" w:color="auto" w:fill="D9D9D9" w:themeFill="background1" w:themeFillShade="D9"/>
            <w:vAlign w:val="center"/>
          </w:tcPr>
          <w:p w14:paraId="18CD1DA6" w14:textId="77777777" w:rsidR="00C16522" w:rsidRPr="00993B55" w:rsidRDefault="00C16522" w:rsidP="00255C28">
            <w:pPr>
              <w:keepNext/>
              <w:widowControl w:val="0"/>
              <w:jc w:val="center"/>
              <w:rPr>
                <w:rFonts w:cs="Arial"/>
                <w:noProof/>
                <w:color w:val="000000" w:themeColor="text1"/>
                <w:sz w:val="22"/>
                <w:szCs w:val="22"/>
              </w:rPr>
            </w:pPr>
          </w:p>
        </w:tc>
        <w:tc>
          <w:tcPr>
            <w:tcW w:w="1005" w:type="dxa"/>
            <w:shd w:val="clear" w:color="auto" w:fill="D9D9D9" w:themeFill="background1" w:themeFillShade="D9"/>
            <w:vAlign w:val="center"/>
          </w:tcPr>
          <w:p w14:paraId="0FF736C9" w14:textId="77777777" w:rsidR="00C16522" w:rsidRPr="00993B55" w:rsidRDefault="00C16522" w:rsidP="00255C28">
            <w:pPr>
              <w:keepNext/>
              <w:widowControl w:val="0"/>
              <w:jc w:val="center"/>
              <w:rPr>
                <w:rFonts w:cs="Arial"/>
                <w:b/>
                <w:noProof/>
                <w:color w:val="000000" w:themeColor="text1"/>
                <w:sz w:val="22"/>
                <w:szCs w:val="22"/>
              </w:rPr>
            </w:pPr>
            <w:r w:rsidRPr="00993B55">
              <w:rPr>
                <w:rFonts w:cs="Arial"/>
                <w:b/>
                <w:noProof/>
                <w:color w:val="000000" w:themeColor="text1"/>
                <w:sz w:val="22"/>
                <w:szCs w:val="22"/>
              </w:rPr>
              <w:t>NO</w:t>
            </w:r>
            <w:r w:rsidRPr="007972FD">
              <w:rPr>
                <w:rFonts w:cs="Arial"/>
                <w:b/>
                <w:noProof/>
                <w:color w:val="000000" w:themeColor="text1"/>
                <w:sz w:val="22"/>
                <w:szCs w:val="22"/>
                <w:vertAlign w:val="subscript"/>
              </w:rPr>
              <w:t>2</w:t>
            </w:r>
          </w:p>
        </w:tc>
        <w:tc>
          <w:tcPr>
            <w:tcW w:w="1006" w:type="dxa"/>
            <w:shd w:val="clear" w:color="auto" w:fill="D9D9D9" w:themeFill="background1" w:themeFillShade="D9"/>
            <w:vAlign w:val="center"/>
          </w:tcPr>
          <w:p w14:paraId="19FD6974" w14:textId="77777777" w:rsidR="00C16522" w:rsidRPr="00993B55" w:rsidRDefault="00C16522" w:rsidP="00255C28">
            <w:pPr>
              <w:keepNext/>
              <w:widowControl w:val="0"/>
              <w:jc w:val="center"/>
              <w:rPr>
                <w:rFonts w:cs="Arial"/>
                <w:b/>
                <w:noProof/>
                <w:color w:val="000000" w:themeColor="text1"/>
                <w:sz w:val="22"/>
                <w:szCs w:val="22"/>
              </w:rPr>
            </w:pPr>
            <w:r w:rsidRPr="00993B55">
              <w:rPr>
                <w:rFonts w:cs="Arial"/>
                <w:b/>
                <w:noProof/>
                <w:color w:val="000000" w:themeColor="text1"/>
                <w:sz w:val="22"/>
                <w:szCs w:val="22"/>
              </w:rPr>
              <w:t>VOC</w:t>
            </w:r>
          </w:p>
        </w:tc>
        <w:tc>
          <w:tcPr>
            <w:tcW w:w="1006" w:type="dxa"/>
            <w:shd w:val="clear" w:color="auto" w:fill="D9D9D9" w:themeFill="background1" w:themeFillShade="D9"/>
            <w:vAlign w:val="center"/>
          </w:tcPr>
          <w:p w14:paraId="29C355F8" w14:textId="77777777" w:rsidR="00C16522" w:rsidRPr="00993B55" w:rsidRDefault="00C16522" w:rsidP="00255C28">
            <w:pPr>
              <w:keepNext/>
              <w:widowControl w:val="0"/>
              <w:jc w:val="center"/>
              <w:rPr>
                <w:rFonts w:cs="Arial"/>
                <w:b/>
                <w:noProof/>
                <w:color w:val="000000" w:themeColor="text1"/>
                <w:sz w:val="22"/>
                <w:szCs w:val="22"/>
              </w:rPr>
            </w:pPr>
            <w:r w:rsidRPr="00993B55">
              <w:rPr>
                <w:rFonts w:cs="Arial"/>
                <w:b/>
                <w:noProof/>
                <w:color w:val="000000" w:themeColor="text1"/>
                <w:sz w:val="22"/>
                <w:szCs w:val="22"/>
              </w:rPr>
              <w:t>SO</w:t>
            </w:r>
            <w:r w:rsidRPr="007972FD">
              <w:rPr>
                <w:rFonts w:cs="Arial"/>
                <w:b/>
                <w:noProof/>
                <w:color w:val="000000" w:themeColor="text1"/>
                <w:sz w:val="22"/>
                <w:szCs w:val="22"/>
                <w:vertAlign w:val="subscript"/>
              </w:rPr>
              <w:t>2</w:t>
            </w:r>
          </w:p>
        </w:tc>
        <w:tc>
          <w:tcPr>
            <w:tcW w:w="1006" w:type="dxa"/>
            <w:shd w:val="clear" w:color="auto" w:fill="D9D9D9" w:themeFill="background1" w:themeFillShade="D9"/>
            <w:vAlign w:val="center"/>
          </w:tcPr>
          <w:p w14:paraId="45C5C1DE" w14:textId="77777777" w:rsidR="00C16522" w:rsidRPr="00993B55" w:rsidRDefault="00C16522" w:rsidP="00255C28">
            <w:pPr>
              <w:keepNext/>
              <w:widowControl w:val="0"/>
              <w:jc w:val="center"/>
              <w:rPr>
                <w:rFonts w:cs="Arial"/>
                <w:b/>
                <w:noProof/>
                <w:color w:val="000000" w:themeColor="text1"/>
                <w:sz w:val="22"/>
                <w:szCs w:val="22"/>
              </w:rPr>
            </w:pPr>
            <w:r w:rsidRPr="00993B55">
              <w:rPr>
                <w:rFonts w:cs="Arial"/>
                <w:b/>
                <w:noProof/>
                <w:color w:val="000000" w:themeColor="text1"/>
                <w:sz w:val="22"/>
                <w:szCs w:val="22"/>
              </w:rPr>
              <w:t>CO</w:t>
            </w:r>
          </w:p>
        </w:tc>
        <w:tc>
          <w:tcPr>
            <w:tcW w:w="1006" w:type="dxa"/>
            <w:shd w:val="clear" w:color="auto" w:fill="D9D9D9" w:themeFill="background1" w:themeFillShade="D9"/>
            <w:vAlign w:val="center"/>
          </w:tcPr>
          <w:p w14:paraId="4EAB3305" w14:textId="77777777" w:rsidR="00C16522" w:rsidRPr="00993B55" w:rsidRDefault="00C16522" w:rsidP="00255C28">
            <w:pPr>
              <w:keepNext/>
              <w:widowControl w:val="0"/>
              <w:jc w:val="center"/>
              <w:rPr>
                <w:rFonts w:cs="Arial"/>
                <w:b/>
                <w:noProof/>
                <w:color w:val="000000" w:themeColor="text1"/>
                <w:sz w:val="22"/>
                <w:szCs w:val="22"/>
              </w:rPr>
            </w:pPr>
            <w:r w:rsidRPr="00993B55">
              <w:rPr>
                <w:rFonts w:cs="Arial"/>
                <w:b/>
                <w:noProof/>
                <w:color w:val="000000" w:themeColor="text1"/>
                <w:sz w:val="22"/>
                <w:szCs w:val="22"/>
              </w:rPr>
              <w:t>PM</w:t>
            </w:r>
          </w:p>
        </w:tc>
        <w:tc>
          <w:tcPr>
            <w:tcW w:w="1006" w:type="dxa"/>
            <w:shd w:val="clear" w:color="auto" w:fill="D9D9D9" w:themeFill="background1" w:themeFillShade="D9"/>
            <w:vAlign w:val="center"/>
          </w:tcPr>
          <w:p w14:paraId="18D12AB3" w14:textId="77777777" w:rsidR="00C16522" w:rsidRPr="00993B55" w:rsidRDefault="00C16522" w:rsidP="00255C28">
            <w:pPr>
              <w:keepNext/>
              <w:widowControl w:val="0"/>
              <w:jc w:val="center"/>
              <w:rPr>
                <w:rFonts w:cs="Arial"/>
                <w:b/>
                <w:noProof/>
                <w:color w:val="000000" w:themeColor="text1"/>
                <w:sz w:val="22"/>
                <w:szCs w:val="22"/>
              </w:rPr>
            </w:pPr>
            <w:r w:rsidRPr="00993B55">
              <w:rPr>
                <w:rFonts w:cs="Arial"/>
                <w:b/>
                <w:noProof/>
                <w:color w:val="000000" w:themeColor="text1"/>
                <w:sz w:val="22"/>
                <w:szCs w:val="22"/>
              </w:rPr>
              <w:t>PM</w:t>
            </w:r>
            <w:r>
              <w:rPr>
                <w:rFonts w:cs="Arial"/>
                <w:b/>
                <w:noProof/>
                <w:color w:val="000000" w:themeColor="text1"/>
                <w:sz w:val="22"/>
                <w:szCs w:val="22"/>
              </w:rPr>
              <w:t>10</w:t>
            </w:r>
          </w:p>
        </w:tc>
      </w:tr>
      <w:tr w:rsidR="00C16522" w:rsidRPr="00993B55" w14:paraId="0D0C9E84" w14:textId="77777777" w:rsidTr="00255C28">
        <w:trPr>
          <w:trHeight w:val="609"/>
        </w:trPr>
        <w:tc>
          <w:tcPr>
            <w:tcW w:w="3420" w:type="dxa"/>
            <w:shd w:val="clear" w:color="auto" w:fill="auto"/>
            <w:vAlign w:val="center"/>
          </w:tcPr>
          <w:p w14:paraId="1556A622" w14:textId="77777777" w:rsidR="00C16522" w:rsidRPr="00993B55" w:rsidRDefault="00C16522" w:rsidP="00255C28">
            <w:pPr>
              <w:keepNext/>
              <w:widowControl w:val="0"/>
              <w:jc w:val="center"/>
              <w:rPr>
                <w:rFonts w:cs="Arial"/>
                <w:noProof/>
                <w:sz w:val="22"/>
                <w:szCs w:val="22"/>
              </w:rPr>
            </w:pPr>
            <w:r w:rsidRPr="00993B55">
              <w:rPr>
                <w:rFonts w:cs="Arial"/>
                <w:noProof/>
                <w:sz w:val="22"/>
                <w:szCs w:val="22"/>
              </w:rPr>
              <w:t xml:space="preserve">Total PE from New and </w:t>
            </w:r>
          </w:p>
          <w:p w14:paraId="38301A0E" w14:textId="77777777" w:rsidR="00C16522" w:rsidRPr="00993B55" w:rsidRDefault="00C16522" w:rsidP="00255C28">
            <w:pPr>
              <w:keepNext/>
              <w:widowControl w:val="0"/>
              <w:jc w:val="center"/>
              <w:rPr>
                <w:rFonts w:cs="Arial"/>
                <w:noProof/>
                <w:color w:val="000000" w:themeColor="text1"/>
                <w:sz w:val="22"/>
                <w:szCs w:val="22"/>
              </w:rPr>
            </w:pPr>
            <w:r w:rsidRPr="00993B55">
              <w:rPr>
                <w:rFonts w:cs="Arial"/>
                <w:noProof/>
                <w:sz w:val="22"/>
                <w:szCs w:val="22"/>
              </w:rPr>
              <w:t>Modified Units</w:t>
            </w:r>
          </w:p>
        </w:tc>
        <w:tc>
          <w:tcPr>
            <w:tcW w:w="1005" w:type="dxa"/>
            <w:shd w:val="clear" w:color="auto" w:fill="auto"/>
            <w:vAlign w:val="center"/>
          </w:tcPr>
          <w:p w14:paraId="28644B4D" w14:textId="77777777" w:rsidR="00C16522" w:rsidRPr="00993B55" w:rsidRDefault="00C16522" w:rsidP="00255C28">
            <w:pPr>
              <w:keepNext/>
              <w:widowControl w:val="0"/>
              <w:jc w:val="center"/>
              <w:rPr>
                <w:rFonts w:cs="Arial"/>
                <w:noProof/>
                <w:color w:val="0000FF"/>
                <w:sz w:val="22"/>
                <w:szCs w:val="22"/>
              </w:rPr>
            </w:pPr>
            <w:r w:rsidRPr="00993B55">
              <w:rPr>
                <w:rFonts w:cs="Arial"/>
                <w:noProof/>
                <w:color w:val="0000FF"/>
                <w:sz w:val="22"/>
                <w:szCs w:val="22"/>
              </w:rPr>
              <w:t>XX</w:t>
            </w:r>
          </w:p>
        </w:tc>
        <w:tc>
          <w:tcPr>
            <w:tcW w:w="1006" w:type="dxa"/>
            <w:shd w:val="clear" w:color="auto" w:fill="auto"/>
            <w:vAlign w:val="center"/>
          </w:tcPr>
          <w:p w14:paraId="2AA99600" w14:textId="77777777" w:rsidR="00C16522" w:rsidRPr="00993B55" w:rsidRDefault="00C16522" w:rsidP="00255C28">
            <w:pPr>
              <w:keepNext/>
              <w:widowControl w:val="0"/>
              <w:jc w:val="center"/>
              <w:rPr>
                <w:rFonts w:cs="Arial"/>
                <w:noProof/>
                <w:color w:val="0000FF"/>
                <w:sz w:val="22"/>
                <w:szCs w:val="22"/>
              </w:rPr>
            </w:pPr>
            <w:r w:rsidRPr="00993B55">
              <w:rPr>
                <w:rFonts w:cs="Arial"/>
                <w:noProof/>
                <w:color w:val="0000FF"/>
                <w:sz w:val="22"/>
                <w:szCs w:val="22"/>
              </w:rPr>
              <w:t>XX</w:t>
            </w:r>
          </w:p>
        </w:tc>
        <w:tc>
          <w:tcPr>
            <w:tcW w:w="1006" w:type="dxa"/>
            <w:shd w:val="clear" w:color="auto" w:fill="auto"/>
            <w:vAlign w:val="center"/>
          </w:tcPr>
          <w:p w14:paraId="46EC4D59" w14:textId="77777777" w:rsidR="00C16522" w:rsidRPr="00993B55" w:rsidRDefault="00C16522" w:rsidP="00255C28">
            <w:pPr>
              <w:keepNext/>
              <w:widowControl w:val="0"/>
              <w:jc w:val="center"/>
              <w:rPr>
                <w:rFonts w:cs="Arial"/>
                <w:noProof/>
                <w:color w:val="0000FF"/>
                <w:sz w:val="22"/>
                <w:szCs w:val="22"/>
              </w:rPr>
            </w:pPr>
            <w:r w:rsidRPr="00993B55">
              <w:rPr>
                <w:rFonts w:cs="Arial"/>
                <w:noProof/>
                <w:color w:val="0000FF"/>
                <w:sz w:val="22"/>
                <w:szCs w:val="22"/>
              </w:rPr>
              <w:t>XX</w:t>
            </w:r>
          </w:p>
        </w:tc>
        <w:tc>
          <w:tcPr>
            <w:tcW w:w="1006" w:type="dxa"/>
            <w:shd w:val="clear" w:color="auto" w:fill="auto"/>
            <w:vAlign w:val="center"/>
          </w:tcPr>
          <w:p w14:paraId="726036E1" w14:textId="77777777" w:rsidR="00C16522" w:rsidRPr="00993B55" w:rsidRDefault="00C16522" w:rsidP="00255C28">
            <w:pPr>
              <w:keepNext/>
              <w:widowControl w:val="0"/>
              <w:jc w:val="center"/>
              <w:rPr>
                <w:rFonts w:cs="Arial"/>
                <w:noProof/>
                <w:color w:val="0000FF"/>
                <w:sz w:val="22"/>
                <w:szCs w:val="22"/>
              </w:rPr>
            </w:pPr>
            <w:r w:rsidRPr="00993B55">
              <w:rPr>
                <w:rFonts w:cs="Arial"/>
                <w:noProof/>
                <w:color w:val="0000FF"/>
                <w:sz w:val="22"/>
                <w:szCs w:val="22"/>
              </w:rPr>
              <w:t>XX</w:t>
            </w:r>
          </w:p>
        </w:tc>
        <w:tc>
          <w:tcPr>
            <w:tcW w:w="1006" w:type="dxa"/>
            <w:shd w:val="clear" w:color="auto" w:fill="auto"/>
            <w:vAlign w:val="center"/>
          </w:tcPr>
          <w:p w14:paraId="702656FD" w14:textId="77777777" w:rsidR="00C16522" w:rsidRPr="00993B55" w:rsidRDefault="00C16522" w:rsidP="00255C28">
            <w:pPr>
              <w:keepNext/>
              <w:widowControl w:val="0"/>
              <w:jc w:val="center"/>
              <w:rPr>
                <w:rFonts w:cs="Arial"/>
                <w:noProof/>
                <w:color w:val="0000FF"/>
                <w:sz w:val="22"/>
                <w:szCs w:val="22"/>
              </w:rPr>
            </w:pPr>
            <w:r w:rsidRPr="00993B55">
              <w:rPr>
                <w:rFonts w:cs="Arial"/>
                <w:noProof/>
                <w:color w:val="0000FF"/>
                <w:sz w:val="22"/>
                <w:szCs w:val="22"/>
              </w:rPr>
              <w:t>XX</w:t>
            </w:r>
          </w:p>
        </w:tc>
        <w:tc>
          <w:tcPr>
            <w:tcW w:w="1006" w:type="dxa"/>
            <w:shd w:val="clear" w:color="auto" w:fill="auto"/>
            <w:vAlign w:val="center"/>
          </w:tcPr>
          <w:p w14:paraId="09E40E7E" w14:textId="77777777" w:rsidR="00C16522" w:rsidRPr="00993B55" w:rsidRDefault="00C16522" w:rsidP="00255C28">
            <w:pPr>
              <w:keepNext/>
              <w:widowControl w:val="0"/>
              <w:jc w:val="center"/>
              <w:rPr>
                <w:rFonts w:cs="Arial"/>
                <w:noProof/>
                <w:color w:val="0000FF"/>
                <w:sz w:val="22"/>
                <w:szCs w:val="22"/>
              </w:rPr>
            </w:pPr>
            <w:r w:rsidRPr="00993B55">
              <w:rPr>
                <w:rFonts w:cs="Arial"/>
                <w:noProof/>
                <w:color w:val="0000FF"/>
                <w:sz w:val="22"/>
                <w:szCs w:val="22"/>
              </w:rPr>
              <w:t>XX</w:t>
            </w:r>
          </w:p>
        </w:tc>
      </w:tr>
      <w:tr w:rsidR="00C16522" w:rsidRPr="00993B55" w14:paraId="75CEA6B1" w14:textId="77777777" w:rsidTr="00255C28">
        <w:trPr>
          <w:trHeight w:val="359"/>
        </w:trPr>
        <w:tc>
          <w:tcPr>
            <w:tcW w:w="3420" w:type="dxa"/>
            <w:shd w:val="clear" w:color="auto" w:fill="auto"/>
            <w:vAlign w:val="center"/>
          </w:tcPr>
          <w:p w14:paraId="3829DDE8" w14:textId="77777777" w:rsidR="00C16522" w:rsidRPr="00993B55" w:rsidRDefault="00C16522" w:rsidP="00255C28">
            <w:pPr>
              <w:keepNext/>
              <w:widowControl w:val="0"/>
              <w:jc w:val="center"/>
              <w:rPr>
                <w:rFonts w:cs="Arial"/>
                <w:noProof/>
                <w:color w:val="000000" w:themeColor="text1"/>
                <w:sz w:val="22"/>
                <w:szCs w:val="22"/>
              </w:rPr>
            </w:pPr>
            <w:r w:rsidRPr="00993B55">
              <w:rPr>
                <w:rFonts w:cs="Arial"/>
                <w:noProof/>
                <w:color w:val="000000" w:themeColor="text1"/>
                <w:sz w:val="22"/>
                <w:szCs w:val="22"/>
              </w:rPr>
              <w:t>PSD Major Source threshold</w:t>
            </w:r>
          </w:p>
        </w:tc>
        <w:tc>
          <w:tcPr>
            <w:tcW w:w="1005" w:type="dxa"/>
            <w:shd w:val="clear" w:color="auto" w:fill="auto"/>
            <w:vAlign w:val="center"/>
          </w:tcPr>
          <w:p w14:paraId="3932F0B6" w14:textId="77777777" w:rsidR="00C16522" w:rsidRPr="00993B55" w:rsidRDefault="00C16522" w:rsidP="00255C28">
            <w:pPr>
              <w:keepNext/>
              <w:widowControl w:val="0"/>
              <w:jc w:val="center"/>
              <w:rPr>
                <w:rFonts w:cs="Arial"/>
                <w:noProof/>
                <w:sz w:val="22"/>
                <w:szCs w:val="22"/>
              </w:rPr>
            </w:pPr>
            <w:r w:rsidRPr="00993B55">
              <w:rPr>
                <w:rFonts w:cs="Arial"/>
                <w:noProof/>
                <w:sz w:val="22"/>
                <w:szCs w:val="22"/>
              </w:rPr>
              <w:t>250</w:t>
            </w:r>
          </w:p>
        </w:tc>
        <w:tc>
          <w:tcPr>
            <w:tcW w:w="1006" w:type="dxa"/>
            <w:shd w:val="clear" w:color="auto" w:fill="auto"/>
            <w:vAlign w:val="center"/>
          </w:tcPr>
          <w:p w14:paraId="72495161" w14:textId="77777777" w:rsidR="00C16522" w:rsidRPr="00993B55" w:rsidRDefault="00C16522" w:rsidP="00255C28">
            <w:pPr>
              <w:keepNext/>
              <w:widowControl w:val="0"/>
              <w:jc w:val="center"/>
              <w:rPr>
                <w:rFonts w:cs="Arial"/>
                <w:noProof/>
                <w:sz w:val="22"/>
                <w:szCs w:val="22"/>
              </w:rPr>
            </w:pPr>
            <w:r w:rsidRPr="00993B55">
              <w:rPr>
                <w:rFonts w:cs="Arial"/>
                <w:noProof/>
                <w:sz w:val="22"/>
                <w:szCs w:val="22"/>
              </w:rPr>
              <w:t>250</w:t>
            </w:r>
          </w:p>
        </w:tc>
        <w:tc>
          <w:tcPr>
            <w:tcW w:w="1006" w:type="dxa"/>
            <w:shd w:val="clear" w:color="auto" w:fill="auto"/>
            <w:vAlign w:val="center"/>
          </w:tcPr>
          <w:p w14:paraId="01C3D939" w14:textId="77777777" w:rsidR="00C16522" w:rsidRPr="00993B55" w:rsidRDefault="00C16522" w:rsidP="00255C28">
            <w:pPr>
              <w:keepNext/>
              <w:widowControl w:val="0"/>
              <w:jc w:val="center"/>
              <w:rPr>
                <w:rFonts w:cs="Arial"/>
                <w:noProof/>
                <w:sz w:val="22"/>
                <w:szCs w:val="22"/>
              </w:rPr>
            </w:pPr>
            <w:r w:rsidRPr="00993B55">
              <w:rPr>
                <w:rFonts w:cs="Arial"/>
                <w:noProof/>
                <w:sz w:val="22"/>
                <w:szCs w:val="22"/>
              </w:rPr>
              <w:t>250</w:t>
            </w:r>
          </w:p>
        </w:tc>
        <w:tc>
          <w:tcPr>
            <w:tcW w:w="1006" w:type="dxa"/>
            <w:shd w:val="clear" w:color="auto" w:fill="auto"/>
            <w:vAlign w:val="center"/>
          </w:tcPr>
          <w:p w14:paraId="5171113C" w14:textId="77777777" w:rsidR="00C16522" w:rsidRPr="00993B55" w:rsidRDefault="00C16522" w:rsidP="00255C28">
            <w:pPr>
              <w:keepNext/>
              <w:widowControl w:val="0"/>
              <w:jc w:val="center"/>
              <w:rPr>
                <w:rFonts w:cs="Arial"/>
                <w:noProof/>
                <w:sz w:val="22"/>
                <w:szCs w:val="22"/>
              </w:rPr>
            </w:pPr>
            <w:r w:rsidRPr="00993B55">
              <w:rPr>
                <w:rFonts w:cs="Arial"/>
                <w:noProof/>
                <w:sz w:val="22"/>
                <w:szCs w:val="22"/>
              </w:rPr>
              <w:t>250</w:t>
            </w:r>
          </w:p>
        </w:tc>
        <w:tc>
          <w:tcPr>
            <w:tcW w:w="1006" w:type="dxa"/>
            <w:shd w:val="clear" w:color="auto" w:fill="auto"/>
            <w:vAlign w:val="center"/>
          </w:tcPr>
          <w:p w14:paraId="79AF071C" w14:textId="77777777" w:rsidR="00C16522" w:rsidRPr="00993B55" w:rsidRDefault="00C16522" w:rsidP="00255C28">
            <w:pPr>
              <w:keepNext/>
              <w:widowControl w:val="0"/>
              <w:jc w:val="center"/>
              <w:rPr>
                <w:rFonts w:cs="Arial"/>
                <w:noProof/>
                <w:sz w:val="22"/>
                <w:szCs w:val="22"/>
              </w:rPr>
            </w:pPr>
            <w:r w:rsidRPr="00993B55">
              <w:rPr>
                <w:rFonts w:cs="Arial"/>
                <w:noProof/>
                <w:sz w:val="22"/>
                <w:szCs w:val="22"/>
              </w:rPr>
              <w:t>250</w:t>
            </w:r>
          </w:p>
        </w:tc>
        <w:tc>
          <w:tcPr>
            <w:tcW w:w="1006" w:type="dxa"/>
            <w:shd w:val="clear" w:color="auto" w:fill="auto"/>
            <w:vAlign w:val="center"/>
          </w:tcPr>
          <w:p w14:paraId="4AB0A59F" w14:textId="77777777" w:rsidR="00C16522" w:rsidRPr="00993B55" w:rsidRDefault="00C16522" w:rsidP="00255C28">
            <w:pPr>
              <w:keepNext/>
              <w:widowControl w:val="0"/>
              <w:jc w:val="center"/>
              <w:rPr>
                <w:rFonts w:cs="Arial"/>
                <w:noProof/>
                <w:sz w:val="22"/>
                <w:szCs w:val="22"/>
              </w:rPr>
            </w:pPr>
            <w:r w:rsidRPr="00993B55">
              <w:rPr>
                <w:rFonts w:cs="Arial"/>
                <w:noProof/>
                <w:sz w:val="22"/>
                <w:szCs w:val="22"/>
              </w:rPr>
              <w:t>250</w:t>
            </w:r>
          </w:p>
        </w:tc>
      </w:tr>
      <w:tr w:rsidR="00C16522" w:rsidRPr="00993B55" w14:paraId="61B2E5C0" w14:textId="77777777" w:rsidTr="00255C28">
        <w:trPr>
          <w:trHeight w:val="456"/>
        </w:trPr>
        <w:tc>
          <w:tcPr>
            <w:tcW w:w="3420" w:type="dxa"/>
            <w:shd w:val="clear" w:color="auto" w:fill="D9D9D9" w:themeFill="background1" w:themeFillShade="D9"/>
            <w:vAlign w:val="center"/>
          </w:tcPr>
          <w:p w14:paraId="13DDBDA7" w14:textId="77777777" w:rsidR="00C16522" w:rsidRPr="00505E9F" w:rsidRDefault="00C16522" w:rsidP="00255C28">
            <w:pPr>
              <w:keepNext/>
              <w:widowControl w:val="0"/>
              <w:jc w:val="center"/>
              <w:rPr>
                <w:rFonts w:cs="Arial"/>
                <w:b/>
                <w:bCs/>
                <w:noProof/>
                <w:color w:val="000000" w:themeColor="text1"/>
                <w:sz w:val="22"/>
                <w:szCs w:val="22"/>
              </w:rPr>
            </w:pPr>
            <w:r w:rsidRPr="00505E9F">
              <w:rPr>
                <w:rFonts w:cs="Arial"/>
                <w:b/>
                <w:bCs/>
                <w:noProof/>
                <w:color w:val="000000" w:themeColor="text1"/>
                <w:sz w:val="22"/>
                <w:szCs w:val="22"/>
              </w:rPr>
              <w:t>New PSD Major Source?</w:t>
            </w:r>
          </w:p>
        </w:tc>
        <w:tc>
          <w:tcPr>
            <w:tcW w:w="1005" w:type="dxa"/>
            <w:shd w:val="clear" w:color="auto" w:fill="D9D9D9" w:themeFill="background1" w:themeFillShade="D9"/>
            <w:vAlign w:val="center"/>
          </w:tcPr>
          <w:p w14:paraId="3CC17221" w14:textId="77777777" w:rsidR="00C16522" w:rsidRPr="00505E9F" w:rsidRDefault="00C16522" w:rsidP="00255C28">
            <w:pPr>
              <w:keepNext/>
              <w:widowControl w:val="0"/>
              <w:jc w:val="center"/>
              <w:rPr>
                <w:rFonts w:cs="Arial"/>
                <w:b/>
                <w:bCs/>
                <w:noProof/>
                <w:color w:val="0000FF"/>
                <w:sz w:val="22"/>
                <w:szCs w:val="22"/>
              </w:rPr>
            </w:pPr>
            <w:r>
              <w:rPr>
                <w:rFonts w:cs="Arial"/>
                <w:b/>
                <w:bCs/>
                <w:noProof/>
                <w:color w:val="0000FF"/>
                <w:sz w:val="22"/>
                <w:szCs w:val="22"/>
              </w:rPr>
              <w:t>No</w:t>
            </w:r>
          </w:p>
        </w:tc>
        <w:tc>
          <w:tcPr>
            <w:tcW w:w="1006" w:type="dxa"/>
            <w:shd w:val="clear" w:color="auto" w:fill="D9D9D9" w:themeFill="background1" w:themeFillShade="D9"/>
            <w:vAlign w:val="center"/>
          </w:tcPr>
          <w:p w14:paraId="64443A3F" w14:textId="77777777" w:rsidR="00C16522" w:rsidRPr="00505E9F" w:rsidRDefault="00C16522" w:rsidP="00255C28">
            <w:pPr>
              <w:keepNext/>
              <w:widowControl w:val="0"/>
              <w:jc w:val="center"/>
              <w:rPr>
                <w:rFonts w:cs="Arial"/>
                <w:b/>
                <w:bCs/>
                <w:noProof/>
                <w:color w:val="0000FF"/>
                <w:sz w:val="22"/>
                <w:szCs w:val="22"/>
              </w:rPr>
            </w:pPr>
            <w:r>
              <w:rPr>
                <w:rFonts w:cs="Arial"/>
                <w:b/>
                <w:bCs/>
                <w:noProof/>
                <w:color w:val="0000FF"/>
                <w:sz w:val="22"/>
                <w:szCs w:val="22"/>
              </w:rPr>
              <w:t>No</w:t>
            </w:r>
          </w:p>
        </w:tc>
        <w:tc>
          <w:tcPr>
            <w:tcW w:w="1006" w:type="dxa"/>
            <w:shd w:val="clear" w:color="auto" w:fill="D9D9D9" w:themeFill="background1" w:themeFillShade="D9"/>
            <w:vAlign w:val="center"/>
          </w:tcPr>
          <w:p w14:paraId="287B700F" w14:textId="77777777" w:rsidR="00C16522" w:rsidRPr="00505E9F" w:rsidRDefault="00C16522" w:rsidP="00255C28">
            <w:pPr>
              <w:keepNext/>
              <w:widowControl w:val="0"/>
              <w:jc w:val="center"/>
              <w:rPr>
                <w:rFonts w:cs="Arial"/>
                <w:b/>
                <w:bCs/>
                <w:noProof/>
                <w:color w:val="0000FF"/>
                <w:sz w:val="22"/>
                <w:szCs w:val="22"/>
              </w:rPr>
            </w:pPr>
            <w:r>
              <w:rPr>
                <w:rFonts w:cs="Arial"/>
                <w:b/>
                <w:bCs/>
                <w:noProof/>
                <w:color w:val="0000FF"/>
                <w:sz w:val="22"/>
                <w:szCs w:val="22"/>
              </w:rPr>
              <w:t>No</w:t>
            </w:r>
          </w:p>
        </w:tc>
        <w:tc>
          <w:tcPr>
            <w:tcW w:w="1006" w:type="dxa"/>
            <w:shd w:val="clear" w:color="auto" w:fill="D9D9D9" w:themeFill="background1" w:themeFillShade="D9"/>
            <w:vAlign w:val="center"/>
          </w:tcPr>
          <w:p w14:paraId="2286BBE1" w14:textId="77777777" w:rsidR="00C16522" w:rsidRPr="00505E9F" w:rsidRDefault="00C16522" w:rsidP="00255C28">
            <w:pPr>
              <w:keepNext/>
              <w:widowControl w:val="0"/>
              <w:jc w:val="center"/>
              <w:rPr>
                <w:rFonts w:cs="Arial"/>
                <w:b/>
                <w:bCs/>
                <w:noProof/>
                <w:color w:val="0000FF"/>
                <w:sz w:val="22"/>
                <w:szCs w:val="22"/>
              </w:rPr>
            </w:pPr>
            <w:r>
              <w:rPr>
                <w:rFonts w:cs="Arial"/>
                <w:b/>
                <w:bCs/>
                <w:noProof/>
                <w:color w:val="0000FF"/>
                <w:sz w:val="22"/>
                <w:szCs w:val="22"/>
              </w:rPr>
              <w:t>No</w:t>
            </w:r>
          </w:p>
        </w:tc>
        <w:tc>
          <w:tcPr>
            <w:tcW w:w="1006" w:type="dxa"/>
            <w:shd w:val="clear" w:color="auto" w:fill="D9D9D9" w:themeFill="background1" w:themeFillShade="D9"/>
            <w:vAlign w:val="center"/>
          </w:tcPr>
          <w:p w14:paraId="25E264B5" w14:textId="77777777" w:rsidR="00C16522" w:rsidRPr="00505E9F" w:rsidRDefault="00C16522" w:rsidP="00255C28">
            <w:pPr>
              <w:keepNext/>
              <w:widowControl w:val="0"/>
              <w:jc w:val="center"/>
              <w:rPr>
                <w:rFonts w:cs="Arial"/>
                <w:b/>
                <w:bCs/>
                <w:noProof/>
                <w:color w:val="0000FF"/>
                <w:sz w:val="22"/>
                <w:szCs w:val="22"/>
              </w:rPr>
            </w:pPr>
            <w:r>
              <w:rPr>
                <w:rFonts w:cs="Arial"/>
                <w:b/>
                <w:bCs/>
                <w:noProof/>
                <w:color w:val="0000FF"/>
                <w:sz w:val="22"/>
                <w:szCs w:val="22"/>
              </w:rPr>
              <w:t>No</w:t>
            </w:r>
          </w:p>
        </w:tc>
        <w:tc>
          <w:tcPr>
            <w:tcW w:w="1006" w:type="dxa"/>
            <w:shd w:val="clear" w:color="auto" w:fill="D9D9D9" w:themeFill="background1" w:themeFillShade="D9"/>
            <w:vAlign w:val="center"/>
          </w:tcPr>
          <w:p w14:paraId="793E2F8B" w14:textId="77777777" w:rsidR="00C16522" w:rsidRPr="00505E9F" w:rsidRDefault="00C16522" w:rsidP="00255C28">
            <w:pPr>
              <w:keepNext/>
              <w:widowControl w:val="0"/>
              <w:jc w:val="center"/>
              <w:rPr>
                <w:rFonts w:cs="Arial"/>
                <w:b/>
                <w:bCs/>
                <w:noProof/>
                <w:color w:val="0000FF"/>
                <w:sz w:val="22"/>
                <w:szCs w:val="22"/>
              </w:rPr>
            </w:pPr>
            <w:r>
              <w:rPr>
                <w:rFonts w:cs="Arial"/>
                <w:b/>
                <w:bCs/>
                <w:noProof/>
                <w:color w:val="0000FF"/>
                <w:sz w:val="22"/>
                <w:szCs w:val="22"/>
              </w:rPr>
              <w:t>No</w:t>
            </w:r>
          </w:p>
        </w:tc>
      </w:tr>
    </w:tbl>
    <w:p w14:paraId="2724D323" w14:textId="77777777" w:rsidR="00C16522" w:rsidRPr="00993B55" w:rsidRDefault="00C16522" w:rsidP="00C16522">
      <w:pPr>
        <w:widowControl w:val="0"/>
        <w:ind w:left="720"/>
        <w:contextualSpacing/>
        <w:rPr>
          <w:rFonts w:cs="Arial"/>
          <w:noProof/>
        </w:rPr>
      </w:pPr>
    </w:p>
    <w:p w14:paraId="4AC4BE21" w14:textId="77777777" w:rsidR="00C16522" w:rsidRDefault="00C16522" w:rsidP="00C16522">
      <w:pPr>
        <w:widowControl w:val="0"/>
        <w:ind w:left="720"/>
        <w:rPr>
          <w:rFonts w:cs="Arial"/>
          <w:noProof/>
        </w:rPr>
      </w:pPr>
      <w:r w:rsidRPr="00993B55">
        <w:rPr>
          <w:rFonts w:cs="Arial"/>
          <w:noProof/>
        </w:rPr>
        <w:t>As shown in the table above, the potential to emit for the project, by itself, does not exceed any PSD major source threshold.  Therefore</w:t>
      </w:r>
      <w:r>
        <w:rPr>
          <w:rFonts w:cs="Arial"/>
          <w:noProof/>
        </w:rPr>
        <w:t>,</w:t>
      </w:r>
      <w:r w:rsidRPr="00993B55">
        <w:rPr>
          <w:rFonts w:cs="Arial"/>
          <w:noProof/>
        </w:rPr>
        <w:t xml:space="preserve"> Rule 2410 is not applicable and no further analysis is required.</w:t>
      </w:r>
    </w:p>
    <w:p w14:paraId="60980E9E" w14:textId="77777777" w:rsidR="000177D5" w:rsidRPr="00993B55" w:rsidRDefault="000177D5" w:rsidP="007A60F3">
      <w:pPr>
        <w:widowControl w:val="0"/>
        <w:ind w:left="720"/>
        <w:contextualSpacing/>
        <w:rPr>
          <w:rFonts w:cs="Arial"/>
          <w:noProof/>
          <w:color w:val="000000" w:themeColor="text1"/>
        </w:rPr>
      </w:pPr>
    </w:p>
    <w:p w14:paraId="4475B78A" w14:textId="77777777" w:rsidR="000177D5" w:rsidRPr="00993B55" w:rsidRDefault="000177D5" w:rsidP="007A60F3">
      <w:pPr>
        <w:widowControl w:val="0"/>
        <w:ind w:left="720"/>
        <w:rPr>
          <w:rFonts w:cs="Arial"/>
          <w:noProof/>
          <w:color w:val="FF0000"/>
        </w:rPr>
      </w:pPr>
      <w:r w:rsidRPr="00993B55">
        <w:rPr>
          <w:rFonts w:cs="Arial"/>
          <w:noProof/>
          <w:color w:val="FF0000"/>
        </w:rPr>
        <w:t>OR</w:t>
      </w:r>
    </w:p>
    <w:p w14:paraId="730EF170" w14:textId="77777777" w:rsidR="000177D5" w:rsidRPr="00993B55" w:rsidRDefault="000177D5" w:rsidP="007A60F3">
      <w:pPr>
        <w:widowControl w:val="0"/>
        <w:ind w:left="720"/>
        <w:rPr>
          <w:rFonts w:cs="Arial"/>
          <w:noProof/>
          <w:color w:val="000000" w:themeColor="text1"/>
        </w:rPr>
      </w:pPr>
    </w:p>
    <w:p w14:paraId="5B8177A1" w14:textId="77777777" w:rsidR="00C16522" w:rsidRPr="00993B55" w:rsidRDefault="00C16522" w:rsidP="00C16522">
      <w:pPr>
        <w:widowControl w:val="0"/>
        <w:ind w:left="720"/>
        <w:rPr>
          <w:rFonts w:cs="Arial"/>
          <w:noProof/>
          <w:color w:val="FF0000"/>
        </w:rPr>
      </w:pPr>
      <w:r w:rsidRPr="00993B55">
        <w:rPr>
          <w:rFonts w:cs="Arial"/>
          <w:noProof/>
          <w:color w:val="FF0000"/>
          <w:u w:val="single"/>
        </w:rPr>
        <w:t xml:space="preserve">Facility or equipment evaluated under this project listed as one of the categories specified in </w:t>
      </w:r>
      <w:r w:rsidRPr="00993B55">
        <w:rPr>
          <w:bCs/>
          <w:iCs/>
          <w:color w:val="FF0000"/>
          <w:u w:val="single"/>
        </w:rPr>
        <w:t>40 CFR 52.21 (b)(1)(i)</w:t>
      </w:r>
      <w:r>
        <w:rPr>
          <w:bCs/>
          <w:iCs/>
          <w:color w:val="FF0000"/>
          <w:u w:val="single"/>
        </w:rPr>
        <w:t>(A)</w:t>
      </w:r>
      <w:r w:rsidRPr="00993B55">
        <w:rPr>
          <w:bCs/>
          <w:iCs/>
          <w:color w:val="FF0000"/>
        </w:rPr>
        <w:t>,</w:t>
      </w:r>
      <w:r>
        <w:rPr>
          <w:bCs/>
          <w:iCs/>
          <w:color w:val="FF0000"/>
        </w:rPr>
        <w:t xml:space="preserve"> </w:t>
      </w:r>
      <w:r w:rsidRPr="00993B55">
        <w:rPr>
          <w:rFonts w:cs="Arial"/>
          <w:noProof/>
          <w:color w:val="FF0000"/>
        </w:rPr>
        <w:t>Please use the following section: otherwise delete.</w:t>
      </w:r>
    </w:p>
    <w:p w14:paraId="10D7504E" w14:textId="77777777" w:rsidR="00C16522" w:rsidRPr="00993B55" w:rsidRDefault="00C16522" w:rsidP="00C16522">
      <w:pPr>
        <w:widowControl w:val="0"/>
        <w:ind w:left="720"/>
        <w:rPr>
          <w:bCs/>
          <w:iCs/>
        </w:rPr>
      </w:pPr>
      <w:r w:rsidRPr="00993B55">
        <w:rPr>
          <w:rFonts w:cs="Arial"/>
          <w:noProof/>
        </w:rPr>
        <w:t xml:space="preserve">The equipment evaluated under this project is listed as one of the categories specified in </w:t>
      </w:r>
      <w:r w:rsidRPr="00993B55">
        <w:rPr>
          <w:bCs/>
          <w:iCs/>
        </w:rPr>
        <w:t>40 CFR 52.21 (b)(1)(i)</w:t>
      </w:r>
      <w:r>
        <w:rPr>
          <w:bCs/>
          <w:iCs/>
        </w:rPr>
        <w:t>(A)</w:t>
      </w:r>
      <w:r w:rsidRPr="00993B55">
        <w:rPr>
          <w:bCs/>
          <w:iCs/>
        </w:rPr>
        <w:t>.  The PSD Major Source threshold is 100 tpy for any regulated NSR pollutant.</w:t>
      </w:r>
    </w:p>
    <w:p w14:paraId="2F307AA2" w14:textId="77777777" w:rsidR="00C16522" w:rsidRPr="00993B55" w:rsidRDefault="00C16522" w:rsidP="00C16522">
      <w:pPr>
        <w:widowControl w:val="0"/>
        <w:ind w:left="720"/>
        <w:rPr>
          <w:bCs/>
          <w:iCs/>
        </w:rPr>
      </w:pPr>
    </w:p>
    <w:tbl>
      <w:tblPr>
        <w:tblStyle w:val="TableGrid11"/>
        <w:tblW w:w="9455" w:type="dxa"/>
        <w:tblInd w:w="795" w:type="dxa"/>
        <w:tblLayout w:type="fixed"/>
        <w:tblLook w:val="04A0" w:firstRow="1" w:lastRow="0" w:firstColumn="1" w:lastColumn="0" w:noHBand="0" w:noVBand="1"/>
      </w:tblPr>
      <w:tblGrid>
        <w:gridCol w:w="3420"/>
        <w:gridCol w:w="1005"/>
        <w:gridCol w:w="1006"/>
        <w:gridCol w:w="1006"/>
        <w:gridCol w:w="1006"/>
        <w:gridCol w:w="1006"/>
        <w:gridCol w:w="1006"/>
      </w:tblGrid>
      <w:tr w:rsidR="00C16522" w:rsidRPr="00993B55" w14:paraId="7D2A811C" w14:textId="77777777" w:rsidTr="00255C28">
        <w:trPr>
          <w:trHeight w:val="618"/>
        </w:trPr>
        <w:tc>
          <w:tcPr>
            <w:tcW w:w="9455" w:type="dxa"/>
            <w:gridSpan w:val="7"/>
            <w:shd w:val="clear" w:color="auto" w:fill="D9D9D9" w:themeFill="background1" w:themeFillShade="D9"/>
            <w:vAlign w:val="center"/>
          </w:tcPr>
          <w:p w14:paraId="71DD5877" w14:textId="77777777" w:rsidR="00C16522" w:rsidRPr="00993B55" w:rsidRDefault="00C16522" w:rsidP="00255C28">
            <w:pPr>
              <w:keepNext/>
              <w:widowControl w:val="0"/>
              <w:jc w:val="center"/>
              <w:rPr>
                <w:b/>
                <w:sz w:val="22"/>
                <w:szCs w:val="22"/>
              </w:rPr>
            </w:pPr>
            <w:r w:rsidRPr="00993B55">
              <w:rPr>
                <w:b/>
                <w:sz w:val="22"/>
                <w:szCs w:val="22"/>
              </w:rPr>
              <w:t>PSD Major Source Determination: Potential to Emit</w:t>
            </w:r>
          </w:p>
          <w:p w14:paraId="5397AF3C" w14:textId="77777777" w:rsidR="00C16522" w:rsidRPr="00993B55" w:rsidRDefault="00C16522" w:rsidP="00255C28">
            <w:pPr>
              <w:keepNext/>
              <w:widowControl w:val="0"/>
              <w:jc w:val="center"/>
              <w:rPr>
                <w:rFonts w:cs="Arial"/>
                <w:noProof/>
                <w:color w:val="000000" w:themeColor="text1"/>
                <w:sz w:val="22"/>
                <w:szCs w:val="22"/>
              </w:rPr>
            </w:pPr>
            <w:r w:rsidRPr="00993B55">
              <w:rPr>
                <w:b/>
                <w:sz w:val="22"/>
                <w:szCs w:val="22"/>
              </w:rPr>
              <w:t>(tons/year)</w:t>
            </w:r>
          </w:p>
        </w:tc>
      </w:tr>
      <w:tr w:rsidR="00C16522" w:rsidRPr="00993B55" w14:paraId="426328BE" w14:textId="77777777" w:rsidTr="00255C28">
        <w:trPr>
          <w:trHeight w:val="447"/>
        </w:trPr>
        <w:tc>
          <w:tcPr>
            <w:tcW w:w="3420" w:type="dxa"/>
            <w:shd w:val="clear" w:color="auto" w:fill="D9D9D9" w:themeFill="background1" w:themeFillShade="D9"/>
            <w:vAlign w:val="center"/>
          </w:tcPr>
          <w:p w14:paraId="62A81A16" w14:textId="77777777" w:rsidR="00C16522" w:rsidRPr="00993B55" w:rsidRDefault="00C16522" w:rsidP="00255C28">
            <w:pPr>
              <w:keepNext/>
              <w:widowControl w:val="0"/>
              <w:jc w:val="center"/>
              <w:rPr>
                <w:rFonts w:cs="Arial"/>
                <w:noProof/>
                <w:color w:val="000000" w:themeColor="text1"/>
                <w:sz w:val="22"/>
                <w:szCs w:val="22"/>
              </w:rPr>
            </w:pPr>
          </w:p>
        </w:tc>
        <w:tc>
          <w:tcPr>
            <w:tcW w:w="1005" w:type="dxa"/>
            <w:shd w:val="clear" w:color="auto" w:fill="D9D9D9" w:themeFill="background1" w:themeFillShade="D9"/>
            <w:vAlign w:val="center"/>
          </w:tcPr>
          <w:p w14:paraId="65FDB533" w14:textId="77777777" w:rsidR="00C16522" w:rsidRPr="00993B55" w:rsidRDefault="00C16522" w:rsidP="00255C28">
            <w:pPr>
              <w:keepNext/>
              <w:widowControl w:val="0"/>
              <w:jc w:val="center"/>
              <w:rPr>
                <w:rFonts w:cs="Arial"/>
                <w:b/>
                <w:noProof/>
                <w:color w:val="000000" w:themeColor="text1"/>
                <w:sz w:val="22"/>
                <w:szCs w:val="22"/>
              </w:rPr>
            </w:pPr>
            <w:r w:rsidRPr="00993B55">
              <w:rPr>
                <w:rFonts w:cs="Arial"/>
                <w:b/>
                <w:noProof/>
                <w:color w:val="000000" w:themeColor="text1"/>
                <w:sz w:val="22"/>
                <w:szCs w:val="22"/>
              </w:rPr>
              <w:t>NO</w:t>
            </w:r>
            <w:r w:rsidRPr="007972FD">
              <w:rPr>
                <w:rFonts w:cs="Arial"/>
                <w:b/>
                <w:noProof/>
                <w:color w:val="000000" w:themeColor="text1"/>
                <w:sz w:val="22"/>
                <w:szCs w:val="22"/>
                <w:vertAlign w:val="subscript"/>
              </w:rPr>
              <w:t>2</w:t>
            </w:r>
          </w:p>
        </w:tc>
        <w:tc>
          <w:tcPr>
            <w:tcW w:w="1006" w:type="dxa"/>
            <w:shd w:val="clear" w:color="auto" w:fill="D9D9D9" w:themeFill="background1" w:themeFillShade="D9"/>
            <w:vAlign w:val="center"/>
          </w:tcPr>
          <w:p w14:paraId="511D655B" w14:textId="77777777" w:rsidR="00C16522" w:rsidRPr="00993B55" w:rsidRDefault="00C16522" w:rsidP="00255C28">
            <w:pPr>
              <w:keepNext/>
              <w:widowControl w:val="0"/>
              <w:jc w:val="center"/>
              <w:rPr>
                <w:rFonts w:cs="Arial"/>
                <w:b/>
                <w:noProof/>
                <w:color w:val="000000" w:themeColor="text1"/>
                <w:sz w:val="22"/>
                <w:szCs w:val="22"/>
              </w:rPr>
            </w:pPr>
            <w:r w:rsidRPr="00993B55">
              <w:rPr>
                <w:rFonts w:cs="Arial"/>
                <w:b/>
                <w:noProof/>
                <w:color w:val="000000" w:themeColor="text1"/>
                <w:sz w:val="22"/>
                <w:szCs w:val="22"/>
              </w:rPr>
              <w:t>VOC</w:t>
            </w:r>
          </w:p>
        </w:tc>
        <w:tc>
          <w:tcPr>
            <w:tcW w:w="1006" w:type="dxa"/>
            <w:shd w:val="clear" w:color="auto" w:fill="D9D9D9" w:themeFill="background1" w:themeFillShade="D9"/>
            <w:vAlign w:val="center"/>
          </w:tcPr>
          <w:p w14:paraId="6FC62940" w14:textId="77777777" w:rsidR="00C16522" w:rsidRPr="00993B55" w:rsidRDefault="00C16522" w:rsidP="00255C28">
            <w:pPr>
              <w:keepNext/>
              <w:widowControl w:val="0"/>
              <w:jc w:val="center"/>
              <w:rPr>
                <w:rFonts w:cs="Arial"/>
                <w:b/>
                <w:noProof/>
                <w:color w:val="000000" w:themeColor="text1"/>
                <w:sz w:val="22"/>
                <w:szCs w:val="22"/>
              </w:rPr>
            </w:pPr>
            <w:r w:rsidRPr="00993B55">
              <w:rPr>
                <w:rFonts w:cs="Arial"/>
                <w:b/>
                <w:noProof/>
                <w:color w:val="000000" w:themeColor="text1"/>
                <w:sz w:val="22"/>
                <w:szCs w:val="22"/>
              </w:rPr>
              <w:t>SO</w:t>
            </w:r>
            <w:r w:rsidRPr="007972FD">
              <w:rPr>
                <w:rFonts w:cs="Arial"/>
                <w:b/>
                <w:noProof/>
                <w:color w:val="000000" w:themeColor="text1"/>
                <w:sz w:val="22"/>
                <w:szCs w:val="22"/>
                <w:vertAlign w:val="subscript"/>
              </w:rPr>
              <w:t>2</w:t>
            </w:r>
          </w:p>
        </w:tc>
        <w:tc>
          <w:tcPr>
            <w:tcW w:w="1006" w:type="dxa"/>
            <w:shd w:val="clear" w:color="auto" w:fill="D9D9D9" w:themeFill="background1" w:themeFillShade="D9"/>
            <w:vAlign w:val="center"/>
          </w:tcPr>
          <w:p w14:paraId="20296A3F" w14:textId="77777777" w:rsidR="00C16522" w:rsidRPr="00993B55" w:rsidRDefault="00C16522" w:rsidP="00255C28">
            <w:pPr>
              <w:keepNext/>
              <w:widowControl w:val="0"/>
              <w:jc w:val="center"/>
              <w:rPr>
                <w:rFonts w:cs="Arial"/>
                <w:b/>
                <w:noProof/>
                <w:color w:val="000000" w:themeColor="text1"/>
                <w:sz w:val="22"/>
                <w:szCs w:val="22"/>
              </w:rPr>
            </w:pPr>
            <w:r w:rsidRPr="00993B55">
              <w:rPr>
                <w:rFonts w:cs="Arial"/>
                <w:b/>
                <w:noProof/>
                <w:color w:val="000000" w:themeColor="text1"/>
                <w:sz w:val="22"/>
                <w:szCs w:val="22"/>
              </w:rPr>
              <w:t>CO</w:t>
            </w:r>
          </w:p>
        </w:tc>
        <w:tc>
          <w:tcPr>
            <w:tcW w:w="1006" w:type="dxa"/>
            <w:shd w:val="clear" w:color="auto" w:fill="D9D9D9" w:themeFill="background1" w:themeFillShade="D9"/>
            <w:vAlign w:val="center"/>
          </w:tcPr>
          <w:p w14:paraId="6FDDBF3C" w14:textId="77777777" w:rsidR="00C16522" w:rsidRPr="00993B55" w:rsidRDefault="00C16522" w:rsidP="00255C28">
            <w:pPr>
              <w:keepNext/>
              <w:widowControl w:val="0"/>
              <w:jc w:val="center"/>
              <w:rPr>
                <w:rFonts w:cs="Arial"/>
                <w:b/>
                <w:noProof/>
                <w:color w:val="000000" w:themeColor="text1"/>
                <w:sz w:val="22"/>
                <w:szCs w:val="22"/>
              </w:rPr>
            </w:pPr>
            <w:r w:rsidRPr="00993B55">
              <w:rPr>
                <w:rFonts w:cs="Arial"/>
                <w:b/>
                <w:noProof/>
                <w:color w:val="000000" w:themeColor="text1"/>
                <w:sz w:val="22"/>
                <w:szCs w:val="22"/>
              </w:rPr>
              <w:t>PM</w:t>
            </w:r>
          </w:p>
        </w:tc>
        <w:tc>
          <w:tcPr>
            <w:tcW w:w="1006" w:type="dxa"/>
            <w:shd w:val="clear" w:color="auto" w:fill="D9D9D9" w:themeFill="background1" w:themeFillShade="D9"/>
            <w:vAlign w:val="center"/>
          </w:tcPr>
          <w:p w14:paraId="28FE6486" w14:textId="77777777" w:rsidR="00C16522" w:rsidRPr="00993B55" w:rsidRDefault="00C16522" w:rsidP="00255C28">
            <w:pPr>
              <w:keepNext/>
              <w:widowControl w:val="0"/>
              <w:jc w:val="center"/>
              <w:rPr>
                <w:rFonts w:cs="Arial"/>
                <w:b/>
                <w:noProof/>
                <w:color w:val="000000" w:themeColor="text1"/>
                <w:sz w:val="22"/>
                <w:szCs w:val="22"/>
              </w:rPr>
            </w:pPr>
            <w:r w:rsidRPr="00993B55">
              <w:rPr>
                <w:rFonts w:cs="Arial"/>
                <w:b/>
                <w:noProof/>
                <w:color w:val="000000" w:themeColor="text1"/>
                <w:sz w:val="22"/>
                <w:szCs w:val="22"/>
              </w:rPr>
              <w:t>PM</w:t>
            </w:r>
            <w:r>
              <w:rPr>
                <w:rFonts w:cs="Arial"/>
                <w:b/>
                <w:noProof/>
                <w:color w:val="000000" w:themeColor="text1"/>
                <w:sz w:val="22"/>
                <w:szCs w:val="22"/>
              </w:rPr>
              <w:t>10</w:t>
            </w:r>
          </w:p>
        </w:tc>
      </w:tr>
      <w:tr w:rsidR="00C16522" w:rsidRPr="00993B55" w14:paraId="3048A41A" w14:textId="77777777" w:rsidTr="00255C28">
        <w:trPr>
          <w:trHeight w:val="609"/>
        </w:trPr>
        <w:tc>
          <w:tcPr>
            <w:tcW w:w="3420" w:type="dxa"/>
            <w:vAlign w:val="center"/>
          </w:tcPr>
          <w:p w14:paraId="711EE679" w14:textId="77777777" w:rsidR="00C16522" w:rsidRPr="00993B55" w:rsidRDefault="00C16522" w:rsidP="00255C28">
            <w:pPr>
              <w:keepNext/>
              <w:widowControl w:val="0"/>
              <w:jc w:val="center"/>
              <w:rPr>
                <w:rFonts w:cs="Arial"/>
                <w:noProof/>
                <w:sz w:val="22"/>
                <w:szCs w:val="22"/>
              </w:rPr>
            </w:pPr>
            <w:r w:rsidRPr="00993B55">
              <w:rPr>
                <w:rFonts w:cs="Arial"/>
                <w:noProof/>
                <w:sz w:val="22"/>
                <w:szCs w:val="22"/>
              </w:rPr>
              <w:t xml:space="preserve">Total PE from New and </w:t>
            </w:r>
          </w:p>
          <w:p w14:paraId="497CADE9" w14:textId="77777777" w:rsidR="00C16522" w:rsidRPr="00993B55" w:rsidRDefault="00C16522" w:rsidP="00255C28">
            <w:pPr>
              <w:keepNext/>
              <w:widowControl w:val="0"/>
              <w:jc w:val="center"/>
              <w:rPr>
                <w:rFonts w:cs="Arial"/>
                <w:noProof/>
                <w:color w:val="000000" w:themeColor="text1"/>
                <w:sz w:val="22"/>
                <w:szCs w:val="22"/>
              </w:rPr>
            </w:pPr>
            <w:r w:rsidRPr="00993B55">
              <w:rPr>
                <w:rFonts w:cs="Arial"/>
                <w:noProof/>
                <w:sz w:val="22"/>
                <w:szCs w:val="22"/>
              </w:rPr>
              <w:t>Modified Units</w:t>
            </w:r>
          </w:p>
        </w:tc>
        <w:tc>
          <w:tcPr>
            <w:tcW w:w="1005" w:type="dxa"/>
            <w:vAlign w:val="center"/>
          </w:tcPr>
          <w:p w14:paraId="4F28AA85" w14:textId="77777777" w:rsidR="00C16522" w:rsidRPr="00993B55" w:rsidRDefault="00C16522" w:rsidP="00255C28">
            <w:pPr>
              <w:keepNext/>
              <w:widowControl w:val="0"/>
              <w:jc w:val="center"/>
              <w:rPr>
                <w:rFonts w:cs="Arial"/>
                <w:noProof/>
                <w:color w:val="0000FF"/>
                <w:sz w:val="22"/>
                <w:szCs w:val="22"/>
              </w:rPr>
            </w:pPr>
            <w:r w:rsidRPr="00993B55">
              <w:rPr>
                <w:rFonts w:cs="Arial"/>
                <w:noProof/>
                <w:color w:val="0000FF"/>
                <w:sz w:val="22"/>
                <w:szCs w:val="22"/>
              </w:rPr>
              <w:t>XX</w:t>
            </w:r>
          </w:p>
        </w:tc>
        <w:tc>
          <w:tcPr>
            <w:tcW w:w="1006" w:type="dxa"/>
            <w:vAlign w:val="center"/>
          </w:tcPr>
          <w:p w14:paraId="66229937" w14:textId="77777777" w:rsidR="00C16522" w:rsidRPr="00993B55" w:rsidRDefault="00C16522" w:rsidP="00255C28">
            <w:pPr>
              <w:keepNext/>
              <w:widowControl w:val="0"/>
              <w:jc w:val="center"/>
              <w:rPr>
                <w:rFonts w:cs="Arial"/>
                <w:noProof/>
                <w:color w:val="0000FF"/>
                <w:sz w:val="22"/>
                <w:szCs w:val="22"/>
              </w:rPr>
            </w:pPr>
            <w:r w:rsidRPr="00993B55">
              <w:rPr>
                <w:rFonts w:cs="Arial"/>
                <w:noProof/>
                <w:color w:val="0000FF"/>
                <w:sz w:val="22"/>
                <w:szCs w:val="22"/>
              </w:rPr>
              <w:t>XX</w:t>
            </w:r>
          </w:p>
        </w:tc>
        <w:tc>
          <w:tcPr>
            <w:tcW w:w="1006" w:type="dxa"/>
            <w:vAlign w:val="center"/>
          </w:tcPr>
          <w:p w14:paraId="585CB835" w14:textId="77777777" w:rsidR="00C16522" w:rsidRPr="00993B55" w:rsidRDefault="00C16522" w:rsidP="00255C28">
            <w:pPr>
              <w:keepNext/>
              <w:widowControl w:val="0"/>
              <w:jc w:val="center"/>
              <w:rPr>
                <w:rFonts w:cs="Arial"/>
                <w:noProof/>
                <w:color w:val="0000FF"/>
                <w:sz w:val="22"/>
                <w:szCs w:val="22"/>
              </w:rPr>
            </w:pPr>
            <w:r w:rsidRPr="00993B55">
              <w:rPr>
                <w:rFonts w:cs="Arial"/>
                <w:noProof/>
                <w:color w:val="0000FF"/>
                <w:sz w:val="22"/>
                <w:szCs w:val="22"/>
              </w:rPr>
              <w:t>XX</w:t>
            </w:r>
          </w:p>
        </w:tc>
        <w:tc>
          <w:tcPr>
            <w:tcW w:w="1006" w:type="dxa"/>
            <w:vAlign w:val="center"/>
          </w:tcPr>
          <w:p w14:paraId="7813B24D" w14:textId="77777777" w:rsidR="00C16522" w:rsidRPr="00993B55" w:rsidRDefault="00C16522" w:rsidP="00255C28">
            <w:pPr>
              <w:keepNext/>
              <w:widowControl w:val="0"/>
              <w:jc w:val="center"/>
              <w:rPr>
                <w:rFonts w:cs="Arial"/>
                <w:noProof/>
                <w:color w:val="0000FF"/>
                <w:sz w:val="22"/>
                <w:szCs w:val="22"/>
              </w:rPr>
            </w:pPr>
            <w:r w:rsidRPr="00993B55">
              <w:rPr>
                <w:rFonts w:cs="Arial"/>
                <w:noProof/>
                <w:color w:val="0000FF"/>
                <w:sz w:val="22"/>
                <w:szCs w:val="22"/>
              </w:rPr>
              <w:t>XX</w:t>
            </w:r>
          </w:p>
        </w:tc>
        <w:tc>
          <w:tcPr>
            <w:tcW w:w="1006" w:type="dxa"/>
            <w:vAlign w:val="center"/>
          </w:tcPr>
          <w:p w14:paraId="26AC2724" w14:textId="77777777" w:rsidR="00C16522" w:rsidRPr="00993B55" w:rsidRDefault="00C16522" w:rsidP="00255C28">
            <w:pPr>
              <w:keepNext/>
              <w:widowControl w:val="0"/>
              <w:jc w:val="center"/>
              <w:rPr>
                <w:rFonts w:cs="Arial"/>
                <w:noProof/>
                <w:color w:val="0000FF"/>
                <w:sz w:val="22"/>
                <w:szCs w:val="22"/>
              </w:rPr>
            </w:pPr>
            <w:r w:rsidRPr="00993B55">
              <w:rPr>
                <w:rFonts w:cs="Arial"/>
                <w:noProof/>
                <w:color w:val="0000FF"/>
                <w:sz w:val="22"/>
                <w:szCs w:val="22"/>
              </w:rPr>
              <w:t>XX</w:t>
            </w:r>
          </w:p>
        </w:tc>
        <w:tc>
          <w:tcPr>
            <w:tcW w:w="1006" w:type="dxa"/>
            <w:vAlign w:val="center"/>
          </w:tcPr>
          <w:p w14:paraId="35664A99" w14:textId="77777777" w:rsidR="00C16522" w:rsidRPr="00993B55" w:rsidRDefault="00C16522" w:rsidP="00255C28">
            <w:pPr>
              <w:keepNext/>
              <w:widowControl w:val="0"/>
              <w:jc w:val="center"/>
              <w:rPr>
                <w:rFonts w:cs="Arial"/>
                <w:noProof/>
                <w:color w:val="0000FF"/>
                <w:sz w:val="22"/>
                <w:szCs w:val="22"/>
              </w:rPr>
            </w:pPr>
            <w:r w:rsidRPr="00993B55">
              <w:rPr>
                <w:rFonts w:cs="Arial"/>
                <w:noProof/>
                <w:color w:val="0000FF"/>
                <w:sz w:val="22"/>
                <w:szCs w:val="22"/>
              </w:rPr>
              <w:t>XX</w:t>
            </w:r>
          </w:p>
        </w:tc>
      </w:tr>
      <w:tr w:rsidR="00C16522" w:rsidRPr="00993B55" w14:paraId="528BA567" w14:textId="77777777" w:rsidTr="00255C28">
        <w:trPr>
          <w:trHeight w:val="359"/>
        </w:trPr>
        <w:tc>
          <w:tcPr>
            <w:tcW w:w="3420" w:type="dxa"/>
            <w:vAlign w:val="center"/>
          </w:tcPr>
          <w:p w14:paraId="6DCC4F16" w14:textId="77777777" w:rsidR="00C16522" w:rsidRPr="00993B55" w:rsidRDefault="00C16522" w:rsidP="00255C28">
            <w:pPr>
              <w:keepNext/>
              <w:widowControl w:val="0"/>
              <w:jc w:val="center"/>
              <w:rPr>
                <w:rFonts w:cs="Arial"/>
                <w:noProof/>
                <w:color w:val="000000" w:themeColor="text1"/>
                <w:sz w:val="22"/>
                <w:szCs w:val="22"/>
              </w:rPr>
            </w:pPr>
            <w:r w:rsidRPr="00993B55">
              <w:rPr>
                <w:rFonts w:cs="Arial"/>
                <w:noProof/>
                <w:color w:val="000000" w:themeColor="text1"/>
                <w:sz w:val="22"/>
                <w:szCs w:val="22"/>
              </w:rPr>
              <w:t>PSD Major Source threshold</w:t>
            </w:r>
          </w:p>
        </w:tc>
        <w:tc>
          <w:tcPr>
            <w:tcW w:w="1005" w:type="dxa"/>
            <w:vAlign w:val="center"/>
          </w:tcPr>
          <w:p w14:paraId="5202F06F" w14:textId="77777777" w:rsidR="00C16522" w:rsidRPr="00993B55" w:rsidRDefault="00C16522" w:rsidP="00255C28">
            <w:pPr>
              <w:keepNext/>
              <w:widowControl w:val="0"/>
              <w:jc w:val="center"/>
              <w:rPr>
                <w:rFonts w:cs="Arial"/>
                <w:noProof/>
                <w:color w:val="000000" w:themeColor="text1"/>
                <w:sz w:val="22"/>
                <w:szCs w:val="22"/>
              </w:rPr>
            </w:pPr>
            <w:r w:rsidRPr="00993B55">
              <w:rPr>
                <w:rFonts w:cs="Arial"/>
                <w:noProof/>
                <w:color w:val="000000" w:themeColor="text1"/>
                <w:sz w:val="22"/>
                <w:szCs w:val="22"/>
              </w:rPr>
              <w:t>100</w:t>
            </w:r>
          </w:p>
        </w:tc>
        <w:tc>
          <w:tcPr>
            <w:tcW w:w="1006" w:type="dxa"/>
            <w:vAlign w:val="center"/>
          </w:tcPr>
          <w:p w14:paraId="55CEAC76" w14:textId="77777777" w:rsidR="00C16522" w:rsidRPr="00993B55" w:rsidRDefault="00C16522" w:rsidP="00255C28">
            <w:pPr>
              <w:keepNext/>
              <w:widowControl w:val="0"/>
              <w:jc w:val="center"/>
              <w:rPr>
                <w:rFonts w:cs="Arial"/>
                <w:noProof/>
                <w:color w:val="000000" w:themeColor="text1"/>
                <w:sz w:val="22"/>
                <w:szCs w:val="22"/>
              </w:rPr>
            </w:pPr>
            <w:r w:rsidRPr="00993B55">
              <w:rPr>
                <w:rFonts w:cs="Arial"/>
                <w:noProof/>
                <w:color w:val="000000" w:themeColor="text1"/>
                <w:sz w:val="22"/>
                <w:szCs w:val="22"/>
              </w:rPr>
              <w:t>100</w:t>
            </w:r>
          </w:p>
        </w:tc>
        <w:tc>
          <w:tcPr>
            <w:tcW w:w="1006" w:type="dxa"/>
            <w:vAlign w:val="center"/>
          </w:tcPr>
          <w:p w14:paraId="74BB1869" w14:textId="77777777" w:rsidR="00C16522" w:rsidRPr="00993B55" w:rsidRDefault="00C16522" w:rsidP="00255C28">
            <w:pPr>
              <w:keepNext/>
              <w:widowControl w:val="0"/>
              <w:jc w:val="center"/>
              <w:rPr>
                <w:rFonts w:cs="Arial"/>
                <w:noProof/>
                <w:color w:val="000000" w:themeColor="text1"/>
                <w:sz w:val="22"/>
                <w:szCs w:val="22"/>
              </w:rPr>
            </w:pPr>
            <w:r w:rsidRPr="00993B55">
              <w:rPr>
                <w:rFonts w:cs="Arial"/>
                <w:noProof/>
                <w:color w:val="000000" w:themeColor="text1"/>
                <w:sz w:val="22"/>
                <w:szCs w:val="22"/>
              </w:rPr>
              <w:t>100</w:t>
            </w:r>
          </w:p>
        </w:tc>
        <w:tc>
          <w:tcPr>
            <w:tcW w:w="1006" w:type="dxa"/>
            <w:vAlign w:val="center"/>
          </w:tcPr>
          <w:p w14:paraId="48A4636A" w14:textId="77777777" w:rsidR="00C16522" w:rsidRPr="00993B55" w:rsidRDefault="00C16522" w:rsidP="00255C28">
            <w:pPr>
              <w:keepNext/>
              <w:widowControl w:val="0"/>
              <w:jc w:val="center"/>
              <w:rPr>
                <w:rFonts w:cs="Arial"/>
                <w:noProof/>
                <w:color w:val="000000" w:themeColor="text1"/>
                <w:sz w:val="22"/>
                <w:szCs w:val="22"/>
              </w:rPr>
            </w:pPr>
            <w:r w:rsidRPr="00993B55">
              <w:rPr>
                <w:rFonts w:cs="Arial"/>
                <w:noProof/>
                <w:color w:val="000000" w:themeColor="text1"/>
                <w:sz w:val="22"/>
                <w:szCs w:val="22"/>
              </w:rPr>
              <w:t>100</w:t>
            </w:r>
          </w:p>
        </w:tc>
        <w:tc>
          <w:tcPr>
            <w:tcW w:w="1006" w:type="dxa"/>
            <w:vAlign w:val="center"/>
          </w:tcPr>
          <w:p w14:paraId="6586A94E" w14:textId="77777777" w:rsidR="00C16522" w:rsidRPr="00993B55" w:rsidRDefault="00C16522" w:rsidP="00255C28">
            <w:pPr>
              <w:keepNext/>
              <w:widowControl w:val="0"/>
              <w:jc w:val="center"/>
              <w:rPr>
                <w:rFonts w:cs="Arial"/>
                <w:noProof/>
                <w:color w:val="000000" w:themeColor="text1"/>
                <w:sz w:val="22"/>
                <w:szCs w:val="22"/>
              </w:rPr>
            </w:pPr>
            <w:r w:rsidRPr="00993B55">
              <w:rPr>
                <w:rFonts w:cs="Arial"/>
                <w:noProof/>
                <w:color w:val="000000" w:themeColor="text1"/>
                <w:sz w:val="22"/>
                <w:szCs w:val="22"/>
              </w:rPr>
              <w:t>100</w:t>
            </w:r>
          </w:p>
        </w:tc>
        <w:tc>
          <w:tcPr>
            <w:tcW w:w="1006" w:type="dxa"/>
            <w:vAlign w:val="center"/>
          </w:tcPr>
          <w:p w14:paraId="7A1A0055" w14:textId="77777777" w:rsidR="00C16522" w:rsidRPr="00993B55" w:rsidRDefault="00C16522" w:rsidP="00255C28">
            <w:pPr>
              <w:keepNext/>
              <w:widowControl w:val="0"/>
              <w:jc w:val="center"/>
              <w:rPr>
                <w:rFonts w:cs="Arial"/>
                <w:noProof/>
                <w:color w:val="000000" w:themeColor="text1"/>
                <w:sz w:val="22"/>
                <w:szCs w:val="22"/>
              </w:rPr>
            </w:pPr>
            <w:r w:rsidRPr="00993B55">
              <w:rPr>
                <w:rFonts w:cs="Arial"/>
                <w:noProof/>
                <w:color w:val="000000" w:themeColor="text1"/>
                <w:sz w:val="22"/>
                <w:szCs w:val="22"/>
              </w:rPr>
              <w:t>100</w:t>
            </w:r>
          </w:p>
        </w:tc>
      </w:tr>
      <w:tr w:rsidR="00C16522" w:rsidRPr="00993B55" w14:paraId="3F276B71" w14:textId="77777777" w:rsidTr="00255C28">
        <w:trPr>
          <w:trHeight w:val="456"/>
        </w:trPr>
        <w:tc>
          <w:tcPr>
            <w:tcW w:w="3420" w:type="dxa"/>
            <w:shd w:val="clear" w:color="auto" w:fill="D9D9D9" w:themeFill="background1" w:themeFillShade="D9"/>
            <w:vAlign w:val="center"/>
          </w:tcPr>
          <w:p w14:paraId="5255493E" w14:textId="77777777" w:rsidR="00C16522" w:rsidRPr="00505E9F" w:rsidRDefault="00C16522" w:rsidP="00255C28">
            <w:pPr>
              <w:keepNext/>
              <w:widowControl w:val="0"/>
              <w:jc w:val="center"/>
              <w:rPr>
                <w:rFonts w:cs="Arial"/>
                <w:b/>
                <w:bCs/>
                <w:noProof/>
                <w:color w:val="000000" w:themeColor="text1"/>
                <w:sz w:val="22"/>
                <w:szCs w:val="22"/>
              </w:rPr>
            </w:pPr>
            <w:r w:rsidRPr="00505E9F">
              <w:rPr>
                <w:rFonts w:cs="Arial"/>
                <w:b/>
                <w:bCs/>
                <w:noProof/>
                <w:color w:val="000000" w:themeColor="text1"/>
                <w:sz w:val="22"/>
                <w:szCs w:val="22"/>
              </w:rPr>
              <w:t>New PSD Major Source?</w:t>
            </w:r>
          </w:p>
        </w:tc>
        <w:tc>
          <w:tcPr>
            <w:tcW w:w="1005" w:type="dxa"/>
            <w:shd w:val="clear" w:color="auto" w:fill="D9D9D9" w:themeFill="background1" w:themeFillShade="D9"/>
            <w:vAlign w:val="center"/>
          </w:tcPr>
          <w:p w14:paraId="2CE7ADC9" w14:textId="77777777" w:rsidR="00C16522" w:rsidRPr="00505E9F" w:rsidRDefault="00C16522" w:rsidP="00255C28">
            <w:pPr>
              <w:keepNext/>
              <w:widowControl w:val="0"/>
              <w:jc w:val="center"/>
              <w:rPr>
                <w:rFonts w:cs="Arial"/>
                <w:b/>
                <w:bCs/>
                <w:noProof/>
                <w:color w:val="0000FF"/>
                <w:sz w:val="22"/>
                <w:szCs w:val="22"/>
              </w:rPr>
            </w:pPr>
            <w:r>
              <w:rPr>
                <w:rFonts w:cs="Arial"/>
                <w:b/>
                <w:bCs/>
                <w:noProof/>
                <w:color w:val="0000FF"/>
                <w:sz w:val="22"/>
                <w:szCs w:val="22"/>
              </w:rPr>
              <w:t>No</w:t>
            </w:r>
          </w:p>
        </w:tc>
        <w:tc>
          <w:tcPr>
            <w:tcW w:w="1006" w:type="dxa"/>
            <w:shd w:val="clear" w:color="auto" w:fill="D9D9D9" w:themeFill="background1" w:themeFillShade="D9"/>
            <w:vAlign w:val="center"/>
          </w:tcPr>
          <w:p w14:paraId="4F02BED4" w14:textId="77777777" w:rsidR="00C16522" w:rsidRPr="00505E9F" w:rsidRDefault="00C16522" w:rsidP="00255C28">
            <w:pPr>
              <w:keepNext/>
              <w:widowControl w:val="0"/>
              <w:jc w:val="center"/>
              <w:rPr>
                <w:rFonts w:cs="Arial"/>
                <w:b/>
                <w:bCs/>
                <w:noProof/>
                <w:color w:val="0000FF"/>
                <w:sz w:val="22"/>
                <w:szCs w:val="22"/>
              </w:rPr>
            </w:pPr>
            <w:r>
              <w:rPr>
                <w:rFonts w:cs="Arial"/>
                <w:b/>
                <w:bCs/>
                <w:noProof/>
                <w:color w:val="0000FF"/>
                <w:sz w:val="22"/>
                <w:szCs w:val="22"/>
              </w:rPr>
              <w:t>No</w:t>
            </w:r>
          </w:p>
        </w:tc>
        <w:tc>
          <w:tcPr>
            <w:tcW w:w="1006" w:type="dxa"/>
            <w:shd w:val="clear" w:color="auto" w:fill="D9D9D9" w:themeFill="background1" w:themeFillShade="D9"/>
            <w:vAlign w:val="center"/>
          </w:tcPr>
          <w:p w14:paraId="375F9771" w14:textId="77777777" w:rsidR="00C16522" w:rsidRPr="00505E9F" w:rsidRDefault="00C16522" w:rsidP="00255C28">
            <w:pPr>
              <w:keepNext/>
              <w:widowControl w:val="0"/>
              <w:jc w:val="center"/>
              <w:rPr>
                <w:rFonts w:cs="Arial"/>
                <w:b/>
                <w:bCs/>
                <w:noProof/>
                <w:color w:val="0000FF"/>
                <w:sz w:val="22"/>
                <w:szCs w:val="22"/>
              </w:rPr>
            </w:pPr>
            <w:r>
              <w:rPr>
                <w:rFonts w:cs="Arial"/>
                <w:b/>
                <w:bCs/>
                <w:noProof/>
                <w:color w:val="0000FF"/>
                <w:sz w:val="22"/>
                <w:szCs w:val="22"/>
              </w:rPr>
              <w:t>No</w:t>
            </w:r>
          </w:p>
        </w:tc>
        <w:tc>
          <w:tcPr>
            <w:tcW w:w="1006" w:type="dxa"/>
            <w:shd w:val="clear" w:color="auto" w:fill="D9D9D9" w:themeFill="background1" w:themeFillShade="D9"/>
            <w:vAlign w:val="center"/>
          </w:tcPr>
          <w:p w14:paraId="6941AE61" w14:textId="77777777" w:rsidR="00C16522" w:rsidRPr="00505E9F" w:rsidRDefault="00C16522" w:rsidP="00255C28">
            <w:pPr>
              <w:keepNext/>
              <w:widowControl w:val="0"/>
              <w:jc w:val="center"/>
              <w:rPr>
                <w:rFonts w:cs="Arial"/>
                <w:b/>
                <w:bCs/>
                <w:noProof/>
                <w:color w:val="0000FF"/>
                <w:sz w:val="22"/>
                <w:szCs w:val="22"/>
              </w:rPr>
            </w:pPr>
            <w:r>
              <w:rPr>
                <w:rFonts w:cs="Arial"/>
                <w:b/>
                <w:bCs/>
                <w:noProof/>
                <w:color w:val="0000FF"/>
                <w:sz w:val="22"/>
                <w:szCs w:val="22"/>
              </w:rPr>
              <w:t>No</w:t>
            </w:r>
          </w:p>
        </w:tc>
        <w:tc>
          <w:tcPr>
            <w:tcW w:w="1006" w:type="dxa"/>
            <w:shd w:val="clear" w:color="auto" w:fill="D9D9D9" w:themeFill="background1" w:themeFillShade="D9"/>
            <w:vAlign w:val="center"/>
          </w:tcPr>
          <w:p w14:paraId="17CBA166" w14:textId="77777777" w:rsidR="00C16522" w:rsidRPr="00505E9F" w:rsidRDefault="00C16522" w:rsidP="00255C28">
            <w:pPr>
              <w:keepNext/>
              <w:widowControl w:val="0"/>
              <w:jc w:val="center"/>
              <w:rPr>
                <w:rFonts w:cs="Arial"/>
                <w:b/>
                <w:bCs/>
                <w:noProof/>
                <w:color w:val="0000FF"/>
                <w:sz w:val="22"/>
                <w:szCs w:val="22"/>
              </w:rPr>
            </w:pPr>
            <w:r>
              <w:rPr>
                <w:rFonts w:cs="Arial"/>
                <w:b/>
                <w:bCs/>
                <w:noProof/>
                <w:color w:val="0000FF"/>
                <w:sz w:val="22"/>
                <w:szCs w:val="22"/>
              </w:rPr>
              <w:t>No</w:t>
            </w:r>
          </w:p>
        </w:tc>
        <w:tc>
          <w:tcPr>
            <w:tcW w:w="1006" w:type="dxa"/>
            <w:shd w:val="clear" w:color="auto" w:fill="D9D9D9" w:themeFill="background1" w:themeFillShade="D9"/>
            <w:vAlign w:val="center"/>
          </w:tcPr>
          <w:p w14:paraId="79FB7794" w14:textId="77777777" w:rsidR="00C16522" w:rsidRPr="00505E9F" w:rsidRDefault="00C16522" w:rsidP="00255C28">
            <w:pPr>
              <w:keepNext/>
              <w:widowControl w:val="0"/>
              <w:jc w:val="center"/>
              <w:rPr>
                <w:rFonts w:cs="Arial"/>
                <w:b/>
                <w:bCs/>
                <w:noProof/>
                <w:color w:val="0000FF"/>
                <w:sz w:val="22"/>
                <w:szCs w:val="22"/>
              </w:rPr>
            </w:pPr>
            <w:r>
              <w:rPr>
                <w:rFonts w:cs="Arial"/>
                <w:b/>
                <w:bCs/>
                <w:noProof/>
                <w:color w:val="0000FF"/>
                <w:sz w:val="22"/>
                <w:szCs w:val="22"/>
              </w:rPr>
              <w:t>No</w:t>
            </w:r>
          </w:p>
        </w:tc>
      </w:tr>
    </w:tbl>
    <w:p w14:paraId="6FEA20B8" w14:textId="06047615" w:rsidR="00C16522" w:rsidRDefault="00C16522" w:rsidP="007A60F3">
      <w:pPr>
        <w:widowControl w:val="0"/>
        <w:ind w:left="720"/>
        <w:rPr>
          <w:rFonts w:cs="Arial"/>
          <w:noProof/>
        </w:rPr>
      </w:pPr>
    </w:p>
    <w:p w14:paraId="7432CA22" w14:textId="77777777" w:rsidR="00C16522" w:rsidRPr="00993B55" w:rsidRDefault="00C16522" w:rsidP="007A60F3">
      <w:pPr>
        <w:widowControl w:val="0"/>
        <w:ind w:left="720"/>
        <w:rPr>
          <w:rFonts w:cs="Arial"/>
          <w:noProof/>
        </w:rPr>
      </w:pPr>
    </w:p>
    <w:p w14:paraId="08A3055F" w14:textId="08A7BEE2" w:rsidR="00773C90" w:rsidRDefault="00773C90" w:rsidP="007A60F3">
      <w:pPr>
        <w:widowControl w:val="0"/>
        <w:ind w:left="720"/>
        <w:contextualSpacing/>
        <w:rPr>
          <w:rFonts w:cs="Arial"/>
          <w:noProof/>
          <w:color w:val="FF0000"/>
        </w:rPr>
      </w:pPr>
      <w:r>
        <w:rPr>
          <w:rFonts w:cs="Arial"/>
          <w:noProof/>
          <w:color w:val="FF0000"/>
        </w:rPr>
        <w:lastRenderedPageBreak/>
        <w:t>***IF ANY POLLUTANT IS ABOVE A PSD THRESHOLD FOR THIS PROJECT OR THE FACILITY IS AN EXISTING PSD SOURCE, CONSULT WITH YOUR SUPERVISOR.***</w:t>
      </w:r>
    </w:p>
    <w:p w14:paraId="08A69103" w14:textId="4BC62BE8" w:rsidR="000177D5" w:rsidRPr="00C13FD2" w:rsidRDefault="0091168F" w:rsidP="007C1ED2">
      <w:pPr>
        <w:pStyle w:val="Heading3"/>
        <w:widowControl w:val="0"/>
        <w:numPr>
          <w:ilvl w:val="0"/>
          <w:numId w:val="3"/>
        </w:numPr>
        <w:tabs>
          <w:tab w:val="clear" w:pos="1224"/>
        </w:tabs>
        <w:spacing w:before="240" w:after="240"/>
        <w:ind w:left="1080"/>
        <w:jc w:val="left"/>
        <w:rPr>
          <w:b/>
          <w:bCs/>
          <w:color w:val="000000"/>
          <w:sz w:val="24"/>
          <w:szCs w:val="24"/>
        </w:rPr>
      </w:pPr>
      <w:r w:rsidRPr="00C13FD2">
        <w:rPr>
          <w:b/>
          <w:bCs/>
          <w:color w:val="000000"/>
          <w:sz w:val="24"/>
          <w:szCs w:val="24"/>
        </w:rPr>
        <w:tab/>
      </w:r>
      <w:r w:rsidR="000177D5" w:rsidRPr="00C13FD2">
        <w:rPr>
          <w:b/>
          <w:bCs/>
          <w:color w:val="000000"/>
          <w:sz w:val="24"/>
          <w:szCs w:val="24"/>
        </w:rPr>
        <w:t>Quarterly Net Emissions Change (QNEC)</w:t>
      </w:r>
    </w:p>
    <w:p w14:paraId="5511B6F8" w14:textId="1CE2437D" w:rsidR="000177D5" w:rsidRDefault="000177D5" w:rsidP="007A60F3">
      <w:pPr>
        <w:widowControl w:val="0"/>
        <w:ind w:left="720"/>
        <w:rPr>
          <w:color w:val="000000"/>
        </w:rPr>
      </w:pPr>
      <w:r w:rsidRPr="00993B55">
        <w:rPr>
          <w:color w:val="000000"/>
        </w:rPr>
        <w:t xml:space="preserve">The QNEC is calculated solely to complete the District’s PAS emissions profile screen.  Detailed QNEC calculations are included in </w:t>
      </w:r>
      <w:r w:rsidRPr="00993B55">
        <w:rPr>
          <w:color w:val="0000FF"/>
        </w:rPr>
        <w:t>Appendix XXX</w:t>
      </w:r>
      <w:r w:rsidRPr="00993B55">
        <w:rPr>
          <w:color w:val="000000"/>
        </w:rPr>
        <w:t>.</w:t>
      </w:r>
    </w:p>
    <w:p w14:paraId="38DAA487" w14:textId="5741D92B" w:rsidR="000177D5" w:rsidRPr="005839E0" w:rsidRDefault="000177D5" w:rsidP="001E7BD0">
      <w:pPr>
        <w:pStyle w:val="Heading1"/>
      </w:pPr>
      <w:r w:rsidRPr="005839E0">
        <w:t>VIII.</w:t>
      </w:r>
      <w:r w:rsidRPr="005839E0">
        <w:tab/>
        <w:t>Compliance Determination</w:t>
      </w:r>
    </w:p>
    <w:p w14:paraId="482C2BD2" w14:textId="77777777" w:rsidR="000177D5" w:rsidRPr="00993B55" w:rsidRDefault="000177D5" w:rsidP="007A60F3">
      <w:pPr>
        <w:widowControl w:val="0"/>
        <w:rPr>
          <w:color w:val="FF0000"/>
        </w:rPr>
      </w:pPr>
      <w:r w:rsidRPr="00993B55">
        <w:rPr>
          <w:color w:val="FF0000"/>
        </w:rPr>
        <w:t>The Compliance Section shall document compliance with District Rules.  List and discuss every relevant applicable rule.  Discuss the basis for every condition that will be added to, modified or removed from the permit.</w:t>
      </w:r>
    </w:p>
    <w:p w14:paraId="6199E344" w14:textId="77777777" w:rsidR="000177D5" w:rsidRPr="00993B55" w:rsidRDefault="000177D5" w:rsidP="007A60F3">
      <w:pPr>
        <w:widowControl w:val="0"/>
        <w:rPr>
          <w:color w:val="000000"/>
        </w:rPr>
      </w:pPr>
    </w:p>
    <w:p w14:paraId="67B08895" w14:textId="77777777" w:rsidR="000177D5" w:rsidRPr="00993B55" w:rsidRDefault="000177D5" w:rsidP="007A60F3">
      <w:pPr>
        <w:widowControl w:val="0"/>
        <w:rPr>
          <w:i/>
          <w:iCs/>
          <w:color w:val="FF0000"/>
        </w:rPr>
      </w:pPr>
      <w:r w:rsidRPr="00993B55">
        <w:rPr>
          <w:i/>
          <w:iCs/>
          <w:color w:val="FF0000"/>
        </w:rPr>
        <w:t>(</w:t>
      </w:r>
      <w:r w:rsidRPr="00993B55">
        <w:rPr>
          <w:i/>
          <w:iCs/>
          <w:color w:val="FF0000"/>
          <w:u w:val="single"/>
        </w:rPr>
        <w:t>Note</w:t>
      </w:r>
      <w:r w:rsidRPr="00993B55">
        <w:rPr>
          <w:i/>
          <w:iCs/>
          <w:color w:val="FF0000"/>
        </w:rPr>
        <w:t>: In this section, address applicable rules in numerical order.  In other words, Rule 2201 does not necessarily need to be listed first, if another rule applies (i.e. Rule 2010, 2020, etc.).)</w:t>
      </w:r>
    </w:p>
    <w:p w14:paraId="6A9DC3BB" w14:textId="77777777" w:rsidR="000177D5" w:rsidRPr="00993B55" w:rsidRDefault="000177D5" w:rsidP="00031979">
      <w:pPr>
        <w:pStyle w:val="Heading4"/>
      </w:pPr>
      <w:r w:rsidRPr="00993B55">
        <w:t>Rule 2201</w:t>
      </w:r>
      <w:r w:rsidRPr="00993B55">
        <w:tab/>
        <w:t xml:space="preserve">New and </w:t>
      </w:r>
      <w:r w:rsidRPr="00031979">
        <w:t>Modified</w:t>
      </w:r>
      <w:r w:rsidRPr="00993B55">
        <w:t xml:space="preserve"> Stationary Source Review Rule</w:t>
      </w:r>
    </w:p>
    <w:p w14:paraId="397EF2BC" w14:textId="77777777" w:rsidR="000177D5" w:rsidRPr="00C23A64" w:rsidRDefault="000177D5" w:rsidP="00366F05">
      <w:pPr>
        <w:pStyle w:val="Heading5"/>
      </w:pPr>
      <w:r w:rsidRPr="00C23A64">
        <w:t>A.</w:t>
      </w:r>
      <w:r w:rsidRPr="00C23A64">
        <w:tab/>
        <w:t>Best Available Control Technology (BACT)</w:t>
      </w:r>
    </w:p>
    <w:p w14:paraId="7B727D8A" w14:textId="77777777" w:rsidR="000177D5" w:rsidRPr="00C23A64" w:rsidRDefault="000177D5" w:rsidP="008F20D3">
      <w:pPr>
        <w:pStyle w:val="Heading6"/>
      </w:pPr>
      <w:r w:rsidRPr="00C23A64">
        <w:t>1.</w:t>
      </w:r>
      <w:r w:rsidRPr="00C23A64">
        <w:tab/>
        <w:t xml:space="preserve">BACT </w:t>
      </w:r>
      <w:r w:rsidRPr="008F20D3">
        <w:t>Applicability</w:t>
      </w:r>
    </w:p>
    <w:p w14:paraId="2A2F28D2" w14:textId="77777777" w:rsidR="000177D5" w:rsidRPr="00993B55" w:rsidRDefault="000177D5" w:rsidP="007A60F3">
      <w:pPr>
        <w:widowControl w:val="0"/>
        <w:ind w:left="720"/>
      </w:pPr>
      <w:r w:rsidRPr="00993B55">
        <w:t>Pursuant to District Rule 2201, Section 4.1, BACT requirements are triggered on a pollutant-by-pollutant basis and on an emissions unit-by-emissions unit basis. Unless specifically exempted by Rule 2201, BACT shall be required for the following actions*:</w:t>
      </w:r>
    </w:p>
    <w:p w14:paraId="6E3DD255" w14:textId="77777777" w:rsidR="000177D5" w:rsidRPr="00993B55" w:rsidRDefault="000177D5" w:rsidP="007A60F3">
      <w:pPr>
        <w:widowControl w:val="0"/>
        <w:ind w:left="720"/>
      </w:pPr>
    </w:p>
    <w:p w14:paraId="2573294F" w14:textId="7C33D4C4" w:rsidR="000177D5" w:rsidRPr="00993B55" w:rsidRDefault="000177D5" w:rsidP="007A60F3">
      <w:pPr>
        <w:widowControl w:val="0"/>
        <w:tabs>
          <w:tab w:val="left" w:pos="1080"/>
        </w:tabs>
        <w:ind w:left="1080" w:hanging="360"/>
      </w:pPr>
      <w:r w:rsidRPr="00993B55">
        <w:t>a.</w:t>
      </w:r>
      <w:r w:rsidRPr="00993B55">
        <w:tab/>
        <w:t xml:space="preserve">Any new emissions unit with a potential to emit exceeding </w:t>
      </w:r>
      <w:r w:rsidR="00313357">
        <w:t>2.0</w:t>
      </w:r>
      <w:r w:rsidR="00313357" w:rsidRPr="00993B55">
        <w:t xml:space="preserve"> </w:t>
      </w:r>
      <w:r w:rsidRPr="00993B55">
        <w:t>pounds per day,</w:t>
      </w:r>
      <w:r w:rsidR="00F23937">
        <w:t xml:space="preserve"> or</w:t>
      </w:r>
      <w:r w:rsidR="00F22E3F">
        <w:t xml:space="preserve"> t</w:t>
      </w:r>
      <w:r w:rsidRPr="00993B55">
        <w:t xml:space="preserve">he relocation from one Stationary Source to another of an existing emissions unit with a potential to emit exceeding </w:t>
      </w:r>
      <w:r w:rsidR="00313357">
        <w:t>2.0</w:t>
      </w:r>
      <w:r w:rsidR="00313357" w:rsidRPr="00993B55">
        <w:t xml:space="preserve"> </w:t>
      </w:r>
      <w:r w:rsidRPr="00993B55">
        <w:t>pounds per day,</w:t>
      </w:r>
    </w:p>
    <w:p w14:paraId="4E0470E6" w14:textId="649F239A" w:rsidR="000177D5" w:rsidRPr="00993B55" w:rsidRDefault="00CA5D05" w:rsidP="007A60F3">
      <w:pPr>
        <w:widowControl w:val="0"/>
        <w:ind w:left="1080" w:hanging="360"/>
        <w:rPr>
          <w:color w:val="000000"/>
          <w:spacing w:val="-3"/>
        </w:rPr>
      </w:pPr>
      <w:r>
        <w:rPr>
          <w:color w:val="000000"/>
          <w:spacing w:val="-3"/>
        </w:rPr>
        <w:t>b</w:t>
      </w:r>
      <w:r w:rsidR="000177D5" w:rsidRPr="00993B55">
        <w:rPr>
          <w:color w:val="000000"/>
          <w:spacing w:val="-3"/>
        </w:rPr>
        <w:t>.</w:t>
      </w:r>
      <w:r w:rsidR="000177D5" w:rsidRPr="00993B55">
        <w:rPr>
          <w:color w:val="000000"/>
          <w:spacing w:val="-3"/>
        </w:rPr>
        <w:tab/>
        <w:t xml:space="preserve">Modifications to an existing emissions unit with a valid Permit to Operate resulting in an </w:t>
      </w:r>
      <w:r w:rsidR="000177D5" w:rsidRPr="00993B55">
        <w:t>Adjusted Increase in Permitted Emissions</w:t>
      </w:r>
      <w:r w:rsidR="000177D5" w:rsidRPr="00993B55">
        <w:rPr>
          <w:color w:val="000000"/>
          <w:spacing w:val="-3"/>
        </w:rPr>
        <w:t xml:space="preserve"> (AIPE) exceeding </w:t>
      </w:r>
      <w:r w:rsidR="00313357">
        <w:rPr>
          <w:color w:val="000000"/>
          <w:spacing w:val="-3"/>
        </w:rPr>
        <w:t>2.0</w:t>
      </w:r>
      <w:r w:rsidR="00313357" w:rsidRPr="00993B55">
        <w:rPr>
          <w:color w:val="000000"/>
          <w:spacing w:val="-3"/>
        </w:rPr>
        <w:t xml:space="preserve"> </w:t>
      </w:r>
      <w:r w:rsidR="000177D5" w:rsidRPr="00993B55">
        <w:rPr>
          <w:color w:val="000000"/>
          <w:spacing w:val="-3"/>
        </w:rPr>
        <w:t>pounds per day,</w:t>
      </w:r>
      <w:r w:rsidR="000177D5" w:rsidRPr="00993B55">
        <w:t xml:space="preserve"> and/or</w:t>
      </w:r>
    </w:p>
    <w:p w14:paraId="1B6C000C" w14:textId="12F6EE6E" w:rsidR="000177D5" w:rsidRPr="00993B55" w:rsidRDefault="00CA5D05" w:rsidP="007A60F3">
      <w:pPr>
        <w:widowControl w:val="0"/>
        <w:ind w:left="1080" w:hanging="360"/>
      </w:pPr>
      <w:r>
        <w:t>c</w:t>
      </w:r>
      <w:r w:rsidR="000177D5" w:rsidRPr="00993B55">
        <w:t>.</w:t>
      </w:r>
      <w:r w:rsidR="000177D5" w:rsidRPr="00993B55">
        <w:tab/>
        <w:t>Any new or modified emissions unit, in a stationary source project, which results in an SB 288 Major Modification or a Federal Major Modification, as defined by the rule.</w:t>
      </w:r>
    </w:p>
    <w:p w14:paraId="194A93B2" w14:textId="77777777" w:rsidR="000177D5" w:rsidRPr="00993B55" w:rsidRDefault="000177D5" w:rsidP="007A60F3">
      <w:pPr>
        <w:widowControl w:val="0"/>
        <w:ind w:left="1080" w:hanging="360"/>
      </w:pPr>
    </w:p>
    <w:p w14:paraId="5D10C424" w14:textId="77777777" w:rsidR="000177D5" w:rsidRPr="00993B55" w:rsidRDefault="000177D5" w:rsidP="007A60F3">
      <w:pPr>
        <w:widowControl w:val="0"/>
        <w:ind w:left="1296"/>
        <w:rPr>
          <w:sz w:val="20"/>
        </w:rPr>
      </w:pPr>
      <w:r w:rsidRPr="00993B55">
        <w:t>*</w:t>
      </w:r>
      <w:r w:rsidRPr="00993B55">
        <w:rPr>
          <w:sz w:val="20"/>
        </w:rPr>
        <w:t>Except for CO emissions from a new or modified emissions unit at a Stationary Source with an SSPE2 of less than 200,000 pounds per year of CO.</w:t>
      </w:r>
    </w:p>
    <w:p w14:paraId="57E1F083" w14:textId="7F16C167" w:rsidR="000177D5" w:rsidRPr="00C23A64" w:rsidRDefault="000177D5" w:rsidP="008F20D3">
      <w:pPr>
        <w:pStyle w:val="Heading7"/>
      </w:pPr>
      <w:r w:rsidRPr="00C23A64">
        <w:t>a.</w:t>
      </w:r>
      <w:r w:rsidRPr="00C23A64">
        <w:tab/>
        <w:t xml:space="preserve">New </w:t>
      </w:r>
      <w:r w:rsidR="00F23937" w:rsidRPr="00C23A64">
        <w:t xml:space="preserve">or </w:t>
      </w:r>
      <w:r w:rsidR="00F23937" w:rsidRPr="008F20D3">
        <w:t>relocated</w:t>
      </w:r>
      <w:r w:rsidR="00F23937" w:rsidRPr="00C23A64">
        <w:t xml:space="preserve"> </w:t>
      </w:r>
      <w:r w:rsidRPr="00C23A64">
        <w:t>emissions units – PE &gt; 2</w:t>
      </w:r>
      <w:r w:rsidR="00313357" w:rsidRPr="00C23A64">
        <w:t>.0</w:t>
      </w:r>
      <w:r w:rsidRPr="00C23A64">
        <w:t xml:space="preserve"> lb/day</w:t>
      </w:r>
    </w:p>
    <w:p w14:paraId="2884B855" w14:textId="77777777" w:rsidR="000177D5" w:rsidRPr="00993B55" w:rsidRDefault="000177D5" w:rsidP="007A60F3">
      <w:pPr>
        <w:widowControl w:val="0"/>
        <w:ind w:left="1080"/>
        <w:rPr>
          <w:color w:val="FF0000"/>
        </w:rPr>
      </w:pPr>
      <w:r w:rsidRPr="00993B55">
        <w:rPr>
          <w:color w:val="FF0000"/>
        </w:rPr>
        <w:t xml:space="preserve">For all </w:t>
      </w:r>
      <w:r w:rsidRPr="00993B55">
        <w:rPr>
          <w:i/>
          <w:iCs/>
          <w:color w:val="FF0000"/>
        </w:rPr>
        <w:t>new</w:t>
      </w:r>
      <w:r w:rsidRPr="00993B55">
        <w:rPr>
          <w:color w:val="FF0000"/>
        </w:rPr>
        <w:t xml:space="preserve"> </w:t>
      </w:r>
      <w:r w:rsidRPr="00993B55">
        <w:rPr>
          <w:b/>
          <w:bCs/>
          <w:color w:val="FF0000"/>
        </w:rPr>
        <w:t xml:space="preserve">emissions units </w:t>
      </w:r>
      <w:r w:rsidRPr="00993B55">
        <w:rPr>
          <w:color w:val="FF0000"/>
        </w:rPr>
        <w:t>associated with this project, refer to the PE calculated above, and then cite which pollutants trigger BACT.</w:t>
      </w:r>
    </w:p>
    <w:p w14:paraId="06A04D14" w14:textId="77777777" w:rsidR="000177D5" w:rsidRPr="00993B55" w:rsidRDefault="000177D5" w:rsidP="007A60F3">
      <w:pPr>
        <w:widowControl w:val="0"/>
        <w:ind w:left="1080"/>
        <w:rPr>
          <w:color w:val="000000"/>
        </w:rPr>
      </w:pPr>
    </w:p>
    <w:p w14:paraId="4EB9B495" w14:textId="77777777" w:rsidR="000177D5" w:rsidRPr="00993B55" w:rsidRDefault="000177D5" w:rsidP="007A60F3">
      <w:pPr>
        <w:widowControl w:val="0"/>
        <w:tabs>
          <w:tab w:val="left" w:pos="2610"/>
        </w:tabs>
        <w:autoSpaceDE w:val="0"/>
        <w:autoSpaceDN w:val="0"/>
        <w:adjustRightInd w:val="0"/>
        <w:ind w:left="1080"/>
        <w:rPr>
          <w:i/>
          <w:iCs/>
          <w:color w:val="0000FF"/>
          <w:u w:val="single"/>
        </w:rPr>
      </w:pPr>
      <w:r w:rsidRPr="00993B55">
        <w:rPr>
          <w:i/>
          <w:iCs/>
          <w:color w:val="0000FF"/>
          <w:u w:val="single"/>
        </w:rPr>
        <w:t>Example (a)</w:t>
      </w:r>
      <w:r w:rsidRPr="00993B55">
        <w:rPr>
          <w:i/>
          <w:iCs/>
          <w:color w:val="0000FF"/>
        </w:rPr>
        <w:t>:</w:t>
      </w:r>
      <w:r w:rsidRPr="00993B55">
        <w:rPr>
          <w:i/>
          <w:iCs/>
          <w:color w:val="0000FF"/>
        </w:rPr>
        <w:tab/>
        <w:t>(For a new diesel-fired IC engine – BACT triggered, except CO.)</w:t>
      </w:r>
    </w:p>
    <w:p w14:paraId="45519A6F" w14:textId="3B0472D5" w:rsidR="000177D5" w:rsidRPr="00993B55" w:rsidRDefault="000177D5" w:rsidP="007A60F3">
      <w:pPr>
        <w:widowControl w:val="0"/>
        <w:ind w:left="1080"/>
        <w:rPr>
          <w:color w:val="000000"/>
        </w:rPr>
      </w:pPr>
      <w:r w:rsidRPr="00993B55">
        <w:t>As seen in Section VII.C.2 above, the applicant is proposing to install a new diesel-fired IC engine with a PE greater than 2</w:t>
      </w:r>
      <w:r w:rsidR="00313357">
        <w:t>.0</w:t>
      </w:r>
      <w:r w:rsidRPr="00993B55">
        <w:t xml:space="preserve"> lb/day for NO</w:t>
      </w:r>
      <w:r w:rsidR="00E97D01">
        <w:t>x</w:t>
      </w:r>
      <w:r w:rsidRPr="00993B55">
        <w:t>, SO</w:t>
      </w:r>
      <w:r w:rsidR="00E97D01">
        <w:t>x</w:t>
      </w:r>
      <w:r w:rsidRPr="00993B55">
        <w:t>, CO, and VOC.  BACT is triggered for NO</w:t>
      </w:r>
      <w:r w:rsidR="00E97D01">
        <w:t>x</w:t>
      </w:r>
      <w:r w:rsidRPr="00993B55">
        <w:t>, SO</w:t>
      </w:r>
      <w:r w:rsidR="00E97D01">
        <w:t>x</w:t>
      </w:r>
      <w:r w:rsidRPr="00993B55">
        <w:t>, and VOC only since the PEs are greater than 2</w:t>
      </w:r>
      <w:r w:rsidR="00313357">
        <w:t>.0</w:t>
      </w:r>
      <w:r w:rsidRPr="00993B55">
        <w:t xml:space="preserve"> lb/day.  </w:t>
      </w:r>
      <w:r w:rsidRPr="00993B55">
        <w:lastRenderedPageBreak/>
        <w:t>However</w:t>
      </w:r>
      <w:r w:rsidR="00E64F98">
        <w:t>,</w:t>
      </w:r>
      <w:r w:rsidRPr="00993B55">
        <w:t xml:space="preserve"> BACT is not triggered for CO since the SSPE2 for CO is not greater than 200,000 lb/year, as demonstrated in Section VII.C.5 above.</w:t>
      </w:r>
    </w:p>
    <w:p w14:paraId="669E7A26" w14:textId="77777777" w:rsidR="000177D5" w:rsidRPr="00993B55" w:rsidRDefault="000177D5" w:rsidP="007A60F3">
      <w:pPr>
        <w:widowControl w:val="0"/>
        <w:ind w:left="1080"/>
        <w:rPr>
          <w:color w:val="000000"/>
        </w:rPr>
      </w:pPr>
    </w:p>
    <w:p w14:paraId="68C0FE3C" w14:textId="7EBC2E7F" w:rsidR="000177D5" w:rsidRPr="00993B55" w:rsidRDefault="000177D5" w:rsidP="007A60F3">
      <w:pPr>
        <w:widowControl w:val="0"/>
        <w:tabs>
          <w:tab w:val="left" w:pos="2610"/>
        </w:tabs>
        <w:autoSpaceDE w:val="0"/>
        <w:autoSpaceDN w:val="0"/>
        <w:adjustRightInd w:val="0"/>
        <w:ind w:left="1080"/>
        <w:rPr>
          <w:i/>
          <w:iCs/>
          <w:color w:val="0000FF"/>
          <w:u w:val="single"/>
        </w:rPr>
      </w:pPr>
      <w:r w:rsidRPr="00993B55">
        <w:rPr>
          <w:i/>
          <w:iCs/>
          <w:color w:val="0000FF"/>
          <w:u w:val="single"/>
        </w:rPr>
        <w:t>Example (b)</w:t>
      </w:r>
      <w:r w:rsidRPr="00993B55">
        <w:rPr>
          <w:i/>
          <w:iCs/>
          <w:color w:val="0000FF"/>
        </w:rPr>
        <w:t>:</w:t>
      </w:r>
      <w:r w:rsidRPr="00993B55">
        <w:rPr>
          <w:i/>
          <w:iCs/>
          <w:color w:val="0000FF"/>
        </w:rPr>
        <w:tab/>
        <w:t xml:space="preserve">(For a project not including new </w:t>
      </w:r>
      <w:r w:rsidR="00EE332A">
        <w:rPr>
          <w:i/>
          <w:iCs/>
          <w:color w:val="0000FF"/>
        </w:rPr>
        <w:t xml:space="preserve">or relocated </w:t>
      </w:r>
      <w:r w:rsidRPr="00993B55">
        <w:rPr>
          <w:i/>
          <w:iCs/>
          <w:color w:val="0000FF"/>
        </w:rPr>
        <w:t>emissions units.)</w:t>
      </w:r>
    </w:p>
    <w:p w14:paraId="4EE63C5B" w14:textId="548ABAB3" w:rsidR="000177D5" w:rsidRPr="00993B55" w:rsidRDefault="000177D5" w:rsidP="007A60F3">
      <w:pPr>
        <w:widowControl w:val="0"/>
        <w:ind w:left="1080"/>
        <w:rPr>
          <w:color w:val="000000"/>
        </w:rPr>
      </w:pPr>
      <w:r w:rsidRPr="00993B55">
        <w:t xml:space="preserve">As discussed in Section I above, there are no new </w:t>
      </w:r>
      <w:r w:rsidR="00EE332A">
        <w:t xml:space="preserve">or relocated </w:t>
      </w:r>
      <w:r w:rsidRPr="00993B55">
        <w:t>emissions units associated with this project.  Therefore</w:t>
      </w:r>
      <w:r w:rsidR="000063C5">
        <w:t>,</w:t>
      </w:r>
      <w:r w:rsidRPr="00993B55">
        <w:t xml:space="preserve"> BACT for new units with PE &gt; 2 lb/day purposes is not triggered.</w:t>
      </w:r>
    </w:p>
    <w:p w14:paraId="7D716CF3" w14:textId="2DC17684" w:rsidR="000177D5" w:rsidRPr="00C23A64" w:rsidRDefault="00CA5D05" w:rsidP="008F20D3">
      <w:pPr>
        <w:pStyle w:val="Heading7"/>
      </w:pPr>
      <w:r w:rsidRPr="00C23A64">
        <w:t>b</w:t>
      </w:r>
      <w:r w:rsidR="000177D5" w:rsidRPr="00C23A64">
        <w:t>.</w:t>
      </w:r>
      <w:r w:rsidR="000177D5" w:rsidRPr="00C23A64">
        <w:tab/>
        <w:t>Modification of emissions units – AIPE &gt; 2</w:t>
      </w:r>
      <w:r w:rsidRPr="00C23A64">
        <w:t>.0</w:t>
      </w:r>
      <w:r w:rsidR="000177D5" w:rsidRPr="00C23A64">
        <w:t xml:space="preserve"> lb/day</w:t>
      </w:r>
    </w:p>
    <w:p w14:paraId="229DF727" w14:textId="77777777" w:rsidR="000177D5" w:rsidRPr="00993B55" w:rsidRDefault="000177D5" w:rsidP="007A60F3">
      <w:pPr>
        <w:widowControl w:val="0"/>
        <w:ind w:left="1080"/>
        <w:rPr>
          <w:color w:val="FF0000"/>
        </w:rPr>
      </w:pPr>
      <w:r w:rsidRPr="00993B55">
        <w:rPr>
          <w:color w:val="FF0000"/>
        </w:rPr>
        <w:t xml:space="preserve">For all </w:t>
      </w:r>
      <w:r w:rsidRPr="00993B55">
        <w:rPr>
          <w:i/>
          <w:iCs/>
          <w:color w:val="FF0000"/>
        </w:rPr>
        <w:t>modified</w:t>
      </w:r>
      <w:r w:rsidRPr="00993B55">
        <w:rPr>
          <w:color w:val="FF0000"/>
        </w:rPr>
        <w:t xml:space="preserve"> </w:t>
      </w:r>
      <w:r w:rsidRPr="00993B55">
        <w:rPr>
          <w:b/>
          <w:bCs/>
          <w:color w:val="FF0000"/>
        </w:rPr>
        <w:t>emissions units</w:t>
      </w:r>
      <w:r w:rsidRPr="00993B55">
        <w:rPr>
          <w:color w:val="FF0000"/>
        </w:rPr>
        <w:t xml:space="preserve"> associated with this project, perform the AIPE calculation for all pollutants emitted by the emissions units.  Then cite which pollutants trigger BACT for which units.</w:t>
      </w:r>
    </w:p>
    <w:p w14:paraId="211F66A4" w14:textId="77777777" w:rsidR="000177D5" w:rsidRPr="00993B55" w:rsidRDefault="000177D5" w:rsidP="007A60F3">
      <w:pPr>
        <w:widowControl w:val="0"/>
        <w:ind w:left="1080"/>
      </w:pPr>
    </w:p>
    <w:p w14:paraId="4CB16264" w14:textId="77777777" w:rsidR="000177D5" w:rsidRPr="00993B55" w:rsidRDefault="000177D5" w:rsidP="007A60F3">
      <w:pPr>
        <w:widowControl w:val="0"/>
        <w:tabs>
          <w:tab w:val="left" w:pos="2610"/>
        </w:tabs>
        <w:autoSpaceDE w:val="0"/>
        <w:autoSpaceDN w:val="0"/>
        <w:adjustRightInd w:val="0"/>
        <w:ind w:left="1080"/>
        <w:rPr>
          <w:i/>
          <w:iCs/>
          <w:color w:val="0000FF"/>
        </w:rPr>
      </w:pPr>
      <w:r w:rsidRPr="00993B55">
        <w:rPr>
          <w:i/>
          <w:iCs/>
          <w:color w:val="0000FF"/>
          <w:u w:val="single"/>
        </w:rPr>
        <w:t>Example (a)</w:t>
      </w:r>
      <w:r w:rsidRPr="00993B55">
        <w:rPr>
          <w:i/>
          <w:iCs/>
          <w:color w:val="0000FF"/>
        </w:rPr>
        <w:t>:</w:t>
      </w:r>
      <w:r w:rsidRPr="00993B55">
        <w:rPr>
          <w:i/>
          <w:iCs/>
          <w:color w:val="0000FF"/>
        </w:rPr>
        <w:tab/>
        <w:t>(For a modified operation with two baghouse – BACT not triggered.)</w:t>
      </w:r>
    </w:p>
    <w:p w14:paraId="4C1874BD" w14:textId="77777777" w:rsidR="000177D5" w:rsidRPr="00993B55" w:rsidRDefault="000177D5" w:rsidP="007A60F3">
      <w:pPr>
        <w:widowControl w:val="0"/>
        <w:ind w:left="1080"/>
      </w:pPr>
      <w:r w:rsidRPr="00993B55">
        <w:t>AIPE</w:t>
      </w:r>
      <w:r w:rsidRPr="00993B55">
        <w:tab/>
        <w:t>= PE2 – HAPE</w:t>
      </w:r>
    </w:p>
    <w:p w14:paraId="61434B67" w14:textId="77777777" w:rsidR="000177D5" w:rsidRPr="00993B55" w:rsidRDefault="000177D5" w:rsidP="007A60F3">
      <w:pPr>
        <w:widowControl w:val="0"/>
        <w:ind w:left="1080"/>
      </w:pPr>
    </w:p>
    <w:p w14:paraId="6DB098F7" w14:textId="77777777" w:rsidR="000177D5" w:rsidRPr="00993B55" w:rsidRDefault="000177D5" w:rsidP="007A60F3">
      <w:pPr>
        <w:widowControl w:val="0"/>
        <w:ind w:left="1080"/>
      </w:pPr>
      <w:r w:rsidRPr="00993B55">
        <w:t>Where,</w:t>
      </w:r>
    </w:p>
    <w:p w14:paraId="2AE920CF" w14:textId="77777777" w:rsidR="000177D5" w:rsidRPr="00993B55" w:rsidRDefault="000177D5" w:rsidP="007A60F3">
      <w:pPr>
        <w:widowControl w:val="0"/>
        <w:ind w:left="1728"/>
        <w:jc w:val="left"/>
      </w:pPr>
      <w:r w:rsidRPr="00993B55">
        <w:t>AIPE = Adjusted Increase in Permitted Emissions, (lb/day)</w:t>
      </w:r>
    </w:p>
    <w:p w14:paraId="4C9C8063" w14:textId="77777777" w:rsidR="000177D5" w:rsidRPr="00993B55" w:rsidRDefault="000177D5" w:rsidP="007A60F3">
      <w:pPr>
        <w:widowControl w:val="0"/>
        <w:ind w:left="1728"/>
        <w:jc w:val="left"/>
      </w:pPr>
      <w:r w:rsidRPr="00993B55">
        <w:t>PE2 = Post-Project Potential to Emit, (lb/day)</w:t>
      </w:r>
    </w:p>
    <w:p w14:paraId="2AF631FA" w14:textId="77777777" w:rsidR="000177D5" w:rsidRPr="00993B55" w:rsidRDefault="000177D5" w:rsidP="007A60F3">
      <w:pPr>
        <w:widowControl w:val="0"/>
        <w:ind w:left="1728"/>
        <w:jc w:val="left"/>
      </w:pPr>
      <w:r w:rsidRPr="00993B55">
        <w:t>HAPE = Historically Adjusted Potential to Emit, (lb/day)</w:t>
      </w:r>
    </w:p>
    <w:p w14:paraId="41E81FC2" w14:textId="77777777" w:rsidR="000177D5" w:rsidRPr="00993B55" w:rsidRDefault="000177D5" w:rsidP="00103FF7">
      <w:pPr>
        <w:widowControl w:val="0"/>
        <w:ind w:left="1728"/>
      </w:pPr>
    </w:p>
    <w:p w14:paraId="01172A73" w14:textId="77777777" w:rsidR="000177D5" w:rsidRPr="00993B55" w:rsidRDefault="000177D5" w:rsidP="007A60F3">
      <w:pPr>
        <w:widowControl w:val="0"/>
        <w:ind w:left="1728"/>
        <w:jc w:val="left"/>
      </w:pPr>
      <w:r w:rsidRPr="00993B55">
        <w:t>HAPE = PE1 x (EF2/EF1)</w:t>
      </w:r>
    </w:p>
    <w:p w14:paraId="70C43080" w14:textId="77777777" w:rsidR="000177D5" w:rsidRPr="00993B55" w:rsidRDefault="000177D5" w:rsidP="00103FF7">
      <w:pPr>
        <w:widowControl w:val="0"/>
        <w:autoSpaceDE w:val="0"/>
        <w:autoSpaceDN w:val="0"/>
        <w:adjustRightInd w:val="0"/>
        <w:ind w:left="1728"/>
      </w:pPr>
    </w:p>
    <w:p w14:paraId="31859D95" w14:textId="77777777" w:rsidR="000177D5" w:rsidRPr="00993B55" w:rsidRDefault="000177D5" w:rsidP="007A60F3">
      <w:pPr>
        <w:widowControl w:val="0"/>
        <w:autoSpaceDE w:val="0"/>
        <w:autoSpaceDN w:val="0"/>
        <w:adjustRightInd w:val="0"/>
        <w:ind w:left="1728"/>
        <w:jc w:val="left"/>
      </w:pPr>
      <w:r w:rsidRPr="00993B55">
        <w:t>Where,</w:t>
      </w:r>
    </w:p>
    <w:p w14:paraId="6DFB1E8A" w14:textId="77777777" w:rsidR="000177D5" w:rsidRPr="00993B55" w:rsidRDefault="000177D5" w:rsidP="007A60F3">
      <w:pPr>
        <w:widowControl w:val="0"/>
        <w:autoSpaceDE w:val="0"/>
        <w:autoSpaceDN w:val="0"/>
        <w:adjustRightInd w:val="0"/>
        <w:ind w:left="2700" w:hanging="702"/>
        <w:jc w:val="left"/>
      </w:pPr>
      <w:r w:rsidRPr="00993B55">
        <w:t>PE1 = The emissions unit’s PE prior to modification or relocation, (lb/day)</w:t>
      </w:r>
    </w:p>
    <w:p w14:paraId="55CF83ED" w14:textId="77777777" w:rsidR="000177D5" w:rsidRPr="00993B55" w:rsidRDefault="000177D5" w:rsidP="007A60F3">
      <w:pPr>
        <w:widowControl w:val="0"/>
        <w:autoSpaceDE w:val="0"/>
        <w:autoSpaceDN w:val="0"/>
        <w:adjustRightInd w:val="0"/>
        <w:ind w:left="2700" w:hanging="702"/>
      </w:pPr>
      <w:r w:rsidRPr="00993B55">
        <w:t>EF2 = The emissions unit’s permitted emission factor for the pollutant after modification or relocation.  If EF2 is greater than EF1 then EF2/EF1 shall be set to 1</w:t>
      </w:r>
    </w:p>
    <w:p w14:paraId="1504F53D" w14:textId="77777777" w:rsidR="000177D5" w:rsidRPr="00993B55" w:rsidRDefault="000177D5" w:rsidP="007A60F3">
      <w:pPr>
        <w:widowControl w:val="0"/>
        <w:autoSpaceDE w:val="0"/>
        <w:autoSpaceDN w:val="0"/>
        <w:adjustRightInd w:val="0"/>
        <w:ind w:left="2700" w:hanging="702"/>
      </w:pPr>
      <w:r w:rsidRPr="00993B55">
        <w:t>EF1 = The emissions unit’s permitted emission factor for the pollutant before the modification or relocation</w:t>
      </w:r>
    </w:p>
    <w:p w14:paraId="7A40EC57" w14:textId="77777777" w:rsidR="000177D5" w:rsidRPr="00993B55" w:rsidRDefault="000177D5" w:rsidP="007A60F3">
      <w:pPr>
        <w:widowControl w:val="0"/>
        <w:ind w:left="1080"/>
      </w:pPr>
    </w:p>
    <w:p w14:paraId="27B7B4E0" w14:textId="77777777" w:rsidR="000177D5" w:rsidRPr="00993B55" w:rsidRDefault="000177D5" w:rsidP="007A60F3">
      <w:pPr>
        <w:widowControl w:val="0"/>
        <w:ind w:left="1080"/>
      </w:pPr>
      <w:r w:rsidRPr="00993B55">
        <w:t>AIPE</w:t>
      </w:r>
      <w:r w:rsidRPr="00993B55">
        <w:tab/>
        <w:t xml:space="preserve">= PE2 – (PE1 </w:t>
      </w:r>
      <w:r w:rsidRPr="00993B55">
        <w:sym w:font="Symbol" w:char="F02A"/>
      </w:r>
      <w:r w:rsidRPr="00993B55">
        <w:t xml:space="preserve"> (EF2 / EF1))</w:t>
      </w:r>
    </w:p>
    <w:p w14:paraId="4DA2C52C" w14:textId="77777777" w:rsidR="000177D5" w:rsidRPr="006626FF" w:rsidRDefault="000177D5" w:rsidP="007A60F3">
      <w:pPr>
        <w:widowControl w:val="0"/>
        <w:ind w:left="1080"/>
      </w:pPr>
    </w:p>
    <w:p w14:paraId="787313FB" w14:textId="23AD701C" w:rsidR="000177D5" w:rsidRPr="00993B55" w:rsidRDefault="00BE53FA" w:rsidP="007A60F3">
      <w:pPr>
        <w:widowControl w:val="0"/>
        <w:ind w:left="1080"/>
        <w:rPr>
          <w:u w:val="single"/>
        </w:rPr>
      </w:pPr>
      <w:r>
        <w:rPr>
          <w:u w:val="single"/>
        </w:rPr>
        <w:t>X</w:t>
      </w:r>
      <w:r w:rsidR="000177D5" w:rsidRPr="00993B55">
        <w:rPr>
          <w:u w:val="single"/>
        </w:rPr>
        <w:t>-XXX-X-X</w:t>
      </w:r>
      <w:r w:rsidR="000177D5" w:rsidRPr="00993B55">
        <w:t>:</w:t>
      </w:r>
    </w:p>
    <w:p w14:paraId="71D26CB5" w14:textId="77777777" w:rsidR="000177D5" w:rsidRPr="00993B55" w:rsidRDefault="000177D5" w:rsidP="007A60F3">
      <w:pPr>
        <w:widowControl w:val="0"/>
        <w:ind w:left="1260"/>
        <w:rPr>
          <w:bCs/>
          <w:spacing w:val="-3"/>
          <w:u w:val="single"/>
        </w:rPr>
      </w:pPr>
      <w:r w:rsidRPr="00993B55">
        <w:rPr>
          <w:bCs/>
          <w:spacing w:val="-3"/>
          <w:u w:val="single"/>
        </w:rPr>
        <w:t xml:space="preserve">Saunco </w:t>
      </w:r>
      <w:r w:rsidRPr="00993B55">
        <w:rPr>
          <w:rFonts w:cs="Arial"/>
          <w:spacing w:val="-3"/>
          <w:u w:val="single"/>
        </w:rPr>
        <w:t xml:space="preserve">Model </w:t>
      </w:r>
      <w:r w:rsidRPr="00993B55">
        <w:rPr>
          <w:bCs/>
          <w:u w:val="single"/>
        </w:rPr>
        <w:t xml:space="preserve">RA12-252 </w:t>
      </w:r>
      <w:r w:rsidRPr="00993B55">
        <w:rPr>
          <w:bCs/>
          <w:spacing w:val="-3"/>
          <w:u w:val="single"/>
        </w:rPr>
        <w:t>Baghouse</w:t>
      </w:r>
      <w:r w:rsidRPr="00993B55">
        <w:rPr>
          <w:bCs/>
          <w:spacing w:val="-3"/>
        </w:rPr>
        <w:t>:</w:t>
      </w:r>
    </w:p>
    <w:p w14:paraId="30A14494" w14:textId="3324648B" w:rsidR="000177D5" w:rsidRPr="00993B55" w:rsidRDefault="000177D5" w:rsidP="00920378">
      <w:pPr>
        <w:widowControl w:val="0"/>
        <w:tabs>
          <w:tab w:val="left" w:pos="1890"/>
        </w:tabs>
        <w:ind w:left="1260"/>
      </w:pPr>
      <w:r w:rsidRPr="00993B55">
        <w:t>AIPE</w:t>
      </w:r>
      <w:r w:rsidRPr="00993B55">
        <w:tab/>
        <w:t xml:space="preserve">= </w:t>
      </w:r>
      <w:r w:rsidR="00BE53FA" w:rsidRPr="00BE53FA">
        <w:rPr>
          <w:color w:val="0000FF"/>
        </w:rPr>
        <w:t>XX.X</w:t>
      </w:r>
      <w:r w:rsidRPr="00BE53FA">
        <w:rPr>
          <w:color w:val="0000FF"/>
        </w:rPr>
        <w:t xml:space="preserve"> </w:t>
      </w:r>
      <w:r w:rsidRPr="00993B55">
        <w:t>– (</w:t>
      </w:r>
      <w:r w:rsidR="00BE53FA" w:rsidRPr="00BE53FA">
        <w:rPr>
          <w:color w:val="0000FF"/>
        </w:rPr>
        <w:t>XX.X</w:t>
      </w:r>
      <w:r w:rsidRPr="00993B55">
        <w:t xml:space="preserve"> </w:t>
      </w:r>
      <w:r w:rsidRPr="00993B55">
        <w:sym w:font="Symbol" w:char="F02A"/>
      </w:r>
      <w:r w:rsidRPr="00993B55">
        <w:t xml:space="preserve"> (</w:t>
      </w:r>
      <w:r w:rsidR="00BE53FA" w:rsidRPr="00BE53FA">
        <w:rPr>
          <w:color w:val="0000FF"/>
        </w:rPr>
        <w:t>X.XXX</w:t>
      </w:r>
      <w:r w:rsidRPr="00993B55">
        <w:t>/</w:t>
      </w:r>
      <w:r w:rsidR="00BE53FA" w:rsidRPr="00BE53FA">
        <w:rPr>
          <w:color w:val="0000FF"/>
        </w:rPr>
        <w:t>X.XXX</w:t>
      </w:r>
      <w:r w:rsidRPr="00993B55">
        <w:t>))</w:t>
      </w:r>
    </w:p>
    <w:p w14:paraId="35D0C01A" w14:textId="3D6F3856" w:rsidR="000177D5" w:rsidRPr="00993B55" w:rsidRDefault="000177D5" w:rsidP="007A60F3">
      <w:pPr>
        <w:widowControl w:val="0"/>
        <w:tabs>
          <w:tab w:val="left" w:pos="1890"/>
        </w:tabs>
        <w:ind w:left="1224"/>
      </w:pPr>
      <w:r w:rsidRPr="00993B55">
        <w:tab/>
        <w:t xml:space="preserve">= </w:t>
      </w:r>
      <w:r w:rsidR="00920378">
        <w:rPr>
          <w:color w:val="0000FF"/>
        </w:rPr>
        <w:t>X.XX</w:t>
      </w:r>
      <w:r w:rsidRPr="00993B55">
        <w:t xml:space="preserve"> – </w:t>
      </w:r>
      <w:r w:rsidR="00920378">
        <w:rPr>
          <w:color w:val="0000FF"/>
        </w:rPr>
        <w:t>X.XX</w:t>
      </w:r>
      <w:r w:rsidRPr="00920378">
        <w:rPr>
          <w:color w:val="0000FF"/>
        </w:rPr>
        <w:t xml:space="preserve"> </w:t>
      </w:r>
      <w:r w:rsidRPr="00993B55">
        <w:sym w:font="Symbol" w:char="F02A"/>
      </w:r>
      <w:r w:rsidRPr="00993B55">
        <w:t xml:space="preserve"> </w:t>
      </w:r>
      <w:r w:rsidR="00920378">
        <w:rPr>
          <w:color w:val="0000FF"/>
        </w:rPr>
        <w:t>X</w:t>
      </w:r>
    </w:p>
    <w:p w14:paraId="24667339" w14:textId="612D6F55" w:rsidR="000177D5" w:rsidRPr="00993B55" w:rsidRDefault="000177D5" w:rsidP="007A60F3">
      <w:pPr>
        <w:widowControl w:val="0"/>
        <w:tabs>
          <w:tab w:val="left" w:pos="1890"/>
        </w:tabs>
        <w:ind w:left="1224"/>
      </w:pPr>
      <w:r w:rsidRPr="00993B55">
        <w:tab/>
        <w:t xml:space="preserve">= </w:t>
      </w:r>
      <w:r w:rsidR="00920378">
        <w:rPr>
          <w:color w:val="0000FF"/>
        </w:rPr>
        <w:t>X.X</w:t>
      </w:r>
      <w:r w:rsidRPr="00920378">
        <w:rPr>
          <w:color w:val="0000FF"/>
        </w:rPr>
        <w:t xml:space="preserve"> </w:t>
      </w:r>
      <w:r w:rsidRPr="00993B55">
        <w:t>lb/day</w:t>
      </w:r>
    </w:p>
    <w:p w14:paraId="095F1A04" w14:textId="77777777" w:rsidR="000177D5" w:rsidRPr="00993B55" w:rsidRDefault="000177D5" w:rsidP="00103FF7">
      <w:pPr>
        <w:widowControl w:val="0"/>
        <w:ind w:left="1296"/>
      </w:pPr>
    </w:p>
    <w:p w14:paraId="2075C9CC" w14:textId="77777777" w:rsidR="000177D5" w:rsidRPr="00993B55" w:rsidRDefault="000177D5" w:rsidP="00103FF7">
      <w:pPr>
        <w:widowControl w:val="0"/>
        <w:ind w:left="1296"/>
        <w:rPr>
          <w:bCs/>
          <w:spacing w:val="-3"/>
          <w:u w:val="single"/>
        </w:rPr>
      </w:pPr>
      <w:r w:rsidRPr="00993B55">
        <w:rPr>
          <w:u w:val="single"/>
        </w:rPr>
        <w:t>Mac Model 144MCF Baghouse</w:t>
      </w:r>
      <w:r w:rsidRPr="00993B55">
        <w:t>:</w:t>
      </w:r>
    </w:p>
    <w:p w14:paraId="0CBA2E64" w14:textId="77777777" w:rsidR="00920378" w:rsidRPr="00993B55" w:rsidRDefault="00920378" w:rsidP="00920378">
      <w:pPr>
        <w:widowControl w:val="0"/>
        <w:tabs>
          <w:tab w:val="left" w:pos="1890"/>
        </w:tabs>
        <w:ind w:left="1296"/>
      </w:pPr>
      <w:r w:rsidRPr="00993B55">
        <w:t>AIPE</w:t>
      </w:r>
      <w:r w:rsidRPr="00993B55">
        <w:tab/>
        <w:t xml:space="preserve">= </w:t>
      </w:r>
      <w:r w:rsidRPr="00BE53FA">
        <w:rPr>
          <w:color w:val="0000FF"/>
        </w:rPr>
        <w:t xml:space="preserve">XX.X </w:t>
      </w:r>
      <w:r w:rsidRPr="00993B55">
        <w:t>– (</w:t>
      </w:r>
      <w:r w:rsidRPr="00BE53FA">
        <w:rPr>
          <w:color w:val="0000FF"/>
        </w:rPr>
        <w:t>XX.X</w:t>
      </w:r>
      <w:r w:rsidRPr="00993B55">
        <w:t xml:space="preserve"> </w:t>
      </w:r>
      <w:r w:rsidRPr="00993B55">
        <w:sym w:font="Symbol" w:char="F02A"/>
      </w:r>
      <w:r w:rsidRPr="00993B55">
        <w:t xml:space="preserve"> (</w:t>
      </w:r>
      <w:r w:rsidRPr="00BE53FA">
        <w:rPr>
          <w:color w:val="0000FF"/>
        </w:rPr>
        <w:t>X.XXX</w:t>
      </w:r>
      <w:r w:rsidRPr="00993B55">
        <w:t>/</w:t>
      </w:r>
      <w:r w:rsidRPr="00BE53FA">
        <w:rPr>
          <w:color w:val="0000FF"/>
        </w:rPr>
        <w:t>X.XXX</w:t>
      </w:r>
      <w:r w:rsidRPr="00993B55">
        <w:t>))</w:t>
      </w:r>
    </w:p>
    <w:p w14:paraId="5D92741D" w14:textId="77777777" w:rsidR="00920378" w:rsidRPr="00993B55" w:rsidRDefault="00920378" w:rsidP="00920378">
      <w:pPr>
        <w:widowControl w:val="0"/>
        <w:tabs>
          <w:tab w:val="left" w:pos="1890"/>
        </w:tabs>
        <w:ind w:left="1224"/>
      </w:pPr>
      <w:r w:rsidRPr="00993B55">
        <w:tab/>
        <w:t xml:space="preserve">= </w:t>
      </w:r>
      <w:r>
        <w:rPr>
          <w:color w:val="0000FF"/>
        </w:rPr>
        <w:t>X.XX</w:t>
      </w:r>
      <w:r w:rsidRPr="00993B55">
        <w:t xml:space="preserve"> – </w:t>
      </w:r>
      <w:r>
        <w:rPr>
          <w:color w:val="0000FF"/>
        </w:rPr>
        <w:t>X.XX</w:t>
      </w:r>
      <w:r w:rsidRPr="00920378">
        <w:rPr>
          <w:color w:val="0000FF"/>
        </w:rPr>
        <w:t xml:space="preserve"> </w:t>
      </w:r>
      <w:r w:rsidRPr="00993B55">
        <w:sym w:font="Symbol" w:char="F02A"/>
      </w:r>
      <w:r w:rsidRPr="00993B55">
        <w:t xml:space="preserve"> </w:t>
      </w:r>
      <w:r>
        <w:rPr>
          <w:color w:val="0000FF"/>
        </w:rPr>
        <w:t>X</w:t>
      </w:r>
    </w:p>
    <w:p w14:paraId="567D68CE" w14:textId="77777777" w:rsidR="00920378" w:rsidRPr="00993B55" w:rsidRDefault="00920378" w:rsidP="00920378">
      <w:pPr>
        <w:widowControl w:val="0"/>
        <w:tabs>
          <w:tab w:val="left" w:pos="1890"/>
        </w:tabs>
        <w:ind w:left="1224"/>
      </w:pPr>
      <w:r w:rsidRPr="00993B55">
        <w:tab/>
        <w:t xml:space="preserve">= </w:t>
      </w:r>
      <w:r>
        <w:rPr>
          <w:color w:val="0000FF"/>
        </w:rPr>
        <w:t>X.X</w:t>
      </w:r>
      <w:r w:rsidRPr="00920378">
        <w:rPr>
          <w:color w:val="0000FF"/>
        </w:rPr>
        <w:t xml:space="preserve"> </w:t>
      </w:r>
      <w:r w:rsidRPr="00993B55">
        <w:t>lb/day</w:t>
      </w:r>
    </w:p>
    <w:p w14:paraId="6620ED81" w14:textId="77777777" w:rsidR="000177D5" w:rsidRPr="00993B55" w:rsidRDefault="000177D5" w:rsidP="007A60F3">
      <w:pPr>
        <w:widowControl w:val="0"/>
        <w:ind w:left="1080"/>
      </w:pPr>
    </w:p>
    <w:p w14:paraId="184464C7" w14:textId="69293B31" w:rsidR="000177D5" w:rsidRPr="00993B55" w:rsidRDefault="000177D5" w:rsidP="007A60F3">
      <w:pPr>
        <w:widowControl w:val="0"/>
        <w:ind w:left="1080"/>
      </w:pPr>
      <w:r w:rsidRPr="00993B55">
        <w:t xml:space="preserve">As demonstrated above, the AIPE is not greater than 2.0 lb/day for </w:t>
      </w:r>
      <w:r w:rsidRPr="00920378">
        <w:rPr>
          <w:color w:val="0000FF"/>
        </w:rPr>
        <w:t>PM</w:t>
      </w:r>
      <w:r w:rsidR="00C9457D" w:rsidRPr="00920378">
        <w:rPr>
          <w:color w:val="0000FF"/>
        </w:rPr>
        <w:t>10</w:t>
      </w:r>
      <w:r w:rsidRPr="00993B55">
        <w:t xml:space="preserve"> emissions for any baghouse.  Therefore</w:t>
      </w:r>
      <w:r w:rsidR="000063C5">
        <w:t>,</w:t>
      </w:r>
      <w:r w:rsidRPr="00993B55">
        <w:t xml:space="preserve"> BACT is not triggered.</w:t>
      </w:r>
    </w:p>
    <w:p w14:paraId="12DAE3E3" w14:textId="77777777" w:rsidR="000177D5" w:rsidRPr="00993B55" w:rsidRDefault="000177D5" w:rsidP="007A60F3">
      <w:pPr>
        <w:widowControl w:val="0"/>
        <w:tabs>
          <w:tab w:val="left" w:pos="2610"/>
        </w:tabs>
        <w:autoSpaceDE w:val="0"/>
        <w:autoSpaceDN w:val="0"/>
        <w:adjustRightInd w:val="0"/>
        <w:ind w:left="1080"/>
        <w:rPr>
          <w:color w:val="000000"/>
        </w:rPr>
      </w:pPr>
    </w:p>
    <w:p w14:paraId="72653AC7" w14:textId="77777777" w:rsidR="000177D5" w:rsidRPr="00993B55" w:rsidRDefault="000177D5" w:rsidP="007A60F3">
      <w:pPr>
        <w:widowControl w:val="0"/>
        <w:tabs>
          <w:tab w:val="left" w:pos="2610"/>
        </w:tabs>
        <w:autoSpaceDE w:val="0"/>
        <w:autoSpaceDN w:val="0"/>
        <w:adjustRightInd w:val="0"/>
        <w:ind w:left="1080"/>
        <w:rPr>
          <w:i/>
          <w:iCs/>
          <w:color w:val="0000FF"/>
          <w:u w:val="single"/>
        </w:rPr>
      </w:pPr>
      <w:r w:rsidRPr="00993B55">
        <w:rPr>
          <w:i/>
          <w:iCs/>
          <w:color w:val="0000FF"/>
          <w:u w:val="single"/>
        </w:rPr>
        <w:lastRenderedPageBreak/>
        <w:t>Example (b)</w:t>
      </w:r>
      <w:r w:rsidRPr="00993B55">
        <w:rPr>
          <w:i/>
          <w:iCs/>
          <w:color w:val="0000FF"/>
        </w:rPr>
        <w:t>:</w:t>
      </w:r>
      <w:r w:rsidRPr="00993B55">
        <w:rPr>
          <w:i/>
          <w:iCs/>
          <w:color w:val="0000FF"/>
        </w:rPr>
        <w:tab/>
        <w:t>(For a project not including modified emissions units.)</w:t>
      </w:r>
    </w:p>
    <w:p w14:paraId="308CD0CA" w14:textId="34B62BC6" w:rsidR="000177D5" w:rsidRPr="00993B55" w:rsidRDefault="000177D5" w:rsidP="007A60F3">
      <w:pPr>
        <w:widowControl w:val="0"/>
        <w:ind w:left="1080"/>
      </w:pPr>
      <w:r w:rsidRPr="00993B55">
        <w:t>As discussed in Section I above, there are no modified emissions units associated with this project.  Therefore</w:t>
      </w:r>
      <w:r w:rsidR="00E64F98">
        <w:t>,</w:t>
      </w:r>
      <w:r w:rsidRPr="00993B55">
        <w:t xml:space="preserve"> BACT is not triggered.</w:t>
      </w:r>
    </w:p>
    <w:p w14:paraId="248FEE59" w14:textId="70531C7B" w:rsidR="000177D5" w:rsidRPr="00C23A64" w:rsidRDefault="00BB7456" w:rsidP="008F20D3">
      <w:pPr>
        <w:pStyle w:val="Heading7"/>
      </w:pPr>
      <w:r w:rsidRPr="00C23A64">
        <w:t>c</w:t>
      </w:r>
      <w:r w:rsidR="000177D5" w:rsidRPr="00C23A64">
        <w:t>.</w:t>
      </w:r>
      <w:r w:rsidR="000177D5" w:rsidRPr="00C23A64">
        <w:tab/>
        <w:t>SB 288/Federal Major Modification</w:t>
      </w:r>
    </w:p>
    <w:p w14:paraId="5B6CB156" w14:textId="77777777" w:rsidR="000177D5" w:rsidRPr="00993B55" w:rsidRDefault="000177D5" w:rsidP="007A60F3">
      <w:pPr>
        <w:widowControl w:val="0"/>
        <w:tabs>
          <w:tab w:val="left" w:pos="2610"/>
        </w:tabs>
        <w:autoSpaceDE w:val="0"/>
        <w:autoSpaceDN w:val="0"/>
        <w:adjustRightInd w:val="0"/>
        <w:ind w:left="1080"/>
        <w:rPr>
          <w:i/>
          <w:iCs/>
          <w:color w:val="0000FF"/>
          <w:u w:val="single"/>
        </w:rPr>
      </w:pPr>
      <w:r w:rsidRPr="00993B55">
        <w:rPr>
          <w:i/>
          <w:iCs/>
          <w:color w:val="0000FF"/>
          <w:u w:val="single"/>
        </w:rPr>
        <w:t>Example (a)</w:t>
      </w:r>
      <w:r w:rsidRPr="00993B55">
        <w:rPr>
          <w:i/>
          <w:iCs/>
          <w:color w:val="0000FF"/>
        </w:rPr>
        <w:t>:</w:t>
      </w:r>
      <w:r w:rsidRPr="00993B55">
        <w:rPr>
          <w:i/>
          <w:iCs/>
          <w:color w:val="0000FF"/>
        </w:rPr>
        <w:tab/>
        <w:t>(For a project not triggering an SB 288 or Federal Major Modification.)</w:t>
      </w:r>
    </w:p>
    <w:p w14:paraId="73DC062F" w14:textId="1C0CB780" w:rsidR="000177D5" w:rsidRPr="00993B55" w:rsidRDefault="000177D5" w:rsidP="007A60F3">
      <w:pPr>
        <w:widowControl w:val="0"/>
        <w:ind w:left="1080"/>
        <w:rPr>
          <w:color w:val="000000"/>
        </w:rPr>
      </w:pPr>
      <w:r w:rsidRPr="00993B55">
        <w:rPr>
          <w:color w:val="000000"/>
        </w:rPr>
        <w:t>As discussed in Sections VII.C.7 and VII.C.8 above, this project does not constitute an SB 288 and/or Federal Major Modification for any pollutant.  Therefore</w:t>
      </w:r>
      <w:r w:rsidR="009C717F">
        <w:rPr>
          <w:color w:val="000000"/>
        </w:rPr>
        <w:t>,</w:t>
      </w:r>
      <w:r w:rsidRPr="00993B55">
        <w:rPr>
          <w:color w:val="000000"/>
        </w:rPr>
        <w:t xml:space="preserve"> BACT is not triggered for any pollutant. </w:t>
      </w:r>
    </w:p>
    <w:p w14:paraId="5AE62006" w14:textId="77777777" w:rsidR="000177D5" w:rsidRPr="00993B55" w:rsidRDefault="000177D5" w:rsidP="007A60F3">
      <w:pPr>
        <w:widowControl w:val="0"/>
        <w:ind w:left="1080"/>
        <w:rPr>
          <w:color w:val="000000"/>
        </w:rPr>
      </w:pPr>
    </w:p>
    <w:p w14:paraId="49677632" w14:textId="7C02924E" w:rsidR="000177D5" w:rsidRPr="00993B55" w:rsidRDefault="000177D5" w:rsidP="007A60F3">
      <w:pPr>
        <w:widowControl w:val="0"/>
        <w:tabs>
          <w:tab w:val="left" w:pos="2610"/>
        </w:tabs>
        <w:autoSpaceDE w:val="0"/>
        <w:autoSpaceDN w:val="0"/>
        <w:adjustRightInd w:val="0"/>
        <w:ind w:left="1080"/>
        <w:rPr>
          <w:i/>
          <w:iCs/>
          <w:color w:val="0000FF"/>
          <w:u w:val="single"/>
        </w:rPr>
      </w:pPr>
      <w:r w:rsidRPr="00993B55">
        <w:rPr>
          <w:i/>
          <w:iCs/>
          <w:color w:val="0000FF"/>
          <w:u w:val="single"/>
        </w:rPr>
        <w:t>Example (b)</w:t>
      </w:r>
      <w:r w:rsidRPr="00993B55">
        <w:rPr>
          <w:i/>
          <w:iCs/>
          <w:color w:val="0000FF"/>
        </w:rPr>
        <w:t>:</w:t>
      </w:r>
      <w:r w:rsidRPr="00993B55">
        <w:rPr>
          <w:i/>
          <w:iCs/>
          <w:color w:val="0000FF"/>
        </w:rPr>
        <w:tab/>
        <w:t>(For a project triggering an SB 288 and/or Federal Major Modification – For NO</w:t>
      </w:r>
      <w:r w:rsidR="00DE41CF">
        <w:rPr>
          <w:i/>
          <w:iCs/>
          <w:color w:val="0000FF"/>
        </w:rPr>
        <w:t>x</w:t>
      </w:r>
      <w:r w:rsidRPr="00993B55">
        <w:rPr>
          <w:i/>
          <w:iCs/>
          <w:color w:val="0000FF"/>
        </w:rPr>
        <w:t xml:space="preserve"> only.)</w:t>
      </w:r>
    </w:p>
    <w:p w14:paraId="212E4B36" w14:textId="24103764" w:rsidR="000177D5" w:rsidRPr="00993B55" w:rsidRDefault="000177D5" w:rsidP="007A60F3">
      <w:pPr>
        <w:widowControl w:val="0"/>
        <w:ind w:left="1080"/>
        <w:rPr>
          <w:color w:val="000000"/>
        </w:rPr>
      </w:pPr>
      <w:r w:rsidRPr="00993B55">
        <w:rPr>
          <w:color w:val="000000"/>
        </w:rPr>
        <w:t>As discussed in Sections VII.C.7 and VII.C.8 above, this project does constitute an SB 288 and/or Federal Major Modification for NO</w:t>
      </w:r>
      <w:r w:rsidR="00DE41CF">
        <w:rPr>
          <w:color w:val="000000"/>
        </w:rPr>
        <w:t>x</w:t>
      </w:r>
      <w:r w:rsidRPr="00993B55">
        <w:rPr>
          <w:color w:val="000000"/>
        </w:rPr>
        <w:t xml:space="preserve"> emissions.  Therefore</w:t>
      </w:r>
      <w:r w:rsidR="009C717F">
        <w:rPr>
          <w:color w:val="000000"/>
        </w:rPr>
        <w:t>,</w:t>
      </w:r>
      <w:r w:rsidRPr="00993B55">
        <w:rPr>
          <w:color w:val="000000"/>
        </w:rPr>
        <w:t xml:space="preserve"> BACT is triggered for NO</w:t>
      </w:r>
      <w:r w:rsidR="00DE41CF">
        <w:rPr>
          <w:color w:val="000000"/>
        </w:rPr>
        <w:t>x</w:t>
      </w:r>
      <w:r w:rsidRPr="00993B55">
        <w:rPr>
          <w:color w:val="000000"/>
        </w:rPr>
        <w:t xml:space="preserve"> for all emissions units in the project for which there is an emission increase.</w:t>
      </w:r>
    </w:p>
    <w:p w14:paraId="08081171" w14:textId="77777777" w:rsidR="000177D5" w:rsidRPr="00993B55" w:rsidRDefault="000177D5" w:rsidP="007A60F3">
      <w:pPr>
        <w:widowControl w:val="0"/>
        <w:ind w:left="1080"/>
        <w:rPr>
          <w:color w:val="000000"/>
        </w:rPr>
      </w:pPr>
    </w:p>
    <w:p w14:paraId="3891BFB8" w14:textId="77777777" w:rsidR="000177D5" w:rsidRPr="00993B55" w:rsidRDefault="000177D5" w:rsidP="007A60F3">
      <w:pPr>
        <w:widowControl w:val="0"/>
        <w:tabs>
          <w:tab w:val="left" w:pos="2610"/>
        </w:tabs>
        <w:autoSpaceDE w:val="0"/>
        <w:autoSpaceDN w:val="0"/>
        <w:adjustRightInd w:val="0"/>
        <w:ind w:left="1080"/>
        <w:rPr>
          <w:i/>
          <w:iCs/>
          <w:color w:val="0000FF"/>
          <w:u w:val="single"/>
        </w:rPr>
      </w:pPr>
      <w:r w:rsidRPr="00993B55">
        <w:rPr>
          <w:i/>
          <w:iCs/>
          <w:color w:val="0000FF"/>
          <w:u w:val="single"/>
        </w:rPr>
        <w:t>Example (c)</w:t>
      </w:r>
      <w:r w:rsidRPr="00993B55">
        <w:rPr>
          <w:i/>
          <w:iCs/>
          <w:color w:val="0000FF"/>
        </w:rPr>
        <w:t>:</w:t>
      </w:r>
      <w:r w:rsidRPr="00993B55">
        <w:rPr>
          <w:i/>
          <w:iCs/>
          <w:color w:val="0000FF"/>
        </w:rPr>
        <w:tab/>
        <w:t>(For a project triggering an SB 288 and/or Federal Major Modification Major Modification – with emissions less than 0.5 lb/day.)</w:t>
      </w:r>
    </w:p>
    <w:p w14:paraId="4A74BB01" w14:textId="098E31AF" w:rsidR="000177D5" w:rsidRPr="00993B55" w:rsidRDefault="000177D5" w:rsidP="007A60F3">
      <w:pPr>
        <w:widowControl w:val="0"/>
        <w:ind w:left="1080"/>
        <w:rPr>
          <w:color w:val="000000"/>
        </w:rPr>
      </w:pPr>
      <w:r w:rsidRPr="00993B55">
        <w:rPr>
          <w:color w:val="000000"/>
        </w:rPr>
        <w:t xml:space="preserve">As discussed in Sections VII.C.7 and VII.C.8 above, this project involves new emissions units only and constitutes an SB 288 and/or Federal Major Modification. Only unit </w:t>
      </w:r>
      <w:r w:rsidR="001F3F10" w:rsidRPr="001F3F10">
        <w:rPr>
          <w:color w:val="0000FF"/>
        </w:rPr>
        <w:t>X</w:t>
      </w:r>
      <w:r w:rsidRPr="001F3F10">
        <w:rPr>
          <w:color w:val="0000FF"/>
        </w:rPr>
        <w:t xml:space="preserve">-AAAA </w:t>
      </w:r>
      <w:r w:rsidRPr="00993B55">
        <w:rPr>
          <w:color w:val="000000"/>
        </w:rPr>
        <w:t xml:space="preserve">is subject to BACT. BACT is not required for units </w:t>
      </w:r>
      <w:r w:rsidR="001F3F10" w:rsidRPr="001F3F10">
        <w:rPr>
          <w:color w:val="0000FF"/>
        </w:rPr>
        <w:t>X</w:t>
      </w:r>
      <w:r w:rsidRPr="001F3F10">
        <w:rPr>
          <w:color w:val="0000FF"/>
        </w:rPr>
        <w:t xml:space="preserve">-XXXX </w:t>
      </w:r>
      <w:r w:rsidRPr="00993B55">
        <w:rPr>
          <w:color w:val="000000"/>
        </w:rPr>
        <w:t xml:space="preserve">through </w:t>
      </w:r>
      <w:r w:rsidR="001F3F10" w:rsidRPr="001E32B5">
        <w:rPr>
          <w:color w:val="0000FF"/>
        </w:rPr>
        <w:t>X</w:t>
      </w:r>
      <w:r w:rsidRPr="001E32B5">
        <w:rPr>
          <w:color w:val="0000FF"/>
        </w:rPr>
        <w:t xml:space="preserve">-YYYY </w:t>
      </w:r>
      <w:r w:rsidRPr="00993B55">
        <w:rPr>
          <w:color w:val="000000"/>
        </w:rPr>
        <w:t>as the emissions increases are less than 0.5 lb/day.</w:t>
      </w:r>
    </w:p>
    <w:p w14:paraId="7B36E1F0" w14:textId="77777777" w:rsidR="000177D5" w:rsidRPr="00993B55" w:rsidRDefault="000177D5" w:rsidP="007A60F3">
      <w:pPr>
        <w:widowControl w:val="0"/>
        <w:ind w:left="1080"/>
      </w:pPr>
    </w:p>
    <w:p w14:paraId="0386A675" w14:textId="77777777" w:rsidR="000177D5" w:rsidRPr="00993B55" w:rsidRDefault="000177D5" w:rsidP="007A60F3">
      <w:pPr>
        <w:widowControl w:val="0"/>
        <w:ind w:left="720"/>
        <w:rPr>
          <w:i/>
          <w:iCs/>
          <w:color w:val="FF0000"/>
        </w:rPr>
      </w:pPr>
      <w:r w:rsidRPr="00993B55">
        <w:rPr>
          <w:i/>
          <w:iCs/>
          <w:color w:val="FF0000"/>
        </w:rPr>
        <w:t>(</w:t>
      </w:r>
      <w:r w:rsidRPr="00993B55">
        <w:rPr>
          <w:i/>
          <w:iCs/>
          <w:color w:val="FF0000"/>
          <w:u w:val="single"/>
        </w:rPr>
        <w:t>Note</w:t>
      </w:r>
      <w:r w:rsidRPr="00993B55">
        <w:rPr>
          <w:i/>
          <w:iCs/>
          <w:color w:val="FF0000"/>
        </w:rPr>
        <w:t>: It can’t be emphasized enough that BACT calculations are evaluated on an emissions unit-by-emissions unit basis.)</w:t>
      </w:r>
    </w:p>
    <w:p w14:paraId="793BF398" w14:textId="77777777" w:rsidR="000177D5" w:rsidRPr="00C23A64" w:rsidRDefault="000177D5" w:rsidP="008F20D3">
      <w:pPr>
        <w:pStyle w:val="Heading6"/>
      </w:pPr>
      <w:r w:rsidRPr="00C23A64">
        <w:t>2.</w:t>
      </w:r>
      <w:r w:rsidRPr="00C23A64">
        <w:tab/>
        <w:t>BACT Guideline</w:t>
      </w:r>
    </w:p>
    <w:p w14:paraId="04D1A5FD" w14:textId="77777777" w:rsidR="000177D5" w:rsidRPr="00993B55" w:rsidRDefault="000177D5" w:rsidP="007A60F3">
      <w:pPr>
        <w:widowControl w:val="0"/>
        <w:ind w:left="720"/>
        <w:rPr>
          <w:color w:val="FF0000"/>
        </w:rPr>
      </w:pPr>
      <w:r w:rsidRPr="00993B55">
        <w:rPr>
          <w:color w:val="FF0000"/>
        </w:rPr>
        <w:t>If BACT is triggered, indicate which BACT Guideline applies, and include such guideline in the appendix.  If BACT is not triggered, delete this and the following section.</w:t>
      </w:r>
    </w:p>
    <w:p w14:paraId="79D98039" w14:textId="77777777" w:rsidR="000177D5" w:rsidRPr="00993B55" w:rsidRDefault="000177D5" w:rsidP="007A60F3">
      <w:pPr>
        <w:widowControl w:val="0"/>
        <w:ind w:left="720"/>
        <w:rPr>
          <w:color w:val="000000"/>
        </w:rPr>
      </w:pPr>
    </w:p>
    <w:p w14:paraId="2818F615" w14:textId="77777777" w:rsidR="000177D5" w:rsidRPr="00993B55" w:rsidRDefault="000177D5" w:rsidP="007A60F3">
      <w:pPr>
        <w:widowControl w:val="0"/>
        <w:tabs>
          <w:tab w:val="left" w:pos="2250"/>
        </w:tabs>
        <w:autoSpaceDE w:val="0"/>
        <w:autoSpaceDN w:val="0"/>
        <w:adjustRightInd w:val="0"/>
        <w:ind w:left="720"/>
        <w:rPr>
          <w:i/>
          <w:iCs/>
          <w:color w:val="0000FF"/>
          <w:u w:val="single"/>
        </w:rPr>
      </w:pPr>
      <w:r w:rsidRPr="00993B55">
        <w:rPr>
          <w:i/>
          <w:iCs/>
          <w:color w:val="0000FF"/>
          <w:u w:val="single"/>
        </w:rPr>
        <w:t>For example</w:t>
      </w:r>
      <w:r w:rsidRPr="00993B55">
        <w:rPr>
          <w:i/>
          <w:iCs/>
          <w:color w:val="0000FF"/>
        </w:rPr>
        <w:t>:</w:t>
      </w:r>
      <w:r w:rsidRPr="00993B55">
        <w:rPr>
          <w:i/>
          <w:iCs/>
          <w:color w:val="0000FF"/>
        </w:rPr>
        <w:tab/>
        <w:t>(For a diesel-fired IC engine.)</w:t>
      </w:r>
    </w:p>
    <w:p w14:paraId="60A54258" w14:textId="4BBA0EF7" w:rsidR="000177D5" w:rsidRDefault="000177D5" w:rsidP="007A60F3">
      <w:pPr>
        <w:widowControl w:val="0"/>
        <w:ind w:left="720"/>
        <w:rPr>
          <w:spacing w:val="-3"/>
        </w:rPr>
      </w:pPr>
      <w:r w:rsidRPr="00993B55">
        <w:t>BACT Guideline 3.1.</w:t>
      </w:r>
      <w:r w:rsidR="00DE41CF">
        <w:t>1</w:t>
      </w:r>
      <w:r w:rsidRPr="00993B55">
        <w:t>, applies to the diesel-fired emergency IC engine. [Emergency Diesel I.C. Engine</w:t>
      </w:r>
      <w:r w:rsidR="00196005">
        <w:t>s</w:t>
      </w:r>
      <w:r w:rsidRPr="00993B55">
        <w:t xml:space="preserve">] </w:t>
      </w:r>
      <w:r w:rsidRPr="00993B55">
        <w:rPr>
          <w:spacing w:val="-3"/>
        </w:rPr>
        <w:t xml:space="preserve">(See </w:t>
      </w:r>
      <w:r w:rsidRPr="00993B55">
        <w:rPr>
          <w:color w:val="0000FF"/>
        </w:rPr>
        <w:t>Appendix XXX</w:t>
      </w:r>
      <w:r w:rsidRPr="00993B55">
        <w:rPr>
          <w:spacing w:val="-3"/>
        </w:rPr>
        <w:t>)</w:t>
      </w:r>
    </w:p>
    <w:p w14:paraId="72A2CBAB" w14:textId="77777777" w:rsidR="000177D5" w:rsidRPr="00C23A64" w:rsidRDefault="000177D5" w:rsidP="008F20D3">
      <w:pPr>
        <w:pStyle w:val="Heading6"/>
      </w:pPr>
      <w:r w:rsidRPr="00C23A64">
        <w:t>3.</w:t>
      </w:r>
      <w:r w:rsidRPr="00C23A64">
        <w:tab/>
        <w:t>Top-Down BACT Analysis</w:t>
      </w:r>
    </w:p>
    <w:p w14:paraId="5B805A3D" w14:textId="77777777" w:rsidR="000177D5" w:rsidRPr="00993B55" w:rsidRDefault="000177D5" w:rsidP="007A60F3">
      <w:pPr>
        <w:widowControl w:val="0"/>
        <w:tabs>
          <w:tab w:val="left" w:pos="1980"/>
        </w:tabs>
        <w:autoSpaceDE w:val="0"/>
        <w:autoSpaceDN w:val="0"/>
        <w:adjustRightInd w:val="0"/>
        <w:ind w:left="720"/>
        <w:rPr>
          <w:color w:val="FF0000"/>
          <w:spacing w:val="-3"/>
        </w:rPr>
      </w:pPr>
      <w:r w:rsidRPr="00993B55">
        <w:rPr>
          <w:color w:val="FF0000"/>
          <w:spacing w:val="-3"/>
        </w:rPr>
        <w:t>Refer to the BACT Analysis contained in Appendix D, list the BACT requirements and indicate if the proposal meets the BACT requirements.</w:t>
      </w:r>
    </w:p>
    <w:p w14:paraId="6612C0B5" w14:textId="77777777" w:rsidR="000177D5" w:rsidRPr="00993B55" w:rsidRDefault="000177D5" w:rsidP="007A60F3">
      <w:pPr>
        <w:widowControl w:val="0"/>
        <w:tabs>
          <w:tab w:val="left" w:pos="1980"/>
        </w:tabs>
        <w:autoSpaceDE w:val="0"/>
        <w:autoSpaceDN w:val="0"/>
        <w:adjustRightInd w:val="0"/>
        <w:ind w:left="720"/>
      </w:pPr>
    </w:p>
    <w:p w14:paraId="7877C4D4" w14:textId="77777777" w:rsidR="000177D5" w:rsidRPr="00993B55" w:rsidRDefault="000177D5" w:rsidP="007A60F3">
      <w:pPr>
        <w:widowControl w:val="0"/>
        <w:tabs>
          <w:tab w:val="left" w:pos="2250"/>
        </w:tabs>
        <w:ind w:left="720"/>
        <w:rPr>
          <w:i/>
          <w:iCs/>
          <w:color w:val="0000FF"/>
        </w:rPr>
      </w:pPr>
      <w:r w:rsidRPr="00993B55">
        <w:rPr>
          <w:i/>
          <w:iCs/>
          <w:color w:val="0000FF"/>
          <w:u w:val="single"/>
        </w:rPr>
        <w:t>For example</w:t>
      </w:r>
      <w:r w:rsidRPr="00993B55">
        <w:rPr>
          <w:i/>
          <w:iCs/>
          <w:color w:val="0000FF"/>
        </w:rPr>
        <w:t>:</w:t>
      </w:r>
      <w:r w:rsidRPr="00993B55">
        <w:rPr>
          <w:i/>
          <w:iCs/>
          <w:color w:val="0000FF"/>
        </w:rPr>
        <w:tab/>
        <w:t>(For a diesel-fired IC engine – BACT triggered.)</w:t>
      </w:r>
    </w:p>
    <w:p w14:paraId="25C6FA7E" w14:textId="77777777" w:rsidR="000177D5" w:rsidRPr="00993B55" w:rsidRDefault="000177D5" w:rsidP="007A60F3">
      <w:pPr>
        <w:widowControl w:val="0"/>
        <w:ind w:left="720"/>
      </w:pPr>
      <w:r w:rsidRPr="00993B55">
        <w:t>Per Permit Services Policies and Procedures for BACT, a Top-Down BACT analysis shall be performed as a part of the application review for each application subject to the BACT requirements pursuant to the District’s NSR Rule.</w:t>
      </w:r>
    </w:p>
    <w:p w14:paraId="5D8488D1" w14:textId="77777777" w:rsidR="000177D5" w:rsidRPr="00993B55" w:rsidRDefault="000177D5" w:rsidP="007A60F3">
      <w:pPr>
        <w:widowControl w:val="0"/>
        <w:ind w:left="720"/>
      </w:pPr>
    </w:p>
    <w:p w14:paraId="408199FC" w14:textId="77777777" w:rsidR="000177D5" w:rsidRPr="00993B55" w:rsidRDefault="000177D5" w:rsidP="007A60F3">
      <w:pPr>
        <w:widowControl w:val="0"/>
        <w:ind w:left="720"/>
      </w:pPr>
      <w:r w:rsidRPr="00993B55">
        <w:rPr>
          <w:spacing w:val="-3"/>
        </w:rPr>
        <w:t xml:space="preserve">Pursuant to the attached Top-Down BACT Analysis (see </w:t>
      </w:r>
      <w:r w:rsidRPr="00993B55">
        <w:rPr>
          <w:color w:val="0000FF"/>
        </w:rPr>
        <w:t>Appendix XXX</w:t>
      </w:r>
      <w:r w:rsidRPr="00993B55">
        <w:rPr>
          <w:spacing w:val="-3"/>
        </w:rPr>
        <w:t xml:space="preserve">), </w:t>
      </w:r>
      <w:r w:rsidRPr="00993B55">
        <w:t xml:space="preserve">BACT has been </w:t>
      </w:r>
      <w:r w:rsidRPr="00993B55">
        <w:lastRenderedPageBreak/>
        <w:t>satisfied with the following:</w:t>
      </w:r>
    </w:p>
    <w:p w14:paraId="46FD2D24" w14:textId="77777777" w:rsidR="000177D5" w:rsidRPr="00993B55" w:rsidRDefault="000177D5" w:rsidP="007A60F3">
      <w:pPr>
        <w:widowControl w:val="0"/>
        <w:ind w:left="720"/>
      </w:pPr>
    </w:p>
    <w:p w14:paraId="0AABC2D2" w14:textId="160EA0A6" w:rsidR="00196005" w:rsidRDefault="00196005" w:rsidP="007A60F3">
      <w:pPr>
        <w:widowControl w:val="0"/>
        <w:tabs>
          <w:tab w:val="left" w:pos="1800"/>
        </w:tabs>
        <w:ind w:left="1080"/>
      </w:pPr>
      <w:r>
        <w:t>NOx:</w:t>
      </w:r>
      <w:r>
        <w:tab/>
      </w:r>
      <w:r w:rsidR="00E71196">
        <w:t xml:space="preserve">EPA Tier 4 Final certification level or equivalent for </w:t>
      </w:r>
      <w:r w:rsidRPr="00582C1C">
        <w:rPr>
          <w:rFonts w:cs="Arial"/>
          <w:color w:val="000000"/>
          <w:spacing w:val="-3"/>
        </w:rPr>
        <w:t>applicable horsepower</w:t>
      </w:r>
      <w:r w:rsidR="00E71196">
        <w:rPr>
          <w:rFonts w:cs="Arial"/>
          <w:color w:val="000000"/>
          <w:spacing w:val="-3"/>
        </w:rPr>
        <w:t xml:space="preserve"> range</w:t>
      </w:r>
    </w:p>
    <w:p w14:paraId="7A5DAE74" w14:textId="77777777" w:rsidR="00196005" w:rsidRDefault="00196005" w:rsidP="007A60F3">
      <w:pPr>
        <w:widowControl w:val="0"/>
        <w:ind w:left="1800" w:hanging="720"/>
      </w:pPr>
      <w:r>
        <w:t>SOx:</w:t>
      </w:r>
      <w:r>
        <w:tab/>
      </w:r>
      <w:r w:rsidRPr="00582C1C">
        <w:rPr>
          <w:rFonts w:cs="Arial"/>
          <w:color w:val="000000"/>
          <w:spacing w:val="-3"/>
        </w:rPr>
        <w:t>Very low sulfur diesel (15 ppmw sulfur or less)</w:t>
      </w:r>
    </w:p>
    <w:p w14:paraId="31237CE3" w14:textId="77777777" w:rsidR="00E71196" w:rsidRDefault="00196005" w:rsidP="007A60F3">
      <w:pPr>
        <w:widowControl w:val="0"/>
        <w:tabs>
          <w:tab w:val="left" w:pos="1800"/>
        </w:tabs>
        <w:ind w:left="1080"/>
      </w:pPr>
      <w:r>
        <w:t>VOC:</w:t>
      </w:r>
      <w:r>
        <w:tab/>
      </w:r>
      <w:r w:rsidR="00E71196">
        <w:t xml:space="preserve">EPA Tier 4 Final certification level or equivalent for </w:t>
      </w:r>
      <w:r w:rsidR="00E71196" w:rsidRPr="00582C1C">
        <w:rPr>
          <w:rFonts w:cs="Arial"/>
          <w:color w:val="000000"/>
          <w:spacing w:val="-3"/>
        </w:rPr>
        <w:t>applicable horsepower</w:t>
      </w:r>
      <w:r w:rsidR="00E71196">
        <w:rPr>
          <w:rFonts w:cs="Arial"/>
          <w:color w:val="000000"/>
          <w:spacing w:val="-3"/>
        </w:rPr>
        <w:t xml:space="preserve"> range</w:t>
      </w:r>
    </w:p>
    <w:p w14:paraId="408C294E" w14:textId="77777777" w:rsidR="000177D5" w:rsidRPr="00C23A64" w:rsidRDefault="000177D5" w:rsidP="00366F05">
      <w:pPr>
        <w:pStyle w:val="Heading5"/>
      </w:pPr>
      <w:r w:rsidRPr="00C23A64">
        <w:t>B.</w:t>
      </w:r>
      <w:r w:rsidRPr="00C23A64">
        <w:tab/>
        <w:t>Offsets</w:t>
      </w:r>
    </w:p>
    <w:p w14:paraId="563569BE" w14:textId="7970C86E" w:rsidR="000177D5" w:rsidRDefault="00BB7456" w:rsidP="007A60F3">
      <w:pPr>
        <w:widowControl w:val="0"/>
        <w:ind w:left="360"/>
        <w:rPr>
          <w:color w:val="FF0000"/>
        </w:rPr>
      </w:pPr>
      <w:r>
        <w:rPr>
          <w:color w:val="FF0000"/>
        </w:rPr>
        <w:t>District o</w:t>
      </w:r>
      <w:r w:rsidR="000177D5" w:rsidRPr="00993B55">
        <w:rPr>
          <w:color w:val="FF0000"/>
        </w:rPr>
        <w:t xml:space="preserve">ffset requirements are triggered if the SSPE2 (calculated above) equals or exceeds the Offset Threshold levels outlined in </w:t>
      </w:r>
      <w:r w:rsidR="00EA3A7C">
        <w:rPr>
          <w:color w:val="FF0000"/>
        </w:rPr>
        <w:t xml:space="preserve">District </w:t>
      </w:r>
      <w:r w:rsidR="000177D5" w:rsidRPr="00993B55">
        <w:rPr>
          <w:color w:val="FF0000"/>
        </w:rPr>
        <w:t>Rule 2201</w:t>
      </w:r>
      <w:r w:rsidR="00EA3A7C">
        <w:rPr>
          <w:color w:val="FF0000"/>
        </w:rPr>
        <w:t>, Section 4.5.3</w:t>
      </w:r>
      <w:r w:rsidR="000177D5" w:rsidRPr="00993B55">
        <w:rPr>
          <w:color w:val="FF0000"/>
        </w:rPr>
        <w:t>.</w:t>
      </w:r>
    </w:p>
    <w:p w14:paraId="7E97128F" w14:textId="49DBE2B9" w:rsidR="00BB7456" w:rsidRDefault="00BB7456" w:rsidP="007A60F3">
      <w:pPr>
        <w:widowControl w:val="0"/>
        <w:ind w:left="360"/>
        <w:rPr>
          <w:color w:val="FF0000"/>
        </w:rPr>
      </w:pPr>
    </w:p>
    <w:p w14:paraId="1395AB8D" w14:textId="62790D30" w:rsidR="00BB7456" w:rsidRPr="00993B55" w:rsidRDefault="00BB7456" w:rsidP="007A60F3">
      <w:pPr>
        <w:widowControl w:val="0"/>
        <w:ind w:left="360"/>
        <w:rPr>
          <w:color w:val="FF0000"/>
        </w:rPr>
      </w:pPr>
      <w:r>
        <w:rPr>
          <w:color w:val="FF0000"/>
        </w:rPr>
        <w:t xml:space="preserve">Federal </w:t>
      </w:r>
      <w:r w:rsidR="009349B7">
        <w:rPr>
          <w:color w:val="FF0000"/>
        </w:rPr>
        <w:t>offset</w:t>
      </w:r>
      <w:r>
        <w:rPr>
          <w:color w:val="FF0000"/>
        </w:rPr>
        <w:t xml:space="preserve"> requirements are triggered if the project is a New Major Source or a Federal Major Modification as determined above.</w:t>
      </w:r>
    </w:p>
    <w:p w14:paraId="5A268DE4" w14:textId="77777777" w:rsidR="000177D5" w:rsidRPr="00993B55" w:rsidRDefault="000177D5" w:rsidP="007A60F3">
      <w:pPr>
        <w:widowControl w:val="0"/>
        <w:ind w:left="360"/>
      </w:pPr>
    </w:p>
    <w:p w14:paraId="141E44F0" w14:textId="77777777" w:rsidR="000177D5" w:rsidRPr="00993B55" w:rsidRDefault="000177D5" w:rsidP="007A60F3">
      <w:pPr>
        <w:widowControl w:val="0"/>
        <w:ind w:left="360"/>
        <w:rPr>
          <w:i/>
          <w:iCs/>
          <w:color w:val="FF0000"/>
        </w:rPr>
      </w:pPr>
      <w:r w:rsidRPr="00993B55">
        <w:rPr>
          <w:i/>
          <w:iCs/>
          <w:color w:val="FF0000"/>
        </w:rPr>
        <w:t>(</w:t>
      </w:r>
      <w:r w:rsidRPr="00993B55">
        <w:rPr>
          <w:i/>
          <w:iCs/>
          <w:color w:val="FF0000"/>
          <w:u w:val="single"/>
        </w:rPr>
        <w:t>Note</w:t>
      </w:r>
      <w:r w:rsidRPr="00993B55">
        <w:rPr>
          <w:i/>
          <w:iCs/>
          <w:color w:val="FF0000"/>
        </w:rPr>
        <w:t>: Offsets can be triggered and required even when there is no increase in emissions!  Therefore, always determine if offsets are triggered, and if so, perform the offset quantity calculation below.)</w:t>
      </w:r>
    </w:p>
    <w:p w14:paraId="77E1AF98" w14:textId="77777777" w:rsidR="007E0171" w:rsidRPr="00C23A64" w:rsidRDefault="007E0171" w:rsidP="008F20D3">
      <w:pPr>
        <w:pStyle w:val="Heading6"/>
      </w:pPr>
      <w:r w:rsidRPr="00C23A64">
        <w:t>1.</w:t>
      </w:r>
      <w:r w:rsidRPr="00C23A64">
        <w:tab/>
        <w:t>District Emission Offset Requirements</w:t>
      </w:r>
    </w:p>
    <w:p w14:paraId="175D5688" w14:textId="5222F43B" w:rsidR="000177D5" w:rsidRPr="00F51924" w:rsidRDefault="007E0171" w:rsidP="008F20D3">
      <w:pPr>
        <w:pStyle w:val="Heading7"/>
      </w:pPr>
      <w:r w:rsidRPr="00C23A64">
        <w:t>a</w:t>
      </w:r>
      <w:r w:rsidR="000177D5" w:rsidRPr="00C23A64">
        <w:t>.</w:t>
      </w:r>
      <w:r w:rsidR="000177D5" w:rsidRPr="00C23A64">
        <w:tab/>
      </w:r>
      <w:r w:rsidR="003E5221" w:rsidRPr="00C23A64">
        <w:t xml:space="preserve">District </w:t>
      </w:r>
      <w:r w:rsidR="000177D5" w:rsidRPr="00C23A64">
        <w:t>Offset Applicability</w:t>
      </w:r>
    </w:p>
    <w:p w14:paraId="4DA60F18" w14:textId="0E7394E6" w:rsidR="000177D5" w:rsidRPr="00993B55" w:rsidRDefault="000177D5" w:rsidP="007A60F3">
      <w:pPr>
        <w:widowControl w:val="0"/>
        <w:ind w:left="1080"/>
        <w:rPr>
          <w:spacing w:val="-3"/>
        </w:rPr>
      </w:pPr>
      <w:r w:rsidRPr="00993B55">
        <w:t xml:space="preserve">Pursuant to District Rule 2201, Section 4.5, </w:t>
      </w:r>
      <w:r w:rsidR="009F7A18">
        <w:t xml:space="preserve">District </w:t>
      </w:r>
      <w:r w:rsidRPr="00993B55">
        <w:t>offset requirements shall be triggered on a pollutant</w:t>
      </w:r>
      <w:r w:rsidR="0052578A">
        <w:t>-</w:t>
      </w:r>
      <w:r w:rsidRPr="00993B55">
        <w:t>by</w:t>
      </w:r>
      <w:r w:rsidR="0052578A">
        <w:t>-</w:t>
      </w:r>
      <w:r w:rsidRPr="00993B55">
        <w:t xml:space="preserve">pollutant basis and shall be required if the SSPE2 equals or exceeds </w:t>
      </w:r>
      <w:r w:rsidRPr="00993B55">
        <w:rPr>
          <w:spacing w:val="-3"/>
        </w:rPr>
        <w:t xml:space="preserve">the offset threshold levels in Table 4-1 of </w:t>
      </w:r>
      <w:r w:rsidR="00EA3A7C">
        <w:rPr>
          <w:spacing w:val="-3"/>
        </w:rPr>
        <w:t xml:space="preserve">District </w:t>
      </w:r>
      <w:r w:rsidRPr="00993B55">
        <w:rPr>
          <w:spacing w:val="-3"/>
        </w:rPr>
        <w:t>Rule 2201.</w:t>
      </w:r>
    </w:p>
    <w:p w14:paraId="769DFA3C" w14:textId="77777777" w:rsidR="000177D5" w:rsidRPr="00993B55" w:rsidRDefault="000177D5" w:rsidP="007A60F3">
      <w:pPr>
        <w:widowControl w:val="0"/>
        <w:ind w:left="1080"/>
        <w:rPr>
          <w:spacing w:val="-3"/>
        </w:rPr>
      </w:pPr>
    </w:p>
    <w:p w14:paraId="2595CCEE" w14:textId="77777777" w:rsidR="000177D5" w:rsidRPr="00993B55" w:rsidRDefault="000177D5" w:rsidP="007A60F3">
      <w:pPr>
        <w:pStyle w:val="BodyTextIndent2"/>
        <w:widowControl w:val="0"/>
        <w:ind w:left="1080"/>
      </w:pPr>
      <w:r w:rsidRPr="00993B55">
        <w:t>The SSPE2 is compared to the offset thresholds in the following table.</w:t>
      </w:r>
    </w:p>
    <w:p w14:paraId="7EE3871F" w14:textId="77777777" w:rsidR="000177D5" w:rsidRPr="00993B55" w:rsidRDefault="000177D5" w:rsidP="0094053C">
      <w:pPr>
        <w:widowControl w:val="0"/>
        <w:ind w:left="1080"/>
        <w:rPr>
          <w:color w:val="000000"/>
        </w:rPr>
      </w:pPr>
    </w:p>
    <w:tbl>
      <w:tblPr>
        <w:tblW w:w="8910" w:type="dxa"/>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278"/>
        <w:gridCol w:w="1278"/>
        <w:gridCol w:w="1278"/>
        <w:gridCol w:w="1278"/>
        <w:gridCol w:w="1278"/>
      </w:tblGrid>
      <w:tr w:rsidR="000177D5" w:rsidRPr="00993B55" w14:paraId="61EE4737" w14:textId="77777777" w:rsidTr="00505E9F">
        <w:trPr>
          <w:cantSplit/>
          <w:trHeight w:val="537"/>
        </w:trPr>
        <w:tc>
          <w:tcPr>
            <w:tcW w:w="8910" w:type="dxa"/>
            <w:gridSpan w:val="6"/>
            <w:shd w:val="clear" w:color="auto" w:fill="D9D9D9" w:themeFill="background1" w:themeFillShade="D9"/>
            <w:vAlign w:val="center"/>
          </w:tcPr>
          <w:p w14:paraId="79C3A718" w14:textId="727847F0" w:rsidR="000177D5" w:rsidRPr="00993B55" w:rsidRDefault="00FE14A0" w:rsidP="007A60F3">
            <w:pPr>
              <w:widowControl w:val="0"/>
              <w:ind w:left="38"/>
              <w:jc w:val="center"/>
              <w:rPr>
                <w:b/>
                <w:sz w:val="22"/>
                <w:szCs w:val="22"/>
              </w:rPr>
            </w:pPr>
            <w:r>
              <w:rPr>
                <w:b/>
                <w:sz w:val="22"/>
                <w:szCs w:val="22"/>
              </w:rPr>
              <w:t xml:space="preserve">District </w:t>
            </w:r>
            <w:r w:rsidR="000177D5" w:rsidRPr="00993B55">
              <w:rPr>
                <w:b/>
                <w:sz w:val="22"/>
                <w:szCs w:val="22"/>
              </w:rPr>
              <w:t>Offset Determination (lb/year)</w:t>
            </w:r>
          </w:p>
        </w:tc>
      </w:tr>
      <w:tr w:rsidR="000177D5" w:rsidRPr="00993B55" w14:paraId="0D380C8A" w14:textId="77777777" w:rsidTr="00505E9F">
        <w:trPr>
          <w:trHeight w:val="429"/>
        </w:trPr>
        <w:tc>
          <w:tcPr>
            <w:tcW w:w="2520" w:type="dxa"/>
            <w:shd w:val="clear" w:color="auto" w:fill="D9D9D9" w:themeFill="background1" w:themeFillShade="D9"/>
            <w:vAlign w:val="center"/>
          </w:tcPr>
          <w:p w14:paraId="0D2F00CB" w14:textId="77777777" w:rsidR="000177D5" w:rsidRPr="00993B55" w:rsidRDefault="000177D5" w:rsidP="007A60F3">
            <w:pPr>
              <w:widowControl w:val="0"/>
              <w:jc w:val="center"/>
              <w:rPr>
                <w:sz w:val="22"/>
                <w:szCs w:val="22"/>
              </w:rPr>
            </w:pPr>
          </w:p>
        </w:tc>
        <w:tc>
          <w:tcPr>
            <w:tcW w:w="1278" w:type="dxa"/>
            <w:shd w:val="clear" w:color="auto" w:fill="D9D9D9" w:themeFill="background1" w:themeFillShade="D9"/>
            <w:vAlign w:val="center"/>
          </w:tcPr>
          <w:p w14:paraId="5F3E303B" w14:textId="3F987537" w:rsidR="000177D5" w:rsidRPr="00993B55" w:rsidRDefault="000177D5" w:rsidP="007A60F3">
            <w:pPr>
              <w:widowControl w:val="0"/>
              <w:jc w:val="center"/>
              <w:rPr>
                <w:b/>
                <w:sz w:val="22"/>
                <w:szCs w:val="22"/>
              </w:rPr>
            </w:pPr>
            <w:r w:rsidRPr="00993B55">
              <w:rPr>
                <w:b/>
                <w:sz w:val="22"/>
                <w:szCs w:val="22"/>
              </w:rPr>
              <w:t>NO</w:t>
            </w:r>
            <w:r w:rsidR="00196005">
              <w:rPr>
                <w:b/>
                <w:sz w:val="22"/>
                <w:szCs w:val="22"/>
              </w:rPr>
              <w:t>x</w:t>
            </w:r>
          </w:p>
        </w:tc>
        <w:tc>
          <w:tcPr>
            <w:tcW w:w="1278" w:type="dxa"/>
            <w:shd w:val="clear" w:color="auto" w:fill="D9D9D9" w:themeFill="background1" w:themeFillShade="D9"/>
            <w:vAlign w:val="center"/>
          </w:tcPr>
          <w:p w14:paraId="6FCD2205" w14:textId="025EA9C9" w:rsidR="000177D5" w:rsidRPr="00993B55" w:rsidRDefault="000177D5" w:rsidP="007A60F3">
            <w:pPr>
              <w:widowControl w:val="0"/>
              <w:jc w:val="center"/>
              <w:rPr>
                <w:b/>
                <w:sz w:val="22"/>
                <w:szCs w:val="22"/>
              </w:rPr>
            </w:pPr>
            <w:r w:rsidRPr="00993B55">
              <w:rPr>
                <w:b/>
                <w:sz w:val="22"/>
                <w:szCs w:val="22"/>
              </w:rPr>
              <w:t>SO</w:t>
            </w:r>
            <w:r w:rsidR="00196005">
              <w:rPr>
                <w:b/>
                <w:sz w:val="22"/>
                <w:szCs w:val="22"/>
              </w:rPr>
              <w:t>x</w:t>
            </w:r>
          </w:p>
        </w:tc>
        <w:tc>
          <w:tcPr>
            <w:tcW w:w="1278" w:type="dxa"/>
            <w:shd w:val="clear" w:color="auto" w:fill="D9D9D9" w:themeFill="background1" w:themeFillShade="D9"/>
            <w:vAlign w:val="center"/>
          </w:tcPr>
          <w:p w14:paraId="2B9F0ACF" w14:textId="2C5ADD23" w:rsidR="000177D5" w:rsidRPr="00993B55" w:rsidRDefault="000177D5" w:rsidP="007A60F3">
            <w:pPr>
              <w:widowControl w:val="0"/>
              <w:jc w:val="center"/>
              <w:rPr>
                <w:b/>
                <w:sz w:val="22"/>
                <w:szCs w:val="22"/>
              </w:rPr>
            </w:pPr>
            <w:r w:rsidRPr="00993B55">
              <w:rPr>
                <w:b/>
                <w:sz w:val="22"/>
                <w:szCs w:val="22"/>
              </w:rPr>
              <w:t>PM</w:t>
            </w:r>
            <w:r w:rsidR="00196005">
              <w:rPr>
                <w:b/>
                <w:sz w:val="22"/>
                <w:szCs w:val="22"/>
              </w:rPr>
              <w:t>10</w:t>
            </w:r>
          </w:p>
        </w:tc>
        <w:tc>
          <w:tcPr>
            <w:tcW w:w="1278" w:type="dxa"/>
            <w:shd w:val="clear" w:color="auto" w:fill="D9D9D9" w:themeFill="background1" w:themeFillShade="D9"/>
            <w:vAlign w:val="center"/>
          </w:tcPr>
          <w:p w14:paraId="0F6E7DBF" w14:textId="77777777" w:rsidR="000177D5" w:rsidRPr="00993B55" w:rsidRDefault="000177D5" w:rsidP="007A60F3">
            <w:pPr>
              <w:widowControl w:val="0"/>
              <w:jc w:val="center"/>
              <w:rPr>
                <w:b/>
                <w:sz w:val="22"/>
                <w:szCs w:val="22"/>
              </w:rPr>
            </w:pPr>
            <w:r w:rsidRPr="00993B55">
              <w:rPr>
                <w:b/>
                <w:sz w:val="22"/>
                <w:szCs w:val="22"/>
              </w:rPr>
              <w:t>CO</w:t>
            </w:r>
          </w:p>
        </w:tc>
        <w:tc>
          <w:tcPr>
            <w:tcW w:w="1278" w:type="dxa"/>
            <w:shd w:val="clear" w:color="auto" w:fill="D9D9D9" w:themeFill="background1" w:themeFillShade="D9"/>
            <w:vAlign w:val="center"/>
          </w:tcPr>
          <w:p w14:paraId="1CDAB3FF" w14:textId="77777777" w:rsidR="000177D5" w:rsidRPr="00993B55" w:rsidRDefault="000177D5" w:rsidP="007A60F3">
            <w:pPr>
              <w:widowControl w:val="0"/>
              <w:jc w:val="center"/>
              <w:rPr>
                <w:b/>
                <w:sz w:val="22"/>
                <w:szCs w:val="22"/>
              </w:rPr>
            </w:pPr>
            <w:r w:rsidRPr="00993B55">
              <w:rPr>
                <w:b/>
                <w:sz w:val="22"/>
                <w:szCs w:val="22"/>
              </w:rPr>
              <w:t>VOC</w:t>
            </w:r>
          </w:p>
        </w:tc>
      </w:tr>
      <w:tr w:rsidR="00316872" w:rsidRPr="00993B55" w14:paraId="36D821B7" w14:textId="77777777" w:rsidTr="00505E9F">
        <w:trPr>
          <w:trHeight w:val="420"/>
        </w:trPr>
        <w:tc>
          <w:tcPr>
            <w:tcW w:w="2520" w:type="dxa"/>
            <w:shd w:val="clear" w:color="auto" w:fill="auto"/>
            <w:vAlign w:val="center"/>
          </w:tcPr>
          <w:p w14:paraId="3A45C7E0" w14:textId="77777777" w:rsidR="00316872" w:rsidRPr="00993B55" w:rsidRDefault="00316872" w:rsidP="00316872">
            <w:pPr>
              <w:widowControl w:val="0"/>
              <w:jc w:val="center"/>
              <w:rPr>
                <w:sz w:val="22"/>
                <w:szCs w:val="22"/>
              </w:rPr>
            </w:pPr>
            <w:r w:rsidRPr="00993B55">
              <w:rPr>
                <w:sz w:val="22"/>
                <w:szCs w:val="22"/>
              </w:rPr>
              <w:t>SSPE2</w:t>
            </w:r>
          </w:p>
        </w:tc>
        <w:tc>
          <w:tcPr>
            <w:tcW w:w="1278" w:type="dxa"/>
            <w:shd w:val="clear" w:color="auto" w:fill="auto"/>
            <w:vAlign w:val="center"/>
          </w:tcPr>
          <w:p w14:paraId="2211A9A1" w14:textId="0CEB7BA5" w:rsidR="00316872" w:rsidRPr="00993B55" w:rsidRDefault="00316872" w:rsidP="00316872">
            <w:pPr>
              <w:widowControl w:val="0"/>
              <w:jc w:val="center"/>
              <w:rPr>
                <w:color w:val="0000FF"/>
                <w:sz w:val="22"/>
                <w:szCs w:val="22"/>
              </w:rPr>
            </w:pPr>
            <w:r w:rsidRPr="008C0E59">
              <w:rPr>
                <w:color w:val="0000FF"/>
                <w:sz w:val="22"/>
                <w:szCs w:val="22"/>
              </w:rPr>
              <w:t>X,XXX</w:t>
            </w:r>
          </w:p>
        </w:tc>
        <w:tc>
          <w:tcPr>
            <w:tcW w:w="1278" w:type="dxa"/>
            <w:shd w:val="clear" w:color="auto" w:fill="auto"/>
            <w:vAlign w:val="center"/>
          </w:tcPr>
          <w:p w14:paraId="1AA54362" w14:textId="49FD81E3" w:rsidR="00316872" w:rsidRPr="00993B55" w:rsidRDefault="00316872" w:rsidP="00316872">
            <w:pPr>
              <w:widowControl w:val="0"/>
              <w:jc w:val="center"/>
              <w:rPr>
                <w:color w:val="0000FF"/>
                <w:spacing w:val="-3"/>
                <w:sz w:val="22"/>
                <w:szCs w:val="22"/>
              </w:rPr>
            </w:pPr>
            <w:r w:rsidRPr="008C0E59">
              <w:rPr>
                <w:color w:val="0000FF"/>
                <w:sz w:val="22"/>
                <w:szCs w:val="22"/>
              </w:rPr>
              <w:t>X,XXX</w:t>
            </w:r>
          </w:p>
        </w:tc>
        <w:tc>
          <w:tcPr>
            <w:tcW w:w="1278" w:type="dxa"/>
            <w:shd w:val="clear" w:color="auto" w:fill="auto"/>
            <w:vAlign w:val="center"/>
          </w:tcPr>
          <w:p w14:paraId="5116BB6D" w14:textId="700CA8FD" w:rsidR="00316872" w:rsidRPr="00993B55" w:rsidRDefault="00316872" w:rsidP="00316872">
            <w:pPr>
              <w:widowControl w:val="0"/>
              <w:jc w:val="center"/>
              <w:rPr>
                <w:color w:val="0000FF"/>
                <w:sz w:val="22"/>
                <w:szCs w:val="22"/>
              </w:rPr>
            </w:pPr>
            <w:r w:rsidRPr="008C0E59">
              <w:rPr>
                <w:color w:val="0000FF"/>
                <w:sz w:val="22"/>
                <w:szCs w:val="22"/>
              </w:rPr>
              <w:t>X,XXX</w:t>
            </w:r>
          </w:p>
        </w:tc>
        <w:tc>
          <w:tcPr>
            <w:tcW w:w="1278" w:type="dxa"/>
            <w:shd w:val="clear" w:color="auto" w:fill="auto"/>
            <w:vAlign w:val="center"/>
          </w:tcPr>
          <w:p w14:paraId="7021209B" w14:textId="316740C5" w:rsidR="00316872" w:rsidRPr="00993B55" w:rsidRDefault="00316872" w:rsidP="00316872">
            <w:pPr>
              <w:widowControl w:val="0"/>
              <w:jc w:val="center"/>
              <w:rPr>
                <w:color w:val="0000FF"/>
                <w:sz w:val="22"/>
                <w:szCs w:val="22"/>
              </w:rPr>
            </w:pPr>
            <w:r w:rsidRPr="008C0E59">
              <w:rPr>
                <w:color w:val="0000FF"/>
                <w:sz w:val="22"/>
                <w:szCs w:val="22"/>
              </w:rPr>
              <w:t>X,XXX</w:t>
            </w:r>
          </w:p>
        </w:tc>
        <w:tc>
          <w:tcPr>
            <w:tcW w:w="1278" w:type="dxa"/>
            <w:shd w:val="clear" w:color="auto" w:fill="auto"/>
            <w:vAlign w:val="center"/>
          </w:tcPr>
          <w:p w14:paraId="41ECDC9C" w14:textId="08A1424F" w:rsidR="00316872" w:rsidRPr="00993B55" w:rsidRDefault="00316872" w:rsidP="00316872">
            <w:pPr>
              <w:widowControl w:val="0"/>
              <w:jc w:val="center"/>
              <w:rPr>
                <w:color w:val="0000FF"/>
                <w:sz w:val="22"/>
                <w:szCs w:val="22"/>
              </w:rPr>
            </w:pPr>
            <w:r w:rsidRPr="008C0E59">
              <w:rPr>
                <w:color w:val="0000FF"/>
                <w:sz w:val="22"/>
                <w:szCs w:val="22"/>
              </w:rPr>
              <w:t>X,XXX</w:t>
            </w:r>
          </w:p>
        </w:tc>
      </w:tr>
      <w:tr w:rsidR="000177D5" w:rsidRPr="00993B55" w14:paraId="06228814" w14:textId="77777777" w:rsidTr="00505E9F">
        <w:trPr>
          <w:trHeight w:val="422"/>
        </w:trPr>
        <w:tc>
          <w:tcPr>
            <w:tcW w:w="2520" w:type="dxa"/>
            <w:shd w:val="clear" w:color="auto" w:fill="auto"/>
            <w:vAlign w:val="center"/>
          </w:tcPr>
          <w:p w14:paraId="1C92498B" w14:textId="77777777" w:rsidR="000177D5" w:rsidRPr="00993B55" w:rsidRDefault="000177D5" w:rsidP="007A60F3">
            <w:pPr>
              <w:widowControl w:val="0"/>
              <w:jc w:val="center"/>
              <w:rPr>
                <w:sz w:val="22"/>
                <w:szCs w:val="22"/>
              </w:rPr>
            </w:pPr>
            <w:r w:rsidRPr="00993B55">
              <w:rPr>
                <w:sz w:val="22"/>
                <w:szCs w:val="22"/>
              </w:rPr>
              <w:t>Offset Thresholds</w:t>
            </w:r>
          </w:p>
        </w:tc>
        <w:tc>
          <w:tcPr>
            <w:tcW w:w="1278" w:type="dxa"/>
            <w:shd w:val="clear" w:color="auto" w:fill="auto"/>
            <w:vAlign w:val="center"/>
          </w:tcPr>
          <w:p w14:paraId="331C07BA" w14:textId="77777777" w:rsidR="000177D5" w:rsidRPr="00993B55" w:rsidRDefault="000177D5" w:rsidP="007A60F3">
            <w:pPr>
              <w:widowControl w:val="0"/>
              <w:jc w:val="center"/>
              <w:rPr>
                <w:sz w:val="22"/>
                <w:szCs w:val="22"/>
              </w:rPr>
            </w:pPr>
            <w:r w:rsidRPr="00993B55">
              <w:rPr>
                <w:sz w:val="22"/>
                <w:szCs w:val="22"/>
              </w:rPr>
              <w:t>20,000</w:t>
            </w:r>
          </w:p>
        </w:tc>
        <w:tc>
          <w:tcPr>
            <w:tcW w:w="1278" w:type="dxa"/>
            <w:shd w:val="clear" w:color="auto" w:fill="auto"/>
            <w:vAlign w:val="center"/>
          </w:tcPr>
          <w:p w14:paraId="5561472E" w14:textId="77777777" w:rsidR="000177D5" w:rsidRPr="00993B55" w:rsidRDefault="000177D5" w:rsidP="007A60F3">
            <w:pPr>
              <w:widowControl w:val="0"/>
              <w:jc w:val="center"/>
              <w:rPr>
                <w:sz w:val="22"/>
                <w:szCs w:val="22"/>
              </w:rPr>
            </w:pPr>
            <w:r w:rsidRPr="00993B55">
              <w:rPr>
                <w:sz w:val="22"/>
                <w:szCs w:val="22"/>
              </w:rPr>
              <w:t>54,750</w:t>
            </w:r>
          </w:p>
        </w:tc>
        <w:tc>
          <w:tcPr>
            <w:tcW w:w="1278" w:type="dxa"/>
            <w:shd w:val="clear" w:color="auto" w:fill="auto"/>
            <w:vAlign w:val="center"/>
          </w:tcPr>
          <w:p w14:paraId="0FF49D09" w14:textId="77777777" w:rsidR="000177D5" w:rsidRPr="00993B55" w:rsidRDefault="000177D5" w:rsidP="007A60F3">
            <w:pPr>
              <w:widowControl w:val="0"/>
              <w:jc w:val="center"/>
              <w:rPr>
                <w:sz w:val="22"/>
                <w:szCs w:val="22"/>
              </w:rPr>
            </w:pPr>
            <w:r w:rsidRPr="00993B55">
              <w:rPr>
                <w:sz w:val="22"/>
                <w:szCs w:val="22"/>
              </w:rPr>
              <w:t>29,200</w:t>
            </w:r>
          </w:p>
        </w:tc>
        <w:tc>
          <w:tcPr>
            <w:tcW w:w="1278" w:type="dxa"/>
            <w:shd w:val="clear" w:color="auto" w:fill="auto"/>
            <w:vAlign w:val="center"/>
          </w:tcPr>
          <w:p w14:paraId="36391645" w14:textId="77777777" w:rsidR="000177D5" w:rsidRPr="00993B55" w:rsidRDefault="000177D5" w:rsidP="007A60F3">
            <w:pPr>
              <w:widowControl w:val="0"/>
              <w:jc w:val="center"/>
              <w:rPr>
                <w:sz w:val="22"/>
                <w:szCs w:val="22"/>
              </w:rPr>
            </w:pPr>
            <w:r w:rsidRPr="00993B55">
              <w:rPr>
                <w:sz w:val="22"/>
                <w:szCs w:val="22"/>
              </w:rPr>
              <w:t>200,000</w:t>
            </w:r>
          </w:p>
        </w:tc>
        <w:tc>
          <w:tcPr>
            <w:tcW w:w="1278" w:type="dxa"/>
            <w:shd w:val="clear" w:color="auto" w:fill="auto"/>
            <w:vAlign w:val="center"/>
          </w:tcPr>
          <w:p w14:paraId="47183127" w14:textId="77777777" w:rsidR="000177D5" w:rsidRPr="00993B55" w:rsidRDefault="000177D5" w:rsidP="007A60F3">
            <w:pPr>
              <w:widowControl w:val="0"/>
              <w:jc w:val="center"/>
              <w:rPr>
                <w:sz w:val="22"/>
                <w:szCs w:val="22"/>
              </w:rPr>
            </w:pPr>
            <w:r w:rsidRPr="00993B55">
              <w:rPr>
                <w:sz w:val="22"/>
                <w:szCs w:val="22"/>
              </w:rPr>
              <w:t>20,000</w:t>
            </w:r>
          </w:p>
        </w:tc>
      </w:tr>
      <w:tr w:rsidR="000177D5" w:rsidRPr="00993B55" w14:paraId="5AA0A101" w14:textId="77777777" w:rsidTr="006616E4">
        <w:trPr>
          <w:trHeight w:val="486"/>
        </w:trPr>
        <w:tc>
          <w:tcPr>
            <w:tcW w:w="2520" w:type="dxa"/>
            <w:shd w:val="clear" w:color="auto" w:fill="D9D9D9" w:themeFill="background1" w:themeFillShade="D9"/>
            <w:vAlign w:val="center"/>
          </w:tcPr>
          <w:p w14:paraId="75CB11BF" w14:textId="77777777" w:rsidR="000177D5" w:rsidRPr="00505E9F" w:rsidRDefault="000177D5" w:rsidP="007A60F3">
            <w:pPr>
              <w:widowControl w:val="0"/>
              <w:jc w:val="center"/>
              <w:rPr>
                <w:b/>
                <w:bCs/>
                <w:sz w:val="22"/>
                <w:szCs w:val="22"/>
              </w:rPr>
            </w:pPr>
            <w:r w:rsidRPr="00505E9F">
              <w:rPr>
                <w:b/>
                <w:bCs/>
                <w:sz w:val="22"/>
                <w:szCs w:val="22"/>
              </w:rPr>
              <w:t>Offsets Triggered?</w:t>
            </w:r>
          </w:p>
        </w:tc>
        <w:tc>
          <w:tcPr>
            <w:tcW w:w="1278" w:type="dxa"/>
            <w:shd w:val="clear" w:color="auto" w:fill="D9D9D9" w:themeFill="background1" w:themeFillShade="D9"/>
            <w:vAlign w:val="center"/>
          </w:tcPr>
          <w:p w14:paraId="0A74CC38" w14:textId="77777777" w:rsidR="000177D5" w:rsidRPr="00505E9F" w:rsidRDefault="000177D5" w:rsidP="007A60F3">
            <w:pPr>
              <w:widowControl w:val="0"/>
              <w:jc w:val="center"/>
              <w:rPr>
                <w:b/>
                <w:bCs/>
                <w:color w:val="0000FF"/>
                <w:sz w:val="22"/>
                <w:szCs w:val="22"/>
              </w:rPr>
            </w:pPr>
            <w:r w:rsidRPr="00505E9F">
              <w:rPr>
                <w:b/>
                <w:bCs/>
                <w:color w:val="0000FF"/>
                <w:sz w:val="22"/>
                <w:szCs w:val="22"/>
              </w:rPr>
              <w:t>Yes / No</w:t>
            </w:r>
          </w:p>
        </w:tc>
        <w:tc>
          <w:tcPr>
            <w:tcW w:w="1278" w:type="dxa"/>
            <w:shd w:val="clear" w:color="auto" w:fill="D9D9D9" w:themeFill="background1" w:themeFillShade="D9"/>
            <w:vAlign w:val="center"/>
          </w:tcPr>
          <w:p w14:paraId="3DCB2F53" w14:textId="77777777" w:rsidR="000177D5" w:rsidRPr="00505E9F" w:rsidRDefault="000177D5" w:rsidP="007A60F3">
            <w:pPr>
              <w:widowControl w:val="0"/>
              <w:jc w:val="center"/>
              <w:rPr>
                <w:b/>
                <w:bCs/>
                <w:color w:val="0000FF"/>
                <w:sz w:val="22"/>
                <w:szCs w:val="22"/>
              </w:rPr>
            </w:pPr>
            <w:r w:rsidRPr="00505E9F">
              <w:rPr>
                <w:b/>
                <w:bCs/>
                <w:color w:val="0000FF"/>
                <w:sz w:val="22"/>
                <w:szCs w:val="22"/>
              </w:rPr>
              <w:t>Yes / No</w:t>
            </w:r>
          </w:p>
        </w:tc>
        <w:tc>
          <w:tcPr>
            <w:tcW w:w="1278" w:type="dxa"/>
            <w:shd w:val="clear" w:color="auto" w:fill="D9D9D9" w:themeFill="background1" w:themeFillShade="D9"/>
            <w:vAlign w:val="center"/>
          </w:tcPr>
          <w:p w14:paraId="36E358B9" w14:textId="77777777" w:rsidR="000177D5" w:rsidRPr="00505E9F" w:rsidRDefault="000177D5" w:rsidP="007A60F3">
            <w:pPr>
              <w:widowControl w:val="0"/>
              <w:jc w:val="center"/>
              <w:rPr>
                <w:b/>
                <w:bCs/>
                <w:color w:val="0000FF"/>
                <w:sz w:val="22"/>
                <w:szCs w:val="22"/>
              </w:rPr>
            </w:pPr>
            <w:r w:rsidRPr="00505E9F">
              <w:rPr>
                <w:b/>
                <w:bCs/>
                <w:color w:val="0000FF"/>
                <w:sz w:val="22"/>
                <w:szCs w:val="22"/>
              </w:rPr>
              <w:t>Yes / No</w:t>
            </w:r>
          </w:p>
        </w:tc>
        <w:tc>
          <w:tcPr>
            <w:tcW w:w="1278" w:type="dxa"/>
            <w:shd w:val="clear" w:color="auto" w:fill="D9D9D9" w:themeFill="background1" w:themeFillShade="D9"/>
            <w:vAlign w:val="center"/>
          </w:tcPr>
          <w:p w14:paraId="4ACF7551" w14:textId="77777777" w:rsidR="000177D5" w:rsidRPr="00505E9F" w:rsidRDefault="000177D5" w:rsidP="007A60F3">
            <w:pPr>
              <w:widowControl w:val="0"/>
              <w:jc w:val="center"/>
              <w:rPr>
                <w:b/>
                <w:bCs/>
                <w:color w:val="0000FF"/>
                <w:sz w:val="22"/>
                <w:szCs w:val="22"/>
              </w:rPr>
            </w:pPr>
            <w:r w:rsidRPr="00505E9F">
              <w:rPr>
                <w:b/>
                <w:bCs/>
                <w:color w:val="0000FF"/>
                <w:sz w:val="22"/>
                <w:szCs w:val="22"/>
              </w:rPr>
              <w:t>Yes / No</w:t>
            </w:r>
          </w:p>
        </w:tc>
        <w:tc>
          <w:tcPr>
            <w:tcW w:w="1278" w:type="dxa"/>
            <w:shd w:val="clear" w:color="auto" w:fill="D9D9D9" w:themeFill="background1" w:themeFillShade="D9"/>
            <w:vAlign w:val="center"/>
          </w:tcPr>
          <w:p w14:paraId="13D4828A" w14:textId="77777777" w:rsidR="000177D5" w:rsidRPr="00505E9F" w:rsidRDefault="000177D5" w:rsidP="007A60F3">
            <w:pPr>
              <w:widowControl w:val="0"/>
              <w:jc w:val="center"/>
              <w:rPr>
                <w:b/>
                <w:bCs/>
                <w:color w:val="0000FF"/>
                <w:sz w:val="22"/>
                <w:szCs w:val="22"/>
              </w:rPr>
            </w:pPr>
            <w:r w:rsidRPr="00505E9F">
              <w:rPr>
                <w:b/>
                <w:bCs/>
                <w:color w:val="0000FF"/>
                <w:sz w:val="22"/>
                <w:szCs w:val="22"/>
              </w:rPr>
              <w:t>Yes / No</w:t>
            </w:r>
          </w:p>
        </w:tc>
      </w:tr>
    </w:tbl>
    <w:p w14:paraId="5F4D7808" w14:textId="77777777" w:rsidR="000177D5" w:rsidRPr="00993B55" w:rsidRDefault="000177D5" w:rsidP="0094053C">
      <w:pPr>
        <w:widowControl w:val="0"/>
        <w:ind w:left="1080"/>
        <w:rPr>
          <w:color w:val="000000"/>
        </w:rPr>
      </w:pPr>
    </w:p>
    <w:p w14:paraId="3A02AE7D" w14:textId="04A222FB" w:rsidR="000177D5" w:rsidRPr="00723468" w:rsidRDefault="00763D30" w:rsidP="008F20D3">
      <w:pPr>
        <w:pStyle w:val="Heading7"/>
      </w:pPr>
      <w:r w:rsidRPr="00723468">
        <w:t>b</w:t>
      </w:r>
      <w:r w:rsidR="000177D5" w:rsidRPr="00723468">
        <w:t>.</w:t>
      </w:r>
      <w:r w:rsidR="000177D5" w:rsidRPr="00723468">
        <w:tab/>
        <w:t xml:space="preserve">District Offset </w:t>
      </w:r>
      <w:r w:rsidR="00D837E9" w:rsidRPr="00723468">
        <w:t>Quantity</w:t>
      </w:r>
      <w:r w:rsidR="003A152D" w:rsidRPr="00723468">
        <w:t xml:space="preserve"> (DOQ)</w:t>
      </w:r>
      <w:r w:rsidR="00D837E9" w:rsidRPr="00723468">
        <w:t xml:space="preserve"> </w:t>
      </w:r>
      <w:r w:rsidR="000177D5" w:rsidRPr="00723468">
        <w:t>Required</w:t>
      </w:r>
    </w:p>
    <w:p w14:paraId="710025CD" w14:textId="540A4F32" w:rsidR="00451026" w:rsidRDefault="00985E45" w:rsidP="007A60F3">
      <w:pPr>
        <w:widowControl w:val="0"/>
        <w:ind w:left="1080"/>
        <w:rPr>
          <w:rFonts w:cs="Arial"/>
          <w:color w:val="FF0000"/>
        </w:rPr>
      </w:pPr>
      <w:r w:rsidRPr="00EA3A7C">
        <w:rPr>
          <w:rFonts w:cs="Arial"/>
          <w:b/>
          <w:color w:val="FF0000"/>
        </w:rPr>
        <w:t>Case A</w:t>
      </w:r>
      <w:r>
        <w:rPr>
          <w:rFonts w:cs="Arial"/>
          <w:color w:val="FF0000"/>
        </w:rPr>
        <w:t xml:space="preserve">: </w:t>
      </w:r>
      <w:r w:rsidR="00451026">
        <w:rPr>
          <w:rFonts w:cs="Arial"/>
          <w:color w:val="FF0000"/>
        </w:rPr>
        <w:t>Offsets not triggered for any</w:t>
      </w:r>
      <w:r w:rsidR="00451026" w:rsidRPr="00993B55">
        <w:rPr>
          <w:rFonts w:cs="Arial"/>
          <w:color w:val="FF0000"/>
        </w:rPr>
        <w:t xml:space="preserve"> pollutant</w:t>
      </w:r>
      <w:r w:rsidR="00862699">
        <w:rPr>
          <w:rFonts w:cs="Arial"/>
          <w:color w:val="FF0000"/>
        </w:rPr>
        <w:t>, please use the following, otherwise delete</w:t>
      </w:r>
    </w:p>
    <w:p w14:paraId="2272773C" w14:textId="797AEB67" w:rsidR="00680B4E" w:rsidRPr="00993B55" w:rsidRDefault="00680B4E" w:rsidP="007A60F3">
      <w:pPr>
        <w:widowControl w:val="0"/>
        <w:ind w:left="1080"/>
        <w:rPr>
          <w:rFonts w:cs="Arial"/>
        </w:rPr>
      </w:pPr>
      <w:r w:rsidRPr="00993B55">
        <w:rPr>
          <w:rFonts w:cs="Arial"/>
        </w:rPr>
        <w:t xml:space="preserve">As </w:t>
      </w:r>
      <w:r w:rsidR="00EA3A7C">
        <w:rPr>
          <w:rFonts w:cs="Arial"/>
        </w:rPr>
        <w:t>shown</w:t>
      </w:r>
      <w:r w:rsidRPr="00993B55">
        <w:rPr>
          <w:rFonts w:cs="Arial"/>
        </w:rPr>
        <w:t xml:space="preserve"> above, the SSPE2 is not greater than the offset thresholds for all pollutants, therefore</w:t>
      </w:r>
      <w:r w:rsidR="00FC1689">
        <w:rPr>
          <w:rFonts w:cs="Arial"/>
        </w:rPr>
        <w:t>,</w:t>
      </w:r>
      <w:r w:rsidRPr="00993B55">
        <w:rPr>
          <w:rFonts w:cs="Arial"/>
        </w:rPr>
        <w:t xml:space="preserve"> District offsets are not triggered.  In conclusion, offsets will not be required for this project and no further discussion is required.</w:t>
      </w:r>
    </w:p>
    <w:p w14:paraId="098D085C" w14:textId="77777777" w:rsidR="00451026" w:rsidRPr="00993B55" w:rsidRDefault="00451026" w:rsidP="007A60F3">
      <w:pPr>
        <w:widowControl w:val="0"/>
        <w:ind w:left="1080"/>
        <w:rPr>
          <w:rFonts w:cs="Arial"/>
        </w:rPr>
      </w:pPr>
    </w:p>
    <w:p w14:paraId="365ED3E4" w14:textId="5A1ECD6F" w:rsidR="003412B2" w:rsidRDefault="00985E45" w:rsidP="007A60F3">
      <w:pPr>
        <w:widowControl w:val="0"/>
        <w:ind w:left="1080"/>
        <w:rPr>
          <w:rFonts w:cs="Arial"/>
          <w:color w:val="FF0000"/>
        </w:rPr>
      </w:pPr>
      <w:r w:rsidRPr="00EA3A7C">
        <w:rPr>
          <w:rFonts w:cs="Arial"/>
          <w:b/>
          <w:color w:val="FF0000"/>
        </w:rPr>
        <w:t>Case B</w:t>
      </w:r>
      <w:r>
        <w:rPr>
          <w:rFonts w:cs="Arial"/>
          <w:color w:val="FF0000"/>
        </w:rPr>
        <w:t xml:space="preserve">: </w:t>
      </w:r>
      <w:r w:rsidR="003412B2">
        <w:rPr>
          <w:rFonts w:cs="Arial"/>
          <w:color w:val="FF0000"/>
        </w:rPr>
        <w:t>Offsets triggered for NOx and VOC; however project is FMM</w:t>
      </w:r>
      <w:r w:rsidR="0090395C">
        <w:rPr>
          <w:rFonts w:cs="Arial"/>
          <w:color w:val="FF0000"/>
        </w:rPr>
        <w:t xml:space="preserve"> or NMS</w:t>
      </w:r>
      <w:r w:rsidR="003412B2">
        <w:rPr>
          <w:rFonts w:cs="Arial"/>
          <w:color w:val="FF0000"/>
        </w:rPr>
        <w:t xml:space="preserve"> for NOx and VOC</w:t>
      </w:r>
      <w:r w:rsidR="00BF6C66">
        <w:rPr>
          <w:rFonts w:cs="Arial"/>
          <w:color w:val="FF0000"/>
        </w:rPr>
        <w:t>, please use the following, otherwise delete</w:t>
      </w:r>
    </w:p>
    <w:p w14:paraId="7DE18815" w14:textId="2AB510E5" w:rsidR="00CE6FB3" w:rsidRPr="00993B55" w:rsidRDefault="00CE6FB3" w:rsidP="007A60F3">
      <w:pPr>
        <w:widowControl w:val="0"/>
        <w:ind w:left="1080"/>
        <w:rPr>
          <w:rFonts w:cs="Arial"/>
        </w:rPr>
      </w:pPr>
      <w:r w:rsidRPr="00993B55">
        <w:rPr>
          <w:rFonts w:cs="Arial"/>
        </w:rPr>
        <w:lastRenderedPageBreak/>
        <w:t xml:space="preserve">As </w:t>
      </w:r>
      <w:r w:rsidR="00EA3A7C">
        <w:rPr>
          <w:rFonts w:cs="Arial"/>
        </w:rPr>
        <w:t>shown</w:t>
      </w:r>
      <w:r w:rsidRPr="00993B55">
        <w:rPr>
          <w:rFonts w:cs="Arial"/>
        </w:rPr>
        <w:t xml:space="preserve"> above, </w:t>
      </w:r>
      <w:r w:rsidR="00EA3A7C">
        <w:rPr>
          <w:rFonts w:cs="Arial"/>
        </w:rPr>
        <w:t xml:space="preserve">the </w:t>
      </w:r>
      <w:r w:rsidR="00EA3A7C" w:rsidRPr="00993B55">
        <w:rPr>
          <w:rFonts w:cs="Arial"/>
        </w:rPr>
        <w:t xml:space="preserve">SSPE2 is greater </w:t>
      </w:r>
      <w:r w:rsidR="00EA3A7C">
        <w:rPr>
          <w:rFonts w:cs="Arial"/>
        </w:rPr>
        <w:t>than the offset thresholds for NOx and VOC;</w:t>
      </w:r>
      <w:r w:rsidR="00EA3A7C" w:rsidRPr="00993B55">
        <w:rPr>
          <w:rFonts w:cs="Arial"/>
        </w:rPr>
        <w:t xml:space="preserve"> therefore</w:t>
      </w:r>
      <w:r w:rsidR="00EA3A7C">
        <w:rPr>
          <w:rFonts w:cs="Arial"/>
        </w:rPr>
        <w:t>,</w:t>
      </w:r>
      <w:r w:rsidR="00EA3A7C" w:rsidRPr="00993B55">
        <w:rPr>
          <w:rFonts w:cs="Arial"/>
        </w:rPr>
        <w:t xml:space="preserve"> </w:t>
      </w:r>
      <w:r w:rsidRPr="00993B55">
        <w:rPr>
          <w:rFonts w:cs="Arial"/>
        </w:rPr>
        <w:t>District offsets are triggered for</w:t>
      </w:r>
      <w:r w:rsidRPr="00993B55">
        <w:rPr>
          <w:rFonts w:cs="Arial"/>
          <w:color w:val="0000FF"/>
        </w:rPr>
        <w:t xml:space="preserve"> </w:t>
      </w:r>
      <w:r>
        <w:rPr>
          <w:rFonts w:cs="Arial"/>
          <w:color w:val="0000FF"/>
        </w:rPr>
        <w:t>NOx and VOC</w:t>
      </w:r>
      <w:r w:rsidRPr="00993B55">
        <w:rPr>
          <w:rFonts w:cs="Arial"/>
        </w:rPr>
        <w:t xml:space="preserve"> under NSR.  </w:t>
      </w:r>
      <w:r w:rsidRPr="00993B55">
        <w:rPr>
          <w:rFonts w:cs="Arial"/>
          <w:szCs w:val="24"/>
        </w:rPr>
        <w:t xml:space="preserve">However, since this project </w:t>
      </w:r>
      <w:r>
        <w:rPr>
          <w:rFonts w:cs="Arial"/>
          <w:szCs w:val="24"/>
        </w:rPr>
        <w:t xml:space="preserve">is a </w:t>
      </w:r>
      <w:r w:rsidRPr="00993B55">
        <w:rPr>
          <w:rFonts w:cs="Arial"/>
        </w:rPr>
        <w:t>Federal Major Modification or New Major Source</w:t>
      </w:r>
      <w:r w:rsidR="00041167">
        <w:rPr>
          <w:rFonts w:cs="Arial"/>
        </w:rPr>
        <w:t xml:space="preserve"> for </w:t>
      </w:r>
      <w:r w:rsidR="00041167">
        <w:rPr>
          <w:rFonts w:cs="Arial"/>
          <w:color w:val="0000FF"/>
        </w:rPr>
        <w:t>NOx and VOC</w:t>
      </w:r>
      <w:r w:rsidRPr="00993B55">
        <w:rPr>
          <w:rFonts w:cs="Arial"/>
          <w:szCs w:val="24"/>
        </w:rPr>
        <w:t xml:space="preserve">, the </w:t>
      </w:r>
      <w:r>
        <w:rPr>
          <w:rFonts w:cs="Arial"/>
          <w:szCs w:val="24"/>
        </w:rPr>
        <w:t xml:space="preserve">District </w:t>
      </w:r>
      <w:r w:rsidRPr="00993B55">
        <w:rPr>
          <w:rFonts w:cs="Arial"/>
          <w:szCs w:val="24"/>
        </w:rPr>
        <w:t xml:space="preserve">offset exemption from </w:t>
      </w:r>
      <w:r w:rsidRPr="00EA3A7C">
        <w:rPr>
          <w:rFonts w:cs="Arial"/>
          <w:color w:val="0000FF"/>
        </w:rPr>
        <w:t>Section 4.6.</w:t>
      </w:r>
      <w:r w:rsidR="00041167" w:rsidRPr="00EA3A7C">
        <w:rPr>
          <w:rFonts w:cs="Arial"/>
          <w:color w:val="0000FF"/>
        </w:rPr>
        <w:t>10 and 4.6.11</w:t>
      </w:r>
      <w:r w:rsidRPr="00993B55">
        <w:rPr>
          <w:rFonts w:cs="Arial"/>
          <w:szCs w:val="24"/>
        </w:rPr>
        <w:t xml:space="preserve"> of District Rule 2201 is applicable to this project</w:t>
      </w:r>
      <w:r w:rsidR="00EA3A7C">
        <w:rPr>
          <w:rFonts w:cs="Arial"/>
          <w:szCs w:val="24"/>
        </w:rPr>
        <w:t>, and</w:t>
      </w:r>
      <w:r w:rsidRPr="00993B55">
        <w:rPr>
          <w:rFonts w:cs="Arial"/>
          <w:szCs w:val="24"/>
        </w:rPr>
        <w:t xml:space="preserve"> </w:t>
      </w:r>
      <w:r>
        <w:rPr>
          <w:rFonts w:cs="Arial"/>
          <w:szCs w:val="24"/>
        </w:rPr>
        <w:t xml:space="preserve">District </w:t>
      </w:r>
      <w:r w:rsidRPr="00993B55">
        <w:rPr>
          <w:rFonts w:cs="Arial"/>
          <w:szCs w:val="24"/>
        </w:rPr>
        <w:t xml:space="preserve">offsets </w:t>
      </w:r>
      <w:r w:rsidR="0090395C">
        <w:rPr>
          <w:rFonts w:cs="Arial"/>
          <w:szCs w:val="24"/>
        </w:rPr>
        <w:t xml:space="preserve">for </w:t>
      </w:r>
      <w:r w:rsidR="0090395C">
        <w:rPr>
          <w:rFonts w:cs="Arial"/>
          <w:color w:val="0000FF"/>
        </w:rPr>
        <w:t>NOx and VOC</w:t>
      </w:r>
      <w:r w:rsidR="0090395C" w:rsidRPr="00993B55">
        <w:rPr>
          <w:rFonts w:cs="Arial"/>
        </w:rPr>
        <w:t xml:space="preserve"> </w:t>
      </w:r>
      <w:r w:rsidRPr="00993B55">
        <w:rPr>
          <w:rFonts w:cs="Arial"/>
          <w:szCs w:val="24"/>
        </w:rPr>
        <w:t>are not required.</w:t>
      </w:r>
    </w:p>
    <w:p w14:paraId="78BC128D" w14:textId="77777777" w:rsidR="004373B9" w:rsidRDefault="004373B9" w:rsidP="007A60F3">
      <w:pPr>
        <w:widowControl w:val="0"/>
        <w:ind w:left="1080"/>
        <w:rPr>
          <w:b/>
          <w:color w:val="FF0000"/>
        </w:rPr>
      </w:pPr>
    </w:p>
    <w:p w14:paraId="7ACBAF9F" w14:textId="4BFBFB46" w:rsidR="000177D5" w:rsidRPr="00993B55" w:rsidRDefault="00985E45" w:rsidP="007A60F3">
      <w:pPr>
        <w:widowControl w:val="0"/>
        <w:ind w:left="1080"/>
        <w:rPr>
          <w:b/>
          <w:color w:val="FF0000"/>
        </w:rPr>
      </w:pPr>
      <w:r w:rsidRPr="00EA3A7C">
        <w:rPr>
          <w:rFonts w:cs="Arial"/>
          <w:b/>
          <w:color w:val="FF0000"/>
        </w:rPr>
        <w:t xml:space="preserve">Case </w:t>
      </w:r>
      <w:r w:rsidR="00D12C1D">
        <w:rPr>
          <w:rFonts w:cs="Arial"/>
          <w:b/>
          <w:color w:val="FF0000"/>
        </w:rPr>
        <w:t>C</w:t>
      </w:r>
      <w:r w:rsidRPr="00EA3A7C">
        <w:rPr>
          <w:rFonts w:cs="Arial"/>
          <w:b/>
          <w:color w:val="FF0000"/>
        </w:rPr>
        <w:t>:</w:t>
      </w:r>
      <w:r>
        <w:rPr>
          <w:rFonts w:cs="Arial"/>
          <w:color w:val="FF0000"/>
        </w:rPr>
        <w:t xml:space="preserve"> </w:t>
      </w:r>
      <w:r w:rsidR="000177D5" w:rsidRPr="00993B55">
        <w:rPr>
          <w:b/>
          <w:color w:val="FF0000"/>
        </w:rPr>
        <w:t xml:space="preserve">Projects involving equipment exempt from offsets under </w:t>
      </w:r>
      <w:r w:rsidR="00EA3A7C">
        <w:rPr>
          <w:b/>
          <w:color w:val="FF0000"/>
        </w:rPr>
        <w:t>District Rule 2201</w:t>
      </w:r>
      <w:r w:rsidR="000177D5" w:rsidRPr="00993B55">
        <w:rPr>
          <w:b/>
          <w:color w:val="FF0000"/>
        </w:rPr>
        <w:t xml:space="preserve"> Section 4.6</w:t>
      </w:r>
    </w:p>
    <w:p w14:paraId="731D65B0" w14:textId="77777777" w:rsidR="000177D5" w:rsidRPr="00993B55" w:rsidRDefault="000177D5" w:rsidP="007A60F3">
      <w:pPr>
        <w:widowControl w:val="0"/>
        <w:ind w:left="1080"/>
        <w:rPr>
          <w:color w:val="FF0000"/>
        </w:rPr>
      </w:pPr>
      <w:r w:rsidRPr="00993B55">
        <w:rPr>
          <w:color w:val="FF0000"/>
        </w:rPr>
        <w:t xml:space="preserve">Please note, that emergency ICEs </w:t>
      </w:r>
      <w:r w:rsidRPr="00993B55">
        <w:rPr>
          <w:b/>
          <w:color w:val="FF0000"/>
        </w:rPr>
        <w:t>trigger</w:t>
      </w:r>
      <w:r w:rsidRPr="00993B55">
        <w:rPr>
          <w:color w:val="FF0000"/>
        </w:rPr>
        <w:t xml:space="preserve"> offsets (if SSPE2 exceeds offset threshold) but based on NSR exemption, are </w:t>
      </w:r>
      <w:r w:rsidRPr="00993B55">
        <w:rPr>
          <w:b/>
          <w:color w:val="FF0000"/>
        </w:rPr>
        <w:t>exempt</w:t>
      </w:r>
      <w:r w:rsidRPr="00993B55">
        <w:rPr>
          <w:color w:val="FF0000"/>
        </w:rPr>
        <w:t xml:space="preserve"> from providing offsets (</w:t>
      </w:r>
      <w:r w:rsidRPr="00993B55">
        <w:rPr>
          <w:b/>
          <w:color w:val="FF0000"/>
        </w:rPr>
        <w:t>offsets not required</w:t>
      </w:r>
      <w:r w:rsidRPr="00993B55">
        <w:rPr>
          <w:color w:val="FF0000"/>
        </w:rPr>
        <w:t xml:space="preserve">).  </w:t>
      </w:r>
    </w:p>
    <w:p w14:paraId="49D305C0" w14:textId="77777777" w:rsidR="000177D5" w:rsidRPr="00993B55" w:rsidRDefault="000177D5" w:rsidP="007A60F3">
      <w:pPr>
        <w:widowControl w:val="0"/>
        <w:ind w:left="1080"/>
        <w:rPr>
          <w:color w:val="FF0000"/>
        </w:rPr>
      </w:pPr>
    </w:p>
    <w:p w14:paraId="3F90777C" w14:textId="34CDAFD5" w:rsidR="000177D5" w:rsidRPr="00993B55" w:rsidRDefault="000177D5" w:rsidP="007A60F3">
      <w:pPr>
        <w:widowControl w:val="0"/>
        <w:ind w:left="1080"/>
        <w:rPr>
          <w:color w:val="000000"/>
        </w:rPr>
      </w:pPr>
      <w:r w:rsidRPr="00993B55">
        <w:rPr>
          <w:color w:val="FF0000"/>
        </w:rPr>
        <w:t xml:space="preserve">For example, for </w:t>
      </w:r>
      <w:r w:rsidRPr="00993B55">
        <w:rPr>
          <w:b/>
          <w:color w:val="FF0000"/>
        </w:rPr>
        <w:t xml:space="preserve">project only involving equipment exempt from offsets under </w:t>
      </w:r>
      <w:r w:rsidR="00EA3A7C">
        <w:rPr>
          <w:b/>
          <w:color w:val="FF0000"/>
        </w:rPr>
        <w:t>District Rule 2201</w:t>
      </w:r>
      <w:r w:rsidR="00EA3A7C" w:rsidRPr="00993B55">
        <w:rPr>
          <w:b/>
          <w:color w:val="FF0000"/>
        </w:rPr>
        <w:t xml:space="preserve"> </w:t>
      </w:r>
      <w:r w:rsidRPr="00993B55">
        <w:rPr>
          <w:b/>
          <w:color w:val="FF0000"/>
        </w:rPr>
        <w:t>Section 4.6</w:t>
      </w:r>
      <w:r w:rsidRPr="00993B55">
        <w:rPr>
          <w:color w:val="FF0000"/>
        </w:rPr>
        <w:t xml:space="preserve"> (i.e. emergency equipment ICE </w:t>
      </w:r>
      <w:r w:rsidRPr="00993B55">
        <w:rPr>
          <w:b/>
          <w:color w:val="FF0000"/>
          <w:u w:val="single"/>
        </w:rPr>
        <w:t>only)</w:t>
      </w:r>
      <w:r w:rsidRPr="00993B55">
        <w:rPr>
          <w:color w:val="FF0000"/>
        </w:rPr>
        <w:t>, please use the following, otherwise delete</w:t>
      </w:r>
      <w:r w:rsidRPr="00993B55">
        <w:rPr>
          <w:color w:val="000000"/>
        </w:rPr>
        <w:t xml:space="preserve"> </w:t>
      </w:r>
    </w:p>
    <w:p w14:paraId="244496A2" w14:textId="77777777" w:rsidR="000177D5" w:rsidRPr="00993B55" w:rsidRDefault="000177D5" w:rsidP="007A60F3">
      <w:pPr>
        <w:widowControl w:val="0"/>
        <w:ind w:left="1080"/>
        <w:rPr>
          <w:rFonts w:cs="Arial"/>
        </w:rPr>
      </w:pPr>
    </w:p>
    <w:p w14:paraId="7BD73933" w14:textId="59E71078" w:rsidR="000177D5" w:rsidRPr="00993B55" w:rsidRDefault="000177D5" w:rsidP="007A60F3">
      <w:pPr>
        <w:widowControl w:val="0"/>
        <w:ind w:left="1080"/>
        <w:rPr>
          <w:rFonts w:cs="Arial"/>
        </w:rPr>
      </w:pPr>
      <w:r w:rsidRPr="00993B55">
        <w:rPr>
          <w:rFonts w:cs="Arial"/>
        </w:rPr>
        <w:t>As demonstrated above, District offsets are triggered for</w:t>
      </w:r>
      <w:r w:rsidRPr="00993B55">
        <w:rPr>
          <w:rFonts w:cs="Arial"/>
          <w:color w:val="0000FF"/>
        </w:rPr>
        <w:t xml:space="preserve"> SOx, PM10, or PM2.5</w:t>
      </w:r>
      <w:r w:rsidRPr="00993B55">
        <w:rPr>
          <w:rFonts w:cs="Arial"/>
        </w:rPr>
        <w:t xml:space="preserve">, under </w:t>
      </w:r>
      <w:r w:rsidR="00EA3A7C">
        <w:rPr>
          <w:rFonts w:cs="Arial"/>
        </w:rPr>
        <w:t>District Rule 2201</w:t>
      </w:r>
      <w:r w:rsidRPr="00993B55">
        <w:rPr>
          <w:rFonts w:cs="Arial"/>
        </w:rPr>
        <w:t xml:space="preserve">.  </w:t>
      </w:r>
      <w:r w:rsidRPr="00993B55">
        <w:rPr>
          <w:rFonts w:cs="Arial"/>
          <w:szCs w:val="24"/>
        </w:rPr>
        <w:t xml:space="preserve">However, since this project only involves </w:t>
      </w:r>
      <w:r w:rsidRPr="00993B55">
        <w:rPr>
          <w:rFonts w:cs="Arial"/>
          <w:color w:val="0000FF"/>
          <w:szCs w:val="24"/>
        </w:rPr>
        <w:t>emergency IC Engine</w:t>
      </w:r>
      <w:r w:rsidRPr="00993B55">
        <w:rPr>
          <w:rFonts w:cs="Arial"/>
          <w:szCs w:val="24"/>
        </w:rPr>
        <w:t xml:space="preserve">, the </w:t>
      </w:r>
      <w:r w:rsidR="00557048">
        <w:rPr>
          <w:rFonts w:cs="Arial"/>
          <w:szCs w:val="24"/>
        </w:rPr>
        <w:t xml:space="preserve">District </w:t>
      </w:r>
      <w:r w:rsidRPr="00993B55">
        <w:rPr>
          <w:rFonts w:cs="Arial"/>
          <w:szCs w:val="24"/>
        </w:rPr>
        <w:t xml:space="preserve">offset exemption from Section 4.6.2 of District Rule 2201 is applicable to this project.  Therefore, </w:t>
      </w:r>
      <w:r w:rsidR="00557048">
        <w:rPr>
          <w:rFonts w:cs="Arial"/>
          <w:szCs w:val="24"/>
        </w:rPr>
        <w:t xml:space="preserve">District </w:t>
      </w:r>
      <w:r w:rsidRPr="00993B55">
        <w:rPr>
          <w:rFonts w:cs="Arial"/>
          <w:szCs w:val="24"/>
        </w:rPr>
        <w:t>offsets are not required for this project and District offset calculations are not necessary.</w:t>
      </w:r>
    </w:p>
    <w:p w14:paraId="24F44B99" w14:textId="77777777" w:rsidR="001F0D14" w:rsidRPr="00993B55" w:rsidRDefault="001F0D14" w:rsidP="007A60F3">
      <w:pPr>
        <w:widowControl w:val="0"/>
        <w:ind w:left="1080"/>
        <w:rPr>
          <w:color w:val="000000"/>
        </w:rPr>
      </w:pPr>
    </w:p>
    <w:p w14:paraId="6F028043" w14:textId="07E1130D" w:rsidR="00611941" w:rsidRDefault="00611941" w:rsidP="007A60F3">
      <w:pPr>
        <w:widowControl w:val="0"/>
        <w:ind w:left="1080"/>
        <w:rPr>
          <w:rFonts w:cs="Arial"/>
          <w:color w:val="FF0000"/>
        </w:rPr>
      </w:pPr>
      <w:r w:rsidRPr="002322EC">
        <w:rPr>
          <w:rFonts w:cs="Arial"/>
          <w:b/>
          <w:color w:val="FF0000"/>
        </w:rPr>
        <w:t xml:space="preserve">Case </w:t>
      </w:r>
      <w:r w:rsidR="00D12C1D">
        <w:rPr>
          <w:rFonts w:cs="Arial"/>
          <w:b/>
          <w:color w:val="FF0000"/>
        </w:rPr>
        <w:t>D</w:t>
      </w:r>
      <w:r>
        <w:rPr>
          <w:rFonts w:cs="Arial"/>
          <w:color w:val="FF0000"/>
        </w:rPr>
        <w:t>: Offsets triggered and project is not a FMM or NMS, please use the following, otherwise delete</w:t>
      </w:r>
    </w:p>
    <w:p w14:paraId="4DFF6CDF" w14:textId="77777777" w:rsidR="00611941" w:rsidRDefault="00611941" w:rsidP="007A60F3">
      <w:pPr>
        <w:widowControl w:val="0"/>
        <w:ind w:left="1080"/>
        <w:rPr>
          <w:rFonts w:cs="Arial"/>
          <w:color w:val="FF0000"/>
        </w:rPr>
      </w:pPr>
    </w:p>
    <w:p w14:paraId="5B007B74" w14:textId="1DCCCF6E" w:rsidR="00611941" w:rsidRDefault="00611941" w:rsidP="007A60F3">
      <w:pPr>
        <w:widowControl w:val="0"/>
        <w:ind w:left="1080"/>
        <w:rPr>
          <w:rFonts w:cs="Arial"/>
          <w:color w:val="FF0000"/>
        </w:rPr>
      </w:pPr>
      <w:r w:rsidRPr="00993B55">
        <w:rPr>
          <w:b/>
          <w:i/>
          <w:color w:val="FF0000"/>
        </w:rPr>
        <w:t>NOTE:</w:t>
      </w:r>
      <w:r w:rsidRPr="00993B55">
        <w:rPr>
          <w:b/>
          <w:i/>
          <w:color w:val="FF0000"/>
        </w:rPr>
        <w:tab/>
        <w:t xml:space="preserve">When offsets are triggered for several criteria pollutants, </w:t>
      </w:r>
      <w:r w:rsidRPr="00993B55">
        <w:rPr>
          <w:b/>
          <w:i/>
          <w:color w:val="FF0000"/>
          <w:u w:val="single"/>
        </w:rPr>
        <w:t xml:space="preserve">each pollutant must be </w:t>
      </w:r>
      <w:r>
        <w:rPr>
          <w:b/>
          <w:i/>
          <w:color w:val="FF0000"/>
          <w:u w:val="single"/>
        </w:rPr>
        <w:t xml:space="preserve">addressed one by one separately </w:t>
      </w:r>
      <w:r w:rsidRPr="00993B55">
        <w:rPr>
          <w:b/>
          <w:i/>
          <w:color w:val="FF0000"/>
        </w:rPr>
        <w:t xml:space="preserve">(District Offset Quantities Calculation </w:t>
      </w:r>
      <w:r w:rsidR="00BB3002">
        <w:rPr>
          <w:b/>
          <w:i/>
          <w:color w:val="FF0000"/>
        </w:rPr>
        <w:t>thru</w:t>
      </w:r>
      <w:r w:rsidRPr="00993B55">
        <w:rPr>
          <w:b/>
          <w:i/>
          <w:color w:val="FF0000"/>
        </w:rPr>
        <w:t xml:space="preserve"> </w:t>
      </w:r>
      <w:r w:rsidRPr="00993B55">
        <w:rPr>
          <w:b/>
          <w:i/>
          <w:color w:val="FF0000"/>
          <w:spacing w:val="-3"/>
        </w:rPr>
        <w:t>Proposed Rule 2201 Offset Permit Conditions)</w:t>
      </w:r>
      <w:r w:rsidRPr="00993B55">
        <w:rPr>
          <w:b/>
          <w:i/>
          <w:color w:val="FF0000"/>
        </w:rPr>
        <w:t xml:space="preserve"> before addressing the next pollutant.</w:t>
      </w:r>
    </w:p>
    <w:p w14:paraId="3C8D062E" w14:textId="77777777" w:rsidR="00611941" w:rsidRPr="006626FF" w:rsidRDefault="00611941" w:rsidP="007A60F3">
      <w:pPr>
        <w:widowControl w:val="0"/>
        <w:ind w:left="1080"/>
        <w:rPr>
          <w:bCs/>
          <w:color w:val="FF0000"/>
        </w:rPr>
      </w:pPr>
    </w:p>
    <w:p w14:paraId="3160318C" w14:textId="66DE621D" w:rsidR="000177D5" w:rsidRPr="00993B55" w:rsidRDefault="00BE6B54" w:rsidP="007A60F3">
      <w:pPr>
        <w:widowControl w:val="0"/>
        <w:ind w:left="1800" w:hanging="720"/>
        <w:rPr>
          <w:b/>
          <w:color w:val="000000"/>
        </w:rPr>
      </w:pPr>
      <w:r>
        <w:rPr>
          <w:b/>
          <w:color w:val="0000FF"/>
        </w:rPr>
        <w:t>b</w:t>
      </w:r>
      <w:r w:rsidR="000177D5" w:rsidRPr="00993B55">
        <w:rPr>
          <w:b/>
          <w:color w:val="0000FF"/>
        </w:rPr>
        <w:t>.1</w:t>
      </w:r>
      <w:r w:rsidR="000177D5" w:rsidRPr="00993B55">
        <w:rPr>
          <w:b/>
          <w:color w:val="0000FF"/>
        </w:rPr>
        <w:tab/>
      </w:r>
      <w:r w:rsidR="0052578A" w:rsidRPr="00993B55">
        <w:rPr>
          <w:b/>
          <w:color w:val="0000FF"/>
          <w:u w:val="single"/>
        </w:rPr>
        <w:t>NOx</w:t>
      </w:r>
      <w:r w:rsidR="0052578A" w:rsidRPr="00993B55">
        <w:rPr>
          <w:b/>
          <w:color w:val="0000FF"/>
        </w:rPr>
        <w:t xml:space="preserve"> </w:t>
      </w:r>
      <w:r w:rsidR="0052578A" w:rsidRPr="0052578A">
        <w:rPr>
          <w:b/>
          <w:color w:val="FF0000"/>
        </w:rPr>
        <w:t>(</w:t>
      </w:r>
      <w:r w:rsidR="000177D5" w:rsidRPr="0052578A">
        <w:rPr>
          <w:color w:val="FF0000"/>
        </w:rPr>
        <w:t xml:space="preserve">Add </w:t>
      </w:r>
      <w:r w:rsidR="000177D5" w:rsidRPr="00993B55">
        <w:rPr>
          <w:color w:val="FF0000"/>
        </w:rPr>
        <w:t>section as needed to address each pollutant requiring offsets)</w:t>
      </w:r>
    </w:p>
    <w:p w14:paraId="52598B72" w14:textId="77777777" w:rsidR="000177D5" w:rsidRPr="00993B55" w:rsidRDefault="000177D5" w:rsidP="0094053C">
      <w:pPr>
        <w:widowControl w:val="0"/>
        <w:ind w:left="1080"/>
        <w:rPr>
          <w:color w:val="000000"/>
        </w:rPr>
      </w:pPr>
    </w:p>
    <w:p w14:paraId="794CE40A" w14:textId="77777777" w:rsidR="000177D5" w:rsidRPr="00993B55" w:rsidRDefault="000177D5" w:rsidP="007A60F3">
      <w:pPr>
        <w:widowControl w:val="0"/>
        <w:ind w:left="2610" w:hanging="1530"/>
        <w:rPr>
          <w:i/>
          <w:iCs/>
        </w:rPr>
      </w:pPr>
      <w:r w:rsidRPr="00993B55">
        <w:rPr>
          <w:i/>
          <w:iCs/>
          <w:color w:val="FF0000"/>
          <w:u w:val="single"/>
        </w:rPr>
        <w:t xml:space="preserve">Example </w:t>
      </w:r>
      <w:r w:rsidRPr="00993B55">
        <w:rPr>
          <w:b/>
          <w:i/>
          <w:iCs/>
          <w:color w:val="FF0000"/>
          <w:u w:val="single"/>
        </w:rPr>
        <w:t>a</w:t>
      </w:r>
      <w:r w:rsidRPr="00993B55">
        <w:rPr>
          <w:i/>
          <w:iCs/>
          <w:color w:val="FF0000"/>
        </w:rPr>
        <w:t>:</w:t>
      </w:r>
      <w:r w:rsidRPr="00993B55">
        <w:rPr>
          <w:i/>
          <w:iCs/>
          <w:color w:val="FF0000"/>
        </w:rPr>
        <w:tab/>
      </w:r>
      <w:r w:rsidRPr="00993B55">
        <w:rPr>
          <w:b/>
          <w:i/>
          <w:iCs/>
          <w:color w:val="FF0000"/>
        </w:rPr>
        <w:t>Facility with SSPE1 below offset threshold and an emissions increase resulting in SSPE2 exceeding the offset threshold and offsets being triggered for that criteria pollutant</w:t>
      </w:r>
    </w:p>
    <w:p w14:paraId="15D557E2" w14:textId="77777777" w:rsidR="000177D5" w:rsidRPr="00993B55" w:rsidRDefault="000177D5" w:rsidP="0094053C">
      <w:pPr>
        <w:widowControl w:val="0"/>
        <w:autoSpaceDE w:val="0"/>
        <w:autoSpaceDN w:val="0"/>
        <w:adjustRightInd w:val="0"/>
        <w:ind w:left="1080"/>
        <w:rPr>
          <w:rFonts w:cs="Arial"/>
        </w:rPr>
      </w:pPr>
    </w:p>
    <w:p w14:paraId="34994382" w14:textId="6DD0C2A8" w:rsidR="000177D5" w:rsidRPr="00993B55" w:rsidRDefault="000177D5" w:rsidP="007A60F3">
      <w:pPr>
        <w:widowControl w:val="0"/>
        <w:autoSpaceDE w:val="0"/>
        <w:autoSpaceDN w:val="0"/>
        <w:adjustRightInd w:val="0"/>
        <w:ind w:left="1080"/>
        <w:rPr>
          <w:rFonts w:cs="Arial"/>
        </w:rPr>
      </w:pPr>
      <w:r w:rsidRPr="00993B55">
        <w:rPr>
          <w:rFonts w:cs="Arial"/>
        </w:rPr>
        <w:t xml:space="preserve">As demonstrated above, for </w:t>
      </w:r>
      <w:r w:rsidR="008C4152">
        <w:rPr>
          <w:rFonts w:cs="Arial"/>
          <w:color w:val="0000FF"/>
        </w:rPr>
        <w:t>NOx</w:t>
      </w:r>
      <w:r w:rsidRPr="00993B55">
        <w:rPr>
          <w:rFonts w:cs="Arial"/>
        </w:rPr>
        <w:t>, the SSPE1 is below the offset threshold while the SSPE2 is greater than the offset thresholds for that pollutant.  Therefore</w:t>
      </w:r>
      <w:r w:rsidR="000063C5">
        <w:rPr>
          <w:rFonts w:cs="Arial"/>
        </w:rPr>
        <w:t>,</w:t>
      </w:r>
      <w:r w:rsidRPr="00993B55">
        <w:rPr>
          <w:rFonts w:cs="Arial"/>
        </w:rPr>
        <w:t xml:space="preserve"> offset calculations will be required for this project.</w:t>
      </w:r>
    </w:p>
    <w:p w14:paraId="76BF93DC" w14:textId="77777777" w:rsidR="000177D5" w:rsidRPr="00993B55" w:rsidRDefault="000177D5" w:rsidP="007A60F3">
      <w:pPr>
        <w:widowControl w:val="0"/>
        <w:autoSpaceDE w:val="0"/>
        <w:autoSpaceDN w:val="0"/>
        <w:adjustRightInd w:val="0"/>
        <w:ind w:left="1080"/>
        <w:rPr>
          <w:szCs w:val="24"/>
        </w:rPr>
      </w:pPr>
    </w:p>
    <w:p w14:paraId="2E98639F" w14:textId="349B5DB6" w:rsidR="000177D5" w:rsidRPr="00993B55" w:rsidRDefault="000177D5" w:rsidP="007A60F3">
      <w:pPr>
        <w:widowControl w:val="0"/>
        <w:autoSpaceDE w:val="0"/>
        <w:autoSpaceDN w:val="0"/>
        <w:adjustRightInd w:val="0"/>
        <w:ind w:left="1080"/>
      </w:pPr>
      <w:r w:rsidRPr="00993B55">
        <w:t xml:space="preserve">The quantity of offsets in pounds per year for </w:t>
      </w:r>
      <w:r w:rsidR="008C4152">
        <w:rPr>
          <w:rFonts w:cs="Arial"/>
          <w:color w:val="0000FF"/>
        </w:rPr>
        <w:t>NOx</w:t>
      </w:r>
      <w:r w:rsidR="008C4152" w:rsidRPr="00993B55">
        <w:t xml:space="preserve"> </w:t>
      </w:r>
      <w:r w:rsidRPr="00993B55">
        <w:t>is calculated as follows for sources with an SSPE1 less than the offset threshold levels before implementing the project being evaluated.</w:t>
      </w:r>
    </w:p>
    <w:p w14:paraId="2732989D" w14:textId="77777777" w:rsidR="000177D5" w:rsidRPr="00993B55" w:rsidRDefault="000177D5" w:rsidP="007A60F3">
      <w:pPr>
        <w:widowControl w:val="0"/>
        <w:autoSpaceDE w:val="0"/>
        <w:autoSpaceDN w:val="0"/>
        <w:adjustRightInd w:val="0"/>
        <w:ind w:left="1080"/>
      </w:pPr>
    </w:p>
    <w:p w14:paraId="5B158E4F" w14:textId="77777777" w:rsidR="000177D5" w:rsidRPr="00993B55" w:rsidRDefault="000177D5" w:rsidP="007A60F3">
      <w:pPr>
        <w:widowControl w:val="0"/>
        <w:autoSpaceDE w:val="0"/>
        <w:autoSpaceDN w:val="0"/>
        <w:adjustRightInd w:val="0"/>
        <w:ind w:left="1080"/>
        <w:rPr>
          <w:szCs w:val="24"/>
        </w:rPr>
      </w:pPr>
      <w:r w:rsidRPr="00993B55">
        <w:rPr>
          <w:szCs w:val="24"/>
        </w:rPr>
        <w:t>Offsets Required (lb/year) = [(SSPE2 – ROT + ICCE) x DOR]</w:t>
      </w:r>
    </w:p>
    <w:p w14:paraId="65014D48" w14:textId="77777777" w:rsidR="000177D5" w:rsidRPr="00993B55" w:rsidRDefault="000177D5" w:rsidP="007A60F3">
      <w:pPr>
        <w:widowControl w:val="0"/>
        <w:autoSpaceDE w:val="0"/>
        <w:autoSpaceDN w:val="0"/>
        <w:adjustRightInd w:val="0"/>
        <w:ind w:left="1080"/>
        <w:rPr>
          <w:szCs w:val="24"/>
        </w:rPr>
      </w:pPr>
    </w:p>
    <w:p w14:paraId="7DFEA229" w14:textId="77777777" w:rsidR="000177D5" w:rsidRPr="00993B55" w:rsidRDefault="000177D5" w:rsidP="007A60F3">
      <w:pPr>
        <w:widowControl w:val="0"/>
        <w:autoSpaceDE w:val="0"/>
        <w:autoSpaceDN w:val="0"/>
        <w:adjustRightInd w:val="0"/>
        <w:ind w:left="1440"/>
        <w:rPr>
          <w:szCs w:val="24"/>
        </w:rPr>
      </w:pPr>
      <w:r w:rsidRPr="00993B55">
        <w:rPr>
          <w:szCs w:val="24"/>
        </w:rPr>
        <w:t>Where,</w:t>
      </w:r>
    </w:p>
    <w:p w14:paraId="2CA00B63" w14:textId="77777777" w:rsidR="000177D5" w:rsidRPr="00993B55" w:rsidRDefault="000177D5" w:rsidP="007A60F3">
      <w:pPr>
        <w:widowControl w:val="0"/>
        <w:tabs>
          <w:tab w:val="left" w:pos="2520"/>
        </w:tabs>
        <w:autoSpaceDE w:val="0"/>
        <w:autoSpaceDN w:val="0"/>
        <w:adjustRightInd w:val="0"/>
        <w:ind w:left="1440"/>
        <w:rPr>
          <w:szCs w:val="24"/>
        </w:rPr>
      </w:pPr>
      <w:r w:rsidRPr="00993B55">
        <w:rPr>
          <w:szCs w:val="24"/>
        </w:rPr>
        <w:t xml:space="preserve">SSPE2 </w:t>
      </w:r>
      <w:r w:rsidRPr="00993B55">
        <w:rPr>
          <w:szCs w:val="24"/>
        </w:rPr>
        <w:tab/>
        <w:t>= Post-Project Stationary Source Potential to Emit</w:t>
      </w:r>
    </w:p>
    <w:p w14:paraId="12E19E9F" w14:textId="3FF6DB0B" w:rsidR="000177D5" w:rsidRPr="00993B55" w:rsidRDefault="000177D5" w:rsidP="007A60F3">
      <w:pPr>
        <w:widowControl w:val="0"/>
        <w:autoSpaceDE w:val="0"/>
        <w:autoSpaceDN w:val="0"/>
        <w:adjustRightInd w:val="0"/>
        <w:ind w:left="2520" w:hanging="1080"/>
        <w:rPr>
          <w:strike/>
          <w:szCs w:val="24"/>
        </w:rPr>
      </w:pPr>
      <w:r w:rsidRPr="00993B55">
        <w:rPr>
          <w:szCs w:val="24"/>
        </w:rPr>
        <w:lastRenderedPageBreak/>
        <w:t xml:space="preserve">ROT </w:t>
      </w:r>
      <w:r w:rsidRPr="00993B55">
        <w:rPr>
          <w:szCs w:val="24"/>
        </w:rPr>
        <w:tab/>
        <w:t>=</w:t>
      </w:r>
      <w:r w:rsidR="0049208F">
        <w:rPr>
          <w:szCs w:val="24"/>
        </w:rPr>
        <w:t xml:space="preserve"> </w:t>
      </w:r>
      <w:r w:rsidRPr="00993B55">
        <w:rPr>
          <w:szCs w:val="24"/>
        </w:rPr>
        <w:t>Respective Offset Threshold, for the respective pollutant</w:t>
      </w:r>
    </w:p>
    <w:p w14:paraId="748F0270" w14:textId="40B3A23E" w:rsidR="000177D5" w:rsidRPr="00993B55" w:rsidRDefault="000177D5" w:rsidP="007A60F3">
      <w:pPr>
        <w:widowControl w:val="0"/>
        <w:tabs>
          <w:tab w:val="left" w:pos="2520"/>
        </w:tabs>
        <w:autoSpaceDE w:val="0"/>
        <w:autoSpaceDN w:val="0"/>
        <w:adjustRightInd w:val="0"/>
        <w:ind w:left="1440"/>
        <w:rPr>
          <w:szCs w:val="24"/>
        </w:rPr>
      </w:pPr>
      <w:r w:rsidRPr="00993B55">
        <w:rPr>
          <w:szCs w:val="24"/>
        </w:rPr>
        <w:t>ICCE</w:t>
      </w:r>
      <w:r w:rsidRPr="00993B55">
        <w:rPr>
          <w:szCs w:val="24"/>
        </w:rPr>
        <w:tab/>
        <w:t>=</w:t>
      </w:r>
      <w:r w:rsidR="0049208F">
        <w:rPr>
          <w:szCs w:val="24"/>
        </w:rPr>
        <w:t xml:space="preserve"> </w:t>
      </w:r>
      <w:r w:rsidRPr="00993B55">
        <w:rPr>
          <w:szCs w:val="24"/>
        </w:rPr>
        <w:t>Increase in Cargo Carrier Emissions</w:t>
      </w:r>
    </w:p>
    <w:p w14:paraId="2D5D8A3C" w14:textId="141D2EAE" w:rsidR="000177D5" w:rsidRPr="00993B55" w:rsidRDefault="000177D5" w:rsidP="007A60F3">
      <w:pPr>
        <w:widowControl w:val="0"/>
        <w:tabs>
          <w:tab w:val="left" w:pos="2520"/>
        </w:tabs>
        <w:autoSpaceDE w:val="0"/>
        <w:autoSpaceDN w:val="0"/>
        <w:adjustRightInd w:val="0"/>
        <w:ind w:left="1440"/>
      </w:pPr>
      <w:r w:rsidRPr="00993B55">
        <w:rPr>
          <w:szCs w:val="24"/>
        </w:rPr>
        <w:t xml:space="preserve">DOR </w:t>
      </w:r>
      <w:r w:rsidRPr="00993B55">
        <w:rPr>
          <w:szCs w:val="24"/>
        </w:rPr>
        <w:tab/>
        <w:t>=</w:t>
      </w:r>
      <w:r w:rsidR="0049208F">
        <w:rPr>
          <w:szCs w:val="24"/>
        </w:rPr>
        <w:t xml:space="preserve"> </w:t>
      </w:r>
      <w:r w:rsidRPr="00993B55">
        <w:rPr>
          <w:szCs w:val="24"/>
        </w:rPr>
        <w:t>Distance Offset Ratio, determined pursuant to Section 4.</w:t>
      </w:r>
      <w:r w:rsidR="0010079F">
        <w:rPr>
          <w:szCs w:val="24"/>
        </w:rPr>
        <w:t>9</w:t>
      </w:r>
    </w:p>
    <w:p w14:paraId="788CE9E6" w14:textId="77777777" w:rsidR="000177D5" w:rsidRPr="00993B55" w:rsidRDefault="000177D5" w:rsidP="0094053C">
      <w:pPr>
        <w:widowControl w:val="0"/>
        <w:ind w:left="1080"/>
        <w:rPr>
          <w:color w:val="000000"/>
        </w:rPr>
      </w:pPr>
    </w:p>
    <w:p w14:paraId="50F60F0B" w14:textId="3E947DA9" w:rsidR="000177D5" w:rsidRPr="00993B55" w:rsidRDefault="000177D5" w:rsidP="007A60F3">
      <w:pPr>
        <w:widowControl w:val="0"/>
        <w:ind w:left="1080"/>
        <w:rPr>
          <w:b/>
          <w:color w:val="FF0000"/>
          <w:szCs w:val="24"/>
        </w:rPr>
      </w:pPr>
      <w:r w:rsidRPr="00993B55">
        <w:rPr>
          <w:b/>
          <w:color w:val="FF0000"/>
          <w:szCs w:val="24"/>
        </w:rPr>
        <w:t xml:space="preserve">Cargo Carrier Emissions:  </w:t>
      </w:r>
    </w:p>
    <w:p w14:paraId="0AAC07D2" w14:textId="406D3DAD" w:rsidR="000177D5" w:rsidRPr="00993B55" w:rsidRDefault="000177D5" w:rsidP="007A60F3">
      <w:pPr>
        <w:widowControl w:val="0"/>
        <w:ind w:left="1080"/>
        <w:rPr>
          <w:i/>
          <w:color w:val="000000"/>
        </w:rPr>
      </w:pPr>
      <w:r w:rsidRPr="00993B55">
        <w:rPr>
          <w:i/>
          <w:color w:val="FF0000"/>
        </w:rPr>
        <w:t xml:space="preserve">It is very important to accurately account for any increases in </w:t>
      </w:r>
      <w:r w:rsidRPr="00993B55">
        <w:rPr>
          <w:b/>
          <w:i/>
          <w:color w:val="FF0000"/>
        </w:rPr>
        <w:t>Cargo Carrier</w:t>
      </w:r>
      <w:r w:rsidRPr="00993B55">
        <w:rPr>
          <w:i/>
          <w:color w:val="FF0000"/>
        </w:rPr>
        <w:t xml:space="preserve"> emissions when determining the quantity of offsets required.  Please </w:t>
      </w:r>
      <w:r w:rsidR="003708DF" w:rsidRPr="00505E9F">
        <w:rPr>
          <w:i/>
          <w:color w:val="FF0000"/>
        </w:rPr>
        <w:t>follow District practice</w:t>
      </w:r>
      <w:r w:rsidRPr="00993B55">
        <w:rPr>
          <w:i/>
          <w:color w:val="FF0000"/>
        </w:rPr>
        <w:t xml:space="preserve"> when evaluating cargo carrier emission increases as well as a list of stationary sources with known cargo carrier equipment.</w:t>
      </w:r>
    </w:p>
    <w:p w14:paraId="04B4A935" w14:textId="77777777" w:rsidR="000177D5" w:rsidRPr="00993B55" w:rsidRDefault="000177D5" w:rsidP="007A60F3">
      <w:pPr>
        <w:widowControl w:val="0"/>
        <w:ind w:left="1080"/>
      </w:pPr>
    </w:p>
    <w:p w14:paraId="21CC0649" w14:textId="77777777" w:rsidR="000177D5" w:rsidRPr="00993B55" w:rsidRDefault="000177D5" w:rsidP="007A60F3">
      <w:pPr>
        <w:widowControl w:val="0"/>
        <w:autoSpaceDE w:val="0"/>
        <w:autoSpaceDN w:val="0"/>
        <w:adjustRightInd w:val="0"/>
        <w:ind w:left="1080"/>
        <w:rPr>
          <w:color w:val="FF0000"/>
        </w:rPr>
      </w:pPr>
      <w:r w:rsidRPr="00993B55">
        <w:rPr>
          <w:color w:val="FF0000"/>
        </w:rPr>
        <w:t>With Emergency Equipment (Otherwise delete)</w:t>
      </w:r>
    </w:p>
    <w:p w14:paraId="2B19E28E" w14:textId="65769C13" w:rsidR="000177D5" w:rsidRPr="00993B55" w:rsidRDefault="000177D5" w:rsidP="007A60F3">
      <w:pPr>
        <w:widowControl w:val="0"/>
        <w:autoSpaceDE w:val="0"/>
        <w:autoSpaceDN w:val="0"/>
        <w:adjustRightInd w:val="0"/>
        <w:ind w:left="1080"/>
      </w:pPr>
      <w:r w:rsidRPr="00993B55">
        <w:t xml:space="preserve">Emergency equipment that is used exclusively as emergency standby equipment for electrical power generation or any other emergency equipment as approved by the APCO that does not operate more than 200 hours per year of non-emergency purposes and is not used pursuant to voluntary arrangements with a power supplier to curtail power, is exempt from providing emission offsets.  Therefore, permit unit </w:t>
      </w:r>
      <w:r w:rsidR="00316872">
        <w:rPr>
          <w:color w:val="0000FF"/>
        </w:rPr>
        <w:t>X</w:t>
      </w:r>
      <w:r w:rsidRPr="00993B55">
        <w:rPr>
          <w:color w:val="0000FF"/>
        </w:rPr>
        <w:t>-XXXX-</w:t>
      </w:r>
      <w:r w:rsidR="00F704D6">
        <w:rPr>
          <w:color w:val="0000FF"/>
        </w:rPr>
        <w:t>X</w:t>
      </w:r>
      <w:r w:rsidRPr="00993B55">
        <w:rPr>
          <w:color w:val="0000FF"/>
        </w:rPr>
        <w:t>-</w:t>
      </w:r>
      <w:r w:rsidR="00F704D6">
        <w:rPr>
          <w:color w:val="0000FF"/>
        </w:rPr>
        <w:t>X</w:t>
      </w:r>
      <w:r w:rsidRPr="00993B55">
        <w:rPr>
          <w:color w:val="0000FF"/>
        </w:rPr>
        <w:t xml:space="preserve"> </w:t>
      </w:r>
      <w:r w:rsidRPr="00993B55">
        <w:t>will be exempt from providing offsets and the emissions associated with this permit unit contributing to the SSPE2 should be removed prior to calculating actual offset amounts.</w:t>
      </w:r>
    </w:p>
    <w:p w14:paraId="1B1538BB" w14:textId="77777777" w:rsidR="000177D5" w:rsidRPr="00993B55" w:rsidRDefault="000177D5" w:rsidP="007A60F3">
      <w:pPr>
        <w:widowControl w:val="0"/>
        <w:autoSpaceDE w:val="0"/>
        <w:autoSpaceDN w:val="0"/>
        <w:adjustRightInd w:val="0"/>
        <w:ind w:left="1080"/>
      </w:pPr>
    </w:p>
    <w:p w14:paraId="182E1AEE" w14:textId="77777777" w:rsidR="000177D5" w:rsidRPr="00993B55" w:rsidRDefault="000177D5" w:rsidP="007A60F3">
      <w:pPr>
        <w:widowControl w:val="0"/>
        <w:autoSpaceDE w:val="0"/>
        <w:autoSpaceDN w:val="0"/>
        <w:adjustRightInd w:val="0"/>
        <w:ind w:left="1080"/>
        <w:rPr>
          <w:szCs w:val="24"/>
        </w:rPr>
      </w:pPr>
      <w:r w:rsidRPr="00993B55">
        <w:rPr>
          <w:szCs w:val="24"/>
        </w:rPr>
        <w:t>Offsets Required (lb/year) = [(SSPE2 – Emergency Equipment – ROT + ICCE) x DOR]</w:t>
      </w:r>
    </w:p>
    <w:p w14:paraId="3BCBCA64" w14:textId="77777777" w:rsidR="000177D5" w:rsidRPr="006626FF" w:rsidRDefault="000177D5" w:rsidP="007A60F3">
      <w:pPr>
        <w:widowControl w:val="0"/>
        <w:tabs>
          <w:tab w:val="left" w:pos="3600"/>
        </w:tabs>
        <w:ind w:left="1080"/>
      </w:pPr>
    </w:p>
    <w:p w14:paraId="1420456F" w14:textId="3C7BDEF6" w:rsidR="000177D5" w:rsidRPr="00993B55" w:rsidRDefault="000177D5" w:rsidP="007A60F3">
      <w:pPr>
        <w:widowControl w:val="0"/>
        <w:tabs>
          <w:tab w:val="left" w:pos="4050"/>
        </w:tabs>
        <w:ind w:left="1440"/>
      </w:pPr>
      <w:r w:rsidRPr="00993B55">
        <w:t>SSPE2 (</w:t>
      </w:r>
      <w:r w:rsidRPr="008D4E68">
        <w:rPr>
          <w:color w:val="0000FF"/>
        </w:rPr>
        <w:t>NO</w:t>
      </w:r>
      <w:r w:rsidR="0030728A" w:rsidRPr="008D4E68">
        <w:rPr>
          <w:color w:val="0000FF"/>
        </w:rPr>
        <w:t>x</w:t>
      </w:r>
      <w:r w:rsidRPr="00993B55">
        <w:t>)</w:t>
      </w:r>
      <w:r w:rsidRPr="00993B55">
        <w:tab/>
        <w:t xml:space="preserve">= </w:t>
      </w:r>
      <w:r w:rsidR="00F704D6">
        <w:rPr>
          <w:color w:val="0000FF"/>
        </w:rPr>
        <w:t>X,XXX</w:t>
      </w:r>
      <w:r w:rsidRPr="00993B55">
        <w:rPr>
          <w:color w:val="0000FF"/>
        </w:rPr>
        <w:t xml:space="preserve"> </w:t>
      </w:r>
      <w:r w:rsidRPr="00993B55">
        <w:t>lb/year</w:t>
      </w:r>
    </w:p>
    <w:p w14:paraId="35146467" w14:textId="01A6B682" w:rsidR="000177D5" w:rsidRPr="00993B55" w:rsidRDefault="00F704D6" w:rsidP="007A60F3">
      <w:pPr>
        <w:widowControl w:val="0"/>
        <w:tabs>
          <w:tab w:val="left" w:pos="4050"/>
        </w:tabs>
        <w:ind w:left="1440"/>
      </w:pPr>
      <w:r w:rsidRPr="00F704D6">
        <w:rPr>
          <w:color w:val="0000FF"/>
        </w:rPr>
        <w:t>X</w:t>
      </w:r>
      <w:r w:rsidR="000177D5" w:rsidRPr="00F704D6">
        <w:rPr>
          <w:color w:val="0000FF"/>
        </w:rPr>
        <w:t>-XXXX-</w:t>
      </w:r>
      <w:r w:rsidRPr="00F704D6">
        <w:rPr>
          <w:color w:val="0000FF"/>
        </w:rPr>
        <w:t>X</w:t>
      </w:r>
      <w:r w:rsidR="000177D5" w:rsidRPr="00F704D6">
        <w:rPr>
          <w:color w:val="0000FF"/>
        </w:rPr>
        <w:t>-</w:t>
      </w:r>
      <w:r w:rsidRPr="00F704D6">
        <w:rPr>
          <w:color w:val="0000FF"/>
        </w:rPr>
        <w:t>X</w:t>
      </w:r>
      <w:r w:rsidR="000177D5" w:rsidRPr="00993B55">
        <w:t xml:space="preserve"> (</w:t>
      </w:r>
      <w:r w:rsidR="000177D5" w:rsidRPr="00993B55">
        <w:rPr>
          <w:color w:val="0000FF"/>
        </w:rPr>
        <w:t>NO</w:t>
      </w:r>
      <w:r w:rsidR="0030728A">
        <w:rPr>
          <w:color w:val="0000FF"/>
        </w:rPr>
        <w:t>x</w:t>
      </w:r>
      <w:r w:rsidR="000177D5" w:rsidRPr="00993B55">
        <w:t>)</w:t>
      </w:r>
      <w:r w:rsidR="000177D5" w:rsidRPr="00993B55">
        <w:tab/>
        <w:t xml:space="preserve">= </w:t>
      </w:r>
      <w:r>
        <w:rPr>
          <w:color w:val="0000FF"/>
        </w:rPr>
        <w:t>X,XXX</w:t>
      </w:r>
      <w:r w:rsidR="000177D5" w:rsidRPr="00993B55">
        <w:rPr>
          <w:color w:val="0000FF"/>
        </w:rPr>
        <w:t xml:space="preserve"> </w:t>
      </w:r>
      <w:r w:rsidR="000177D5" w:rsidRPr="00993B55">
        <w:t>lb/year</w:t>
      </w:r>
    </w:p>
    <w:p w14:paraId="6A5C9C48" w14:textId="31842366" w:rsidR="000177D5" w:rsidRPr="00993B55" w:rsidRDefault="000177D5" w:rsidP="007A60F3">
      <w:pPr>
        <w:widowControl w:val="0"/>
        <w:tabs>
          <w:tab w:val="left" w:pos="4050"/>
        </w:tabs>
        <w:ind w:left="1440"/>
      </w:pPr>
      <w:r w:rsidRPr="00993B55">
        <w:t>Offset threshold (</w:t>
      </w:r>
      <w:r w:rsidRPr="00993B55">
        <w:rPr>
          <w:color w:val="0000FF"/>
        </w:rPr>
        <w:t>NO</w:t>
      </w:r>
      <w:r w:rsidR="0030728A">
        <w:rPr>
          <w:color w:val="0000FF"/>
        </w:rPr>
        <w:t>x</w:t>
      </w:r>
      <w:r w:rsidRPr="00993B55">
        <w:t>)</w:t>
      </w:r>
      <w:r w:rsidRPr="00993B55">
        <w:tab/>
        <w:t xml:space="preserve">= </w:t>
      </w:r>
      <w:r w:rsidRPr="00993B55">
        <w:rPr>
          <w:color w:val="0000FF"/>
        </w:rPr>
        <w:t xml:space="preserve">20,000 </w:t>
      </w:r>
      <w:r w:rsidRPr="00993B55">
        <w:t>lb/year</w:t>
      </w:r>
    </w:p>
    <w:p w14:paraId="7DE46054" w14:textId="47C980DA" w:rsidR="000177D5" w:rsidRPr="00993B55" w:rsidRDefault="000177D5" w:rsidP="007A60F3">
      <w:pPr>
        <w:widowControl w:val="0"/>
        <w:tabs>
          <w:tab w:val="left" w:pos="4050"/>
        </w:tabs>
        <w:ind w:left="1440"/>
      </w:pPr>
      <w:r w:rsidRPr="00993B55">
        <w:t xml:space="preserve">ICCE </w:t>
      </w:r>
      <w:r w:rsidRPr="00993B55">
        <w:tab/>
        <w:t xml:space="preserve">= </w:t>
      </w:r>
      <w:r w:rsidR="00623599">
        <w:rPr>
          <w:color w:val="0000FF"/>
        </w:rPr>
        <w:t>0</w:t>
      </w:r>
      <w:r w:rsidR="00F704D6" w:rsidRPr="00993B55">
        <w:rPr>
          <w:color w:val="0000FF"/>
        </w:rPr>
        <w:t xml:space="preserve"> </w:t>
      </w:r>
      <w:r w:rsidRPr="00993B55">
        <w:t>lb/year</w:t>
      </w:r>
    </w:p>
    <w:p w14:paraId="3D505F1E" w14:textId="77777777" w:rsidR="000177D5" w:rsidRPr="00993B55" w:rsidRDefault="000177D5" w:rsidP="0094053C">
      <w:pPr>
        <w:widowControl w:val="0"/>
        <w:autoSpaceDE w:val="0"/>
        <w:autoSpaceDN w:val="0"/>
        <w:adjustRightInd w:val="0"/>
        <w:ind w:left="1080"/>
      </w:pPr>
    </w:p>
    <w:p w14:paraId="4F5DCB41" w14:textId="46957541" w:rsidR="000177D5" w:rsidRPr="00993B55" w:rsidRDefault="000177D5" w:rsidP="007A60F3">
      <w:pPr>
        <w:widowControl w:val="0"/>
        <w:autoSpaceDE w:val="0"/>
        <w:autoSpaceDN w:val="0"/>
        <w:adjustRightInd w:val="0"/>
        <w:ind w:left="1080"/>
        <w:rPr>
          <w:color w:val="0000FF"/>
        </w:rPr>
      </w:pPr>
      <w:r w:rsidRPr="00993B55">
        <w:rPr>
          <w:color w:val="0000FF"/>
        </w:rPr>
        <w:t>Based on the ERC being proposed to satisfy offset requirements, the offset ratio is 1:1 or 1.2:1 or 1.3:1 or 1.5:1, the amount of NO</w:t>
      </w:r>
      <w:r w:rsidR="0030728A">
        <w:rPr>
          <w:color w:val="0000FF"/>
        </w:rPr>
        <w:t>x</w:t>
      </w:r>
      <w:r w:rsidRPr="00993B55">
        <w:rPr>
          <w:color w:val="0000FF"/>
        </w:rPr>
        <w:t xml:space="preserve"> ERCs that need to be withdrawn is:</w:t>
      </w:r>
    </w:p>
    <w:p w14:paraId="50409D52" w14:textId="77777777" w:rsidR="000177D5" w:rsidRPr="00993B55" w:rsidRDefault="000177D5" w:rsidP="007A60F3">
      <w:pPr>
        <w:widowControl w:val="0"/>
        <w:autoSpaceDE w:val="0"/>
        <w:autoSpaceDN w:val="0"/>
        <w:adjustRightInd w:val="0"/>
        <w:ind w:left="1080"/>
        <w:rPr>
          <w:color w:val="0000FF"/>
        </w:rPr>
      </w:pPr>
    </w:p>
    <w:p w14:paraId="59E041AF" w14:textId="508C11B4" w:rsidR="000177D5" w:rsidRPr="00993B55" w:rsidRDefault="000177D5" w:rsidP="007A60F3">
      <w:pPr>
        <w:widowControl w:val="0"/>
        <w:tabs>
          <w:tab w:val="left" w:pos="3960"/>
        </w:tabs>
        <w:autoSpaceDE w:val="0"/>
        <w:autoSpaceDN w:val="0"/>
        <w:adjustRightInd w:val="0"/>
        <w:ind w:left="1080"/>
        <w:rPr>
          <w:color w:val="0000FF"/>
          <w:szCs w:val="24"/>
        </w:rPr>
      </w:pPr>
      <w:r w:rsidRPr="008D4E68">
        <w:rPr>
          <w:szCs w:val="24"/>
        </w:rPr>
        <w:t>Offsets Required (lb/year)</w:t>
      </w:r>
      <w:r w:rsidRPr="008D4E68">
        <w:rPr>
          <w:szCs w:val="24"/>
        </w:rPr>
        <w:tab/>
        <w:t xml:space="preserve">= </w:t>
      </w:r>
      <w:r w:rsidRPr="00993B55">
        <w:rPr>
          <w:color w:val="0000FF"/>
          <w:szCs w:val="24"/>
        </w:rPr>
        <w:t>[(</w:t>
      </w:r>
      <w:r w:rsidR="001D32E2">
        <w:rPr>
          <w:color w:val="0000FF"/>
        </w:rPr>
        <w:t>X,XXX</w:t>
      </w:r>
      <w:r w:rsidRPr="00993B55">
        <w:rPr>
          <w:color w:val="0000FF"/>
        </w:rPr>
        <w:t xml:space="preserve"> </w:t>
      </w:r>
      <w:r w:rsidRPr="00993B55">
        <w:rPr>
          <w:color w:val="0000FF"/>
          <w:szCs w:val="24"/>
        </w:rPr>
        <w:t xml:space="preserve">– </w:t>
      </w:r>
      <w:r w:rsidR="001D32E2">
        <w:rPr>
          <w:color w:val="0000FF"/>
        </w:rPr>
        <w:t>X,XXX</w:t>
      </w:r>
      <w:r w:rsidRPr="00993B55">
        <w:rPr>
          <w:color w:val="0000FF"/>
        </w:rPr>
        <w:t xml:space="preserve"> </w:t>
      </w:r>
      <w:r w:rsidRPr="00AE1EDF">
        <w:rPr>
          <w:szCs w:val="24"/>
        </w:rPr>
        <w:t xml:space="preserve">– 20,000 + </w:t>
      </w:r>
      <w:r w:rsidRPr="00993B55">
        <w:rPr>
          <w:color w:val="0000FF"/>
          <w:szCs w:val="24"/>
        </w:rPr>
        <w:t xml:space="preserve">0) </w:t>
      </w:r>
      <w:r w:rsidRPr="00AE1EDF">
        <w:rPr>
          <w:szCs w:val="24"/>
        </w:rPr>
        <w:t>x DOR</w:t>
      </w:r>
      <w:r w:rsidRPr="00993B55">
        <w:rPr>
          <w:color w:val="0000FF"/>
          <w:szCs w:val="24"/>
        </w:rPr>
        <w:t>]</w:t>
      </w:r>
    </w:p>
    <w:p w14:paraId="0B44A9D3" w14:textId="3AFD7FB9" w:rsidR="000177D5" w:rsidRPr="00993B55" w:rsidRDefault="000177D5" w:rsidP="007A60F3">
      <w:pPr>
        <w:widowControl w:val="0"/>
        <w:tabs>
          <w:tab w:val="left" w:pos="3960"/>
        </w:tabs>
        <w:autoSpaceDE w:val="0"/>
        <w:autoSpaceDN w:val="0"/>
        <w:adjustRightInd w:val="0"/>
        <w:ind w:left="720"/>
        <w:rPr>
          <w:color w:val="0000FF"/>
          <w:szCs w:val="24"/>
        </w:rPr>
      </w:pPr>
      <w:r w:rsidRPr="008D4E68">
        <w:rPr>
          <w:szCs w:val="24"/>
        </w:rPr>
        <w:tab/>
        <w:t>=</w:t>
      </w:r>
      <w:r w:rsidRPr="00993B55">
        <w:rPr>
          <w:color w:val="0000FF"/>
          <w:szCs w:val="24"/>
        </w:rPr>
        <w:t xml:space="preserve"> </w:t>
      </w:r>
      <w:r w:rsidR="001D32E2">
        <w:rPr>
          <w:color w:val="0000FF"/>
        </w:rPr>
        <w:t>X,XXX</w:t>
      </w:r>
      <w:r w:rsidRPr="00993B55">
        <w:rPr>
          <w:color w:val="0000FF"/>
        </w:rPr>
        <w:t xml:space="preserve"> </w:t>
      </w:r>
      <w:r w:rsidRPr="00AE1EDF">
        <w:rPr>
          <w:szCs w:val="24"/>
        </w:rPr>
        <w:t>x DOR</w:t>
      </w:r>
    </w:p>
    <w:p w14:paraId="6433AF8F" w14:textId="30B7FE13" w:rsidR="000177D5" w:rsidRPr="008D4E68" w:rsidRDefault="000177D5" w:rsidP="007A60F3">
      <w:pPr>
        <w:widowControl w:val="0"/>
        <w:tabs>
          <w:tab w:val="left" w:pos="3960"/>
        </w:tabs>
        <w:autoSpaceDE w:val="0"/>
        <w:autoSpaceDN w:val="0"/>
        <w:adjustRightInd w:val="0"/>
        <w:ind w:left="720"/>
      </w:pPr>
      <w:r w:rsidRPr="008D4E68">
        <w:rPr>
          <w:szCs w:val="24"/>
        </w:rPr>
        <w:tab/>
        <w:t xml:space="preserve">= </w:t>
      </w:r>
      <w:r w:rsidR="008D4E68">
        <w:rPr>
          <w:color w:val="0000FF"/>
        </w:rPr>
        <w:t>X,XXX</w:t>
      </w:r>
      <w:r w:rsidR="008D4E68" w:rsidRPr="00993B55">
        <w:rPr>
          <w:color w:val="0000FF"/>
        </w:rPr>
        <w:t xml:space="preserve"> </w:t>
      </w:r>
      <w:r w:rsidRPr="008D4E68">
        <w:rPr>
          <w:szCs w:val="24"/>
        </w:rPr>
        <w:t>lb-</w:t>
      </w:r>
      <w:r w:rsidRPr="008D4E68">
        <w:rPr>
          <w:color w:val="0000FF"/>
          <w:szCs w:val="24"/>
        </w:rPr>
        <w:t>NO</w:t>
      </w:r>
      <w:r w:rsidR="0030728A" w:rsidRPr="008D4E68">
        <w:rPr>
          <w:color w:val="0000FF"/>
          <w:szCs w:val="24"/>
        </w:rPr>
        <w:t>x</w:t>
      </w:r>
      <w:r w:rsidRPr="008D4E68">
        <w:rPr>
          <w:szCs w:val="24"/>
        </w:rPr>
        <w:t>/year</w:t>
      </w:r>
    </w:p>
    <w:p w14:paraId="2DE2EBB9" w14:textId="77777777" w:rsidR="000177D5" w:rsidRPr="008D4E68" w:rsidRDefault="000177D5" w:rsidP="007A60F3">
      <w:pPr>
        <w:widowControl w:val="0"/>
        <w:ind w:left="1080"/>
      </w:pPr>
    </w:p>
    <w:p w14:paraId="7579EBD3" w14:textId="77777777" w:rsidR="000177D5" w:rsidRPr="008D4E68" w:rsidRDefault="000177D5" w:rsidP="007A60F3">
      <w:pPr>
        <w:widowControl w:val="0"/>
        <w:ind w:left="1080"/>
      </w:pPr>
      <w:r w:rsidRPr="008D4E68">
        <w:t>Calculating the appropriate quarterly emissions to be offset is as follows:</w:t>
      </w:r>
    </w:p>
    <w:p w14:paraId="6158F2C3" w14:textId="77777777" w:rsidR="000177D5" w:rsidRPr="008D4E68" w:rsidRDefault="000177D5" w:rsidP="007A60F3">
      <w:pPr>
        <w:widowControl w:val="0"/>
        <w:ind w:left="1080"/>
      </w:pPr>
    </w:p>
    <w:p w14:paraId="2C661F72" w14:textId="6E7AB7E6" w:rsidR="000177D5" w:rsidRPr="008D4E68" w:rsidRDefault="000177D5" w:rsidP="007A60F3">
      <w:pPr>
        <w:widowControl w:val="0"/>
        <w:tabs>
          <w:tab w:val="left" w:pos="4680"/>
        </w:tabs>
        <w:ind w:left="1080"/>
        <w:rPr>
          <w:szCs w:val="24"/>
        </w:rPr>
      </w:pPr>
      <w:r w:rsidRPr="008D4E68">
        <w:t>Quar</w:t>
      </w:r>
      <w:r w:rsidR="001A1A0B" w:rsidRPr="008D4E68">
        <w:t>terly offsets required (lb/qtr)</w:t>
      </w:r>
      <w:r w:rsidR="001A1A0B" w:rsidRPr="008D4E68">
        <w:tab/>
      </w:r>
      <w:r w:rsidRPr="008D4E68">
        <w:t>= (</w:t>
      </w:r>
      <w:r w:rsidR="008D4E68">
        <w:rPr>
          <w:color w:val="0000FF"/>
        </w:rPr>
        <w:t>X,XXX</w:t>
      </w:r>
      <w:r w:rsidR="008D4E68" w:rsidRPr="00993B55">
        <w:rPr>
          <w:color w:val="0000FF"/>
        </w:rPr>
        <w:t xml:space="preserve"> </w:t>
      </w:r>
      <w:r w:rsidRPr="008D4E68">
        <w:rPr>
          <w:szCs w:val="24"/>
        </w:rPr>
        <w:t>lb-</w:t>
      </w:r>
      <w:r w:rsidRPr="008D4E68">
        <w:rPr>
          <w:color w:val="0000FF"/>
          <w:szCs w:val="24"/>
        </w:rPr>
        <w:t>NO</w:t>
      </w:r>
      <w:r w:rsidR="00FC4D95" w:rsidRPr="008D4E68">
        <w:rPr>
          <w:color w:val="0000FF"/>
          <w:szCs w:val="24"/>
        </w:rPr>
        <w:t>x</w:t>
      </w:r>
      <w:r w:rsidRPr="008D4E68">
        <w:rPr>
          <w:szCs w:val="24"/>
        </w:rPr>
        <w:t xml:space="preserve">/year) </w:t>
      </w:r>
      <w:r w:rsidRPr="008D4E68">
        <w:rPr>
          <w:rFonts w:cs="Arial"/>
          <w:szCs w:val="24"/>
        </w:rPr>
        <w:t>÷</w:t>
      </w:r>
      <w:r w:rsidRPr="008D4E68">
        <w:rPr>
          <w:szCs w:val="24"/>
        </w:rPr>
        <w:t xml:space="preserve"> (4 quarters/year)</w:t>
      </w:r>
    </w:p>
    <w:p w14:paraId="64D134E0" w14:textId="6547E816" w:rsidR="000177D5" w:rsidRPr="008D4E68" w:rsidRDefault="000177D5" w:rsidP="007A60F3">
      <w:pPr>
        <w:widowControl w:val="0"/>
        <w:ind w:left="4680"/>
        <w:rPr>
          <w:szCs w:val="24"/>
        </w:rPr>
      </w:pPr>
      <w:r w:rsidRPr="008D4E68">
        <w:rPr>
          <w:szCs w:val="24"/>
        </w:rPr>
        <w:t xml:space="preserve">= </w:t>
      </w:r>
      <w:r w:rsidR="008D4E68">
        <w:rPr>
          <w:color w:val="0000FF"/>
        </w:rPr>
        <w:t>X,XXX</w:t>
      </w:r>
      <w:r w:rsidR="008D4E68" w:rsidRPr="00993B55">
        <w:rPr>
          <w:color w:val="0000FF"/>
        </w:rPr>
        <w:t xml:space="preserve"> </w:t>
      </w:r>
      <w:r w:rsidR="001D32E2" w:rsidRPr="008D4E68">
        <w:t>l</w:t>
      </w:r>
      <w:r w:rsidRPr="008D4E68">
        <w:rPr>
          <w:szCs w:val="24"/>
        </w:rPr>
        <w:t>b-</w:t>
      </w:r>
      <w:r w:rsidRPr="008D4E68">
        <w:rPr>
          <w:color w:val="0000FF"/>
          <w:szCs w:val="24"/>
        </w:rPr>
        <w:t>NO</w:t>
      </w:r>
      <w:r w:rsidR="00FC4D95" w:rsidRPr="008D4E68">
        <w:rPr>
          <w:color w:val="0000FF"/>
          <w:szCs w:val="24"/>
        </w:rPr>
        <w:t>x</w:t>
      </w:r>
      <w:r w:rsidRPr="008D4E68">
        <w:rPr>
          <w:szCs w:val="24"/>
        </w:rPr>
        <w:t>/qtr</w:t>
      </w:r>
    </w:p>
    <w:p w14:paraId="48E654C2" w14:textId="77777777" w:rsidR="000177D5" w:rsidRPr="00993B55" w:rsidRDefault="000177D5" w:rsidP="007A60F3">
      <w:pPr>
        <w:widowControl w:val="0"/>
        <w:ind w:left="1080"/>
        <w:rPr>
          <w:szCs w:val="24"/>
        </w:rPr>
      </w:pPr>
    </w:p>
    <w:p w14:paraId="474E7915" w14:textId="77777777" w:rsidR="000177D5" w:rsidRPr="00993B55" w:rsidRDefault="000177D5" w:rsidP="007A60F3">
      <w:pPr>
        <w:widowControl w:val="0"/>
        <w:ind w:left="1080"/>
        <w:rPr>
          <w:i/>
          <w:color w:val="FF0000"/>
          <w:szCs w:val="24"/>
        </w:rPr>
      </w:pPr>
      <w:r w:rsidRPr="00993B55">
        <w:rPr>
          <w:i/>
          <w:color w:val="FF0000"/>
          <w:szCs w:val="24"/>
        </w:rPr>
        <w:t>{If this calculation results in equal whole numbers in each quarter, delete the following paragraphs and table.}</w:t>
      </w:r>
    </w:p>
    <w:p w14:paraId="2887F5F8" w14:textId="77777777" w:rsidR="000177D5" w:rsidRPr="00993B55" w:rsidRDefault="000177D5" w:rsidP="007A60F3">
      <w:pPr>
        <w:widowControl w:val="0"/>
        <w:ind w:left="1080"/>
        <w:rPr>
          <w:szCs w:val="24"/>
        </w:rPr>
      </w:pPr>
    </w:p>
    <w:p w14:paraId="02F3EEAF" w14:textId="6F6FDB94" w:rsidR="000177D5" w:rsidRPr="00993B55" w:rsidRDefault="000177D5" w:rsidP="007A60F3">
      <w:pPr>
        <w:widowControl w:val="0"/>
        <w:ind w:left="1080"/>
        <w:rPr>
          <w:szCs w:val="24"/>
        </w:rPr>
      </w:pPr>
      <w:r w:rsidRPr="00993B55">
        <w:rPr>
          <w:szCs w:val="24"/>
        </w:rPr>
        <w:t xml:space="preserve">As </w:t>
      </w:r>
      <w:r w:rsidRPr="00993B55">
        <w:rPr>
          <w:rFonts w:cs="Arial"/>
        </w:rPr>
        <w:t xml:space="preserve">demonstrated </w:t>
      </w:r>
      <w:r w:rsidRPr="00993B55">
        <w:rPr>
          <w:szCs w:val="24"/>
        </w:rPr>
        <w:t>in the calculation above, the quarterly amount of offsets required for this project, when evenly distributed to each quarter, results in fractional pounds of offsets being required each quarter.  Since offsets are required to be withdrawn as whole pounds, the quarterly amounts of offsets need to be adjusted to ensure the quarterly values sum to the total annual amount of offsets required.</w:t>
      </w:r>
    </w:p>
    <w:p w14:paraId="63185CE7" w14:textId="77777777" w:rsidR="000177D5" w:rsidRPr="00993B55" w:rsidRDefault="000177D5" w:rsidP="007A60F3">
      <w:pPr>
        <w:widowControl w:val="0"/>
        <w:ind w:left="1080"/>
        <w:rPr>
          <w:szCs w:val="24"/>
        </w:rPr>
      </w:pPr>
    </w:p>
    <w:p w14:paraId="38B10601" w14:textId="77777777" w:rsidR="000177D5" w:rsidRPr="00993B55" w:rsidRDefault="000177D5" w:rsidP="007A60F3">
      <w:pPr>
        <w:widowControl w:val="0"/>
        <w:ind w:left="1080"/>
        <w:rPr>
          <w:szCs w:val="24"/>
        </w:rPr>
      </w:pPr>
      <w:r w:rsidRPr="00993B55">
        <w:rPr>
          <w:szCs w:val="24"/>
        </w:rPr>
        <w:lastRenderedPageBreak/>
        <w:t>To adjust the quarterly amount of offsets required, the fractional amount of offsets required in each quarter will be summed and redistributed to each quarter based on the number of days in each quarter.  The redistribution is based on the Quarter 1 having the fewest days and the Quarters 3 and 4 having the most days.  The redistribution method is summarized in the following table:</w:t>
      </w:r>
    </w:p>
    <w:p w14:paraId="6BE407CA" w14:textId="77777777" w:rsidR="00E52190" w:rsidRPr="00993B55" w:rsidRDefault="00E52190" w:rsidP="0094053C">
      <w:pPr>
        <w:widowControl w:val="0"/>
        <w:ind w:left="1080"/>
        <w:rPr>
          <w:szCs w:val="24"/>
        </w:rPr>
      </w:pPr>
    </w:p>
    <w:tbl>
      <w:tblPr>
        <w:tblW w:w="8730"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6"/>
        <w:gridCol w:w="1746"/>
        <w:gridCol w:w="1746"/>
        <w:gridCol w:w="1746"/>
        <w:gridCol w:w="1746"/>
      </w:tblGrid>
      <w:tr w:rsidR="000177D5" w:rsidRPr="00993B55" w14:paraId="6748D3D4" w14:textId="77777777" w:rsidTr="00505E9F">
        <w:trPr>
          <w:trHeight w:val="708"/>
        </w:trPr>
        <w:tc>
          <w:tcPr>
            <w:tcW w:w="8730" w:type="dxa"/>
            <w:gridSpan w:val="5"/>
            <w:shd w:val="clear" w:color="auto" w:fill="D9D9D9" w:themeFill="background1" w:themeFillShade="D9"/>
            <w:tcMar>
              <w:top w:w="0" w:type="dxa"/>
              <w:left w:w="108" w:type="dxa"/>
              <w:bottom w:w="0" w:type="dxa"/>
              <w:right w:w="108" w:type="dxa"/>
            </w:tcMar>
            <w:vAlign w:val="center"/>
            <w:hideMark/>
          </w:tcPr>
          <w:p w14:paraId="07C11A87" w14:textId="77777777" w:rsidR="000177D5" w:rsidRPr="00993B55" w:rsidRDefault="000177D5" w:rsidP="00366F05">
            <w:pPr>
              <w:keepNext/>
              <w:widowControl w:val="0"/>
              <w:jc w:val="center"/>
              <w:rPr>
                <w:rFonts w:eastAsiaTheme="minorHAnsi" w:cs="Arial"/>
                <w:b/>
                <w:sz w:val="22"/>
                <w:szCs w:val="22"/>
              </w:rPr>
            </w:pPr>
            <w:r w:rsidRPr="00993B55">
              <w:rPr>
                <w:rFonts w:eastAsiaTheme="minorHAnsi" w:cs="Arial"/>
                <w:b/>
                <w:sz w:val="22"/>
                <w:szCs w:val="22"/>
              </w:rPr>
              <w:t>Redistribution of Required Quarterly Offsets</w:t>
            </w:r>
          </w:p>
          <w:p w14:paraId="16236791"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(where X is the annual amount of offsets, and X ÷ 4 = Y.z)</w:t>
            </w:r>
          </w:p>
        </w:tc>
      </w:tr>
      <w:tr w:rsidR="000177D5" w:rsidRPr="00993B55" w14:paraId="3B7A427E" w14:textId="77777777" w:rsidTr="00505E9F">
        <w:trPr>
          <w:trHeight w:val="363"/>
        </w:trPr>
        <w:tc>
          <w:tcPr>
            <w:tcW w:w="1746" w:type="dxa"/>
            <w:shd w:val="clear" w:color="auto" w:fill="D9D9D9" w:themeFill="background1" w:themeFillShade="D9"/>
            <w:tcMar>
              <w:top w:w="0" w:type="dxa"/>
              <w:left w:w="108" w:type="dxa"/>
              <w:bottom w:w="0" w:type="dxa"/>
              <w:right w:w="108" w:type="dxa"/>
            </w:tcMar>
            <w:vAlign w:val="center"/>
            <w:hideMark/>
          </w:tcPr>
          <w:p w14:paraId="6FF36805" w14:textId="77777777" w:rsidR="000177D5" w:rsidRPr="00993B55" w:rsidRDefault="000177D5" w:rsidP="00366F05">
            <w:pPr>
              <w:keepNext/>
              <w:widowControl w:val="0"/>
              <w:jc w:val="center"/>
              <w:rPr>
                <w:rFonts w:ascii="Calibri" w:eastAsiaTheme="minorHAnsi" w:hAnsi="Calibri"/>
                <w:b/>
                <w:sz w:val="22"/>
                <w:szCs w:val="22"/>
              </w:rPr>
            </w:pPr>
            <w:r w:rsidRPr="00993B55">
              <w:rPr>
                <w:b/>
                <w:sz w:val="22"/>
                <w:szCs w:val="22"/>
              </w:rPr>
              <w:t>Value of z</w:t>
            </w:r>
          </w:p>
        </w:tc>
        <w:tc>
          <w:tcPr>
            <w:tcW w:w="1746" w:type="dxa"/>
            <w:shd w:val="clear" w:color="auto" w:fill="D9D9D9" w:themeFill="background1" w:themeFillShade="D9"/>
            <w:tcMar>
              <w:top w:w="0" w:type="dxa"/>
              <w:left w:w="108" w:type="dxa"/>
              <w:bottom w:w="0" w:type="dxa"/>
              <w:right w:w="108" w:type="dxa"/>
            </w:tcMar>
            <w:vAlign w:val="center"/>
            <w:hideMark/>
          </w:tcPr>
          <w:p w14:paraId="67EA7941" w14:textId="77777777" w:rsidR="000177D5" w:rsidRPr="00993B55" w:rsidRDefault="000177D5" w:rsidP="00366F05">
            <w:pPr>
              <w:keepNext/>
              <w:widowControl w:val="0"/>
              <w:jc w:val="center"/>
              <w:rPr>
                <w:rFonts w:ascii="Calibri" w:eastAsiaTheme="minorHAnsi" w:hAnsi="Calibri"/>
                <w:b/>
                <w:sz w:val="22"/>
                <w:szCs w:val="22"/>
              </w:rPr>
            </w:pPr>
            <w:r w:rsidRPr="00993B55">
              <w:rPr>
                <w:b/>
                <w:sz w:val="22"/>
                <w:szCs w:val="22"/>
              </w:rPr>
              <w:t>Quarter 1</w:t>
            </w:r>
          </w:p>
        </w:tc>
        <w:tc>
          <w:tcPr>
            <w:tcW w:w="1746" w:type="dxa"/>
            <w:shd w:val="clear" w:color="auto" w:fill="D9D9D9" w:themeFill="background1" w:themeFillShade="D9"/>
            <w:tcMar>
              <w:top w:w="0" w:type="dxa"/>
              <w:left w:w="108" w:type="dxa"/>
              <w:bottom w:w="0" w:type="dxa"/>
              <w:right w:w="108" w:type="dxa"/>
            </w:tcMar>
            <w:vAlign w:val="center"/>
            <w:hideMark/>
          </w:tcPr>
          <w:p w14:paraId="293AB31E" w14:textId="77777777" w:rsidR="000177D5" w:rsidRPr="00993B55" w:rsidRDefault="000177D5" w:rsidP="00366F05">
            <w:pPr>
              <w:keepNext/>
              <w:widowControl w:val="0"/>
              <w:jc w:val="center"/>
              <w:rPr>
                <w:rFonts w:ascii="Calibri" w:eastAsiaTheme="minorHAnsi" w:hAnsi="Calibri"/>
                <w:b/>
                <w:sz w:val="22"/>
                <w:szCs w:val="22"/>
              </w:rPr>
            </w:pPr>
            <w:r w:rsidRPr="00993B55">
              <w:rPr>
                <w:b/>
                <w:sz w:val="22"/>
                <w:szCs w:val="22"/>
              </w:rPr>
              <w:t>Quarter 2</w:t>
            </w:r>
          </w:p>
        </w:tc>
        <w:tc>
          <w:tcPr>
            <w:tcW w:w="1746" w:type="dxa"/>
            <w:shd w:val="clear" w:color="auto" w:fill="D9D9D9" w:themeFill="background1" w:themeFillShade="D9"/>
            <w:tcMar>
              <w:top w:w="0" w:type="dxa"/>
              <w:left w:w="108" w:type="dxa"/>
              <w:bottom w:w="0" w:type="dxa"/>
              <w:right w:w="108" w:type="dxa"/>
            </w:tcMar>
            <w:vAlign w:val="center"/>
            <w:hideMark/>
          </w:tcPr>
          <w:p w14:paraId="4BF64D14" w14:textId="77777777" w:rsidR="000177D5" w:rsidRPr="00993B55" w:rsidRDefault="000177D5" w:rsidP="00366F05">
            <w:pPr>
              <w:keepNext/>
              <w:widowControl w:val="0"/>
              <w:jc w:val="center"/>
              <w:rPr>
                <w:rFonts w:ascii="Calibri" w:eastAsiaTheme="minorHAnsi" w:hAnsi="Calibri"/>
                <w:b/>
                <w:sz w:val="22"/>
                <w:szCs w:val="22"/>
              </w:rPr>
            </w:pPr>
            <w:r w:rsidRPr="00993B55">
              <w:rPr>
                <w:b/>
                <w:sz w:val="22"/>
                <w:szCs w:val="22"/>
              </w:rPr>
              <w:t>Quarter 3</w:t>
            </w:r>
          </w:p>
        </w:tc>
        <w:tc>
          <w:tcPr>
            <w:tcW w:w="1746" w:type="dxa"/>
            <w:shd w:val="clear" w:color="auto" w:fill="D9D9D9" w:themeFill="background1" w:themeFillShade="D9"/>
            <w:tcMar>
              <w:top w:w="0" w:type="dxa"/>
              <w:left w:w="108" w:type="dxa"/>
              <w:bottom w:w="0" w:type="dxa"/>
              <w:right w:w="108" w:type="dxa"/>
            </w:tcMar>
            <w:vAlign w:val="center"/>
            <w:hideMark/>
          </w:tcPr>
          <w:p w14:paraId="42F7E789" w14:textId="77777777" w:rsidR="000177D5" w:rsidRPr="00993B55" w:rsidRDefault="000177D5" w:rsidP="00366F05">
            <w:pPr>
              <w:keepNext/>
              <w:widowControl w:val="0"/>
              <w:jc w:val="center"/>
              <w:rPr>
                <w:rFonts w:ascii="Calibri" w:eastAsiaTheme="minorHAnsi" w:hAnsi="Calibri"/>
                <w:b/>
                <w:sz w:val="22"/>
                <w:szCs w:val="22"/>
              </w:rPr>
            </w:pPr>
            <w:r w:rsidRPr="00993B55">
              <w:rPr>
                <w:b/>
                <w:sz w:val="22"/>
                <w:szCs w:val="22"/>
              </w:rPr>
              <w:t>Quarter 4</w:t>
            </w:r>
          </w:p>
        </w:tc>
      </w:tr>
      <w:tr w:rsidR="000177D5" w:rsidRPr="00993B55" w14:paraId="0E1DEEA2" w14:textId="77777777" w:rsidTr="00505E9F">
        <w:trPr>
          <w:trHeight w:val="363"/>
        </w:trPr>
        <w:tc>
          <w:tcPr>
            <w:tcW w:w="1746" w:type="dxa"/>
            <w:tcMar>
              <w:top w:w="0" w:type="dxa"/>
              <w:left w:w="108" w:type="dxa"/>
              <w:bottom w:w="0" w:type="dxa"/>
              <w:right w:w="108" w:type="dxa"/>
            </w:tcMar>
            <w:vAlign w:val="center"/>
            <w:hideMark/>
          </w:tcPr>
          <w:p w14:paraId="5C55BFCD"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0.0</w:t>
            </w:r>
          </w:p>
        </w:tc>
        <w:tc>
          <w:tcPr>
            <w:tcW w:w="1746" w:type="dxa"/>
            <w:tcMar>
              <w:top w:w="0" w:type="dxa"/>
              <w:left w:w="108" w:type="dxa"/>
              <w:bottom w:w="0" w:type="dxa"/>
              <w:right w:w="108" w:type="dxa"/>
            </w:tcMar>
            <w:vAlign w:val="center"/>
            <w:hideMark/>
          </w:tcPr>
          <w:p w14:paraId="60AC081E"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Y</w:t>
            </w:r>
          </w:p>
        </w:tc>
        <w:tc>
          <w:tcPr>
            <w:tcW w:w="1746" w:type="dxa"/>
            <w:tcMar>
              <w:top w:w="0" w:type="dxa"/>
              <w:left w:w="108" w:type="dxa"/>
              <w:bottom w:w="0" w:type="dxa"/>
              <w:right w:w="108" w:type="dxa"/>
            </w:tcMar>
            <w:vAlign w:val="center"/>
            <w:hideMark/>
          </w:tcPr>
          <w:p w14:paraId="42C04F46"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Y</w:t>
            </w:r>
          </w:p>
        </w:tc>
        <w:tc>
          <w:tcPr>
            <w:tcW w:w="1746" w:type="dxa"/>
            <w:tcMar>
              <w:top w:w="0" w:type="dxa"/>
              <w:left w:w="108" w:type="dxa"/>
              <w:bottom w:w="0" w:type="dxa"/>
              <w:right w:w="108" w:type="dxa"/>
            </w:tcMar>
            <w:vAlign w:val="center"/>
            <w:hideMark/>
          </w:tcPr>
          <w:p w14:paraId="66AE0B3E"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Y</w:t>
            </w:r>
          </w:p>
        </w:tc>
        <w:tc>
          <w:tcPr>
            <w:tcW w:w="1746" w:type="dxa"/>
            <w:tcMar>
              <w:top w:w="0" w:type="dxa"/>
              <w:left w:w="108" w:type="dxa"/>
              <w:bottom w:w="0" w:type="dxa"/>
              <w:right w:w="108" w:type="dxa"/>
            </w:tcMar>
            <w:vAlign w:val="center"/>
            <w:hideMark/>
          </w:tcPr>
          <w:p w14:paraId="3DF2290F"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Y</w:t>
            </w:r>
          </w:p>
        </w:tc>
      </w:tr>
      <w:tr w:rsidR="000177D5" w:rsidRPr="00993B55" w14:paraId="03DE1D32" w14:textId="77777777" w:rsidTr="00505E9F">
        <w:trPr>
          <w:trHeight w:val="363"/>
        </w:trPr>
        <w:tc>
          <w:tcPr>
            <w:tcW w:w="1746" w:type="dxa"/>
            <w:tcMar>
              <w:top w:w="0" w:type="dxa"/>
              <w:left w:w="108" w:type="dxa"/>
              <w:bottom w:w="0" w:type="dxa"/>
              <w:right w:w="108" w:type="dxa"/>
            </w:tcMar>
            <w:vAlign w:val="center"/>
            <w:hideMark/>
          </w:tcPr>
          <w:p w14:paraId="2D586996"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0.25</w:t>
            </w:r>
          </w:p>
        </w:tc>
        <w:tc>
          <w:tcPr>
            <w:tcW w:w="1746" w:type="dxa"/>
            <w:tcMar>
              <w:top w:w="0" w:type="dxa"/>
              <w:left w:w="108" w:type="dxa"/>
              <w:bottom w:w="0" w:type="dxa"/>
              <w:right w:w="108" w:type="dxa"/>
            </w:tcMar>
            <w:vAlign w:val="center"/>
            <w:hideMark/>
          </w:tcPr>
          <w:p w14:paraId="33D763D4"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Y</w:t>
            </w:r>
          </w:p>
        </w:tc>
        <w:tc>
          <w:tcPr>
            <w:tcW w:w="1746" w:type="dxa"/>
            <w:tcMar>
              <w:top w:w="0" w:type="dxa"/>
              <w:left w:w="108" w:type="dxa"/>
              <w:bottom w:w="0" w:type="dxa"/>
              <w:right w:w="108" w:type="dxa"/>
            </w:tcMar>
            <w:vAlign w:val="center"/>
            <w:hideMark/>
          </w:tcPr>
          <w:p w14:paraId="691D88AA"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Y</w:t>
            </w:r>
          </w:p>
        </w:tc>
        <w:tc>
          <w:tcPr>
            <w:tcW w:w="1746" w:type="dxa"/>
            <w:tcMar>
              <w:top w:w="0" w:type="dxa"/>
              <w:left w:w="108" w:type="dxa"/>
              <w:bottom w:w="0" w:type="dxa"/>
              <w:right w:w="108" w:type="dxa"/>
            </w:tcMar>
            <w:vAlign w:val="center"/>
            <w:hideMark/>
          </w:tcPr>
          <w:p w14:paraId="2D10DAFE"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Y</w:t>
            </w:r>
          </w:p>
        </w:tc>
        <w:tc>
          <w:tcPr>
            <w:tcW w:w="1746" w:type="dxa"/>
            <w:tcMar>
              <w:top w:w="0" w:type="dxa"/>
              <w:left w:w="108" w:type="dxa"/>
              <w:bottom w:w="0" w:type="dxa"/>
              <w:right w:w="108" w:type="dxa"/>
            </w:tcMar>
            <w:vAlign w:val="center"/>
            <w:hideMark/>
          </w:tcPr>
          <w:p w14:paraId="7AAE1810"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Y+1</w:t>
            </w:r>
          </w:p>
        </w:tc>
      </w:tr>
      <w:tr w:rsidR="000177D5" w:rsidRPr="00993B55" w14:paraId="09AF9559" w14:textId="77777777" w:rsidTr="00505E9F">
        <w:trPr>
          <w:trHeight w:val="363"/>
        </w:trPr>
        <w:tc>
          <w:tcPr>
            <w:tcW w:w="1746" w:type="dxa"/>
            <w:tcMar>
              <w:top w:w="0" w:type="dxa"/>
              <w:left w:w="108" w:type="dxa"/>
              <w:bottom w:w="0" w:type="dxa"/>
              <w:right w:w="108" w:type="dxa"/>
            </w:tcMar>
            <w:vAlign w:val="center"/>
            <w:hideMark/>
          </w:tcPr>
          <w:p w14:paraId="7B12B28B"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0.5</w:t>
            </w:r>
          </w:p>
        </w:tc>
        <w:tc>
          <w:tcPr>
            <w:tcW w:w="1746" w:type="dxa"/>
            <w:tcMar>
              <w:top w:w="0" w:type="dxa"/>
              <w:left w:w="108" w:type="dxa"/>
              <w:bottom w:w="0" w:type="dxa"/>
              <w:right w:w="108" w:type="dxa"/>
            </w:tcMar>
            <w:vAlign w:val="center"/>
            <w:hideMark/>
          </w:tcPr>
          <w:p w14:paraId="17588538"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Y</w:t>
            </w:r>
          </w:p>
        </w:tc>
        <w:tc>
          <w:tcPr>
            <w:tcW w:w="1746" w:type="dxa"/>
            <w:tcMar>
              <w:top w:w="0" w:type="dxa"/>
              <w:left w:w="108" w:type="dxa"/>
              <w:bottom w:w="0" w:type="dxa"/>
              <w:right w:w="108" w:type="dxa"/>
            </w:tcMar>
            <w:vAlign w:val="center"/>
            <w:hideMark/>
          </w:tcPr>
          <w:p w14:paraId="39FB7F99"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Y</w:t>
            </w:r>
          </w:p>
        </w:tc>
        <w:tc>
          <w:tcPr>
            <w:tcW w:w="1746" w:type="dxa"/>
            <w:tcMar>
              <w:top w:w="0" w:type="dxa"/>
              <w:left w:w="108" w:type="dxa"/>
              <w:bottom w:w="0" w:type="dxa"/>
              <w:right w:w="108" w:type="dxa"/>
            </w:tcMar>
            <w:vAlign w:val="center"/>
            <w:hideMark/>
          </w:tcPr>
          <w:p w14:paraId="005AEAA6"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Y+1</w:t>
            </w:r>
          </w:p>
        </w:tc>
        <w:tc>
          <w:tcPr>
            <w:tcW w:w="1746" w:type="dxa"/>
            <w:tcMar>
              <w:top w:w="0" w:type="dxa"/>
              <w:left w:w="108" w:type="dxa"/>
              <w:bottom w:w="0" w:type="dxa"/>
              <w:right w:w="108" w:type="dxa"/>
            </w:tcMar>
            <w:vAlign w:val="center"/>
            <w:hideMark/>
          </w:tcPr>
          <w:p w14:paraId="3AE8A285"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Y+1</w:t>
            </w:r>
          </w:p>
        </w:tc>
      </w:tr>
      <w:tr w:rsidR="000177D5" w:rsidRPr="00993B55" w14:paraId="065831C8" w14:textId="77777777" w:rsidTr="00505E9F">
        <w:trPr>
          <w:trHeight w:val="363"/>
        </w:trPr>
        <w:tc>
          <w:tcPr>
            <w:tcW w:w="1746" w:type="dxa"/>
            <w:tcMar>
              <w:top w:w="0" w:type="dxa"/>
              <w:left w:w="108" w:type="dxa"/>
              <w:bottom w:w="0" w:type="dxa"/>
              <w:right w:w="108" w:type="dxa"/>
            </w:tcMar>
            <w:vAlign w:val="center"/>
            <w:hideMark/>
          </w:tcPr>
          <w:p w14:paraId="30012EB5"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0.75</w:t>
            </w:r>
          </w:p>
        </w:tc>
        <w:tc>
          <w:tcPr>
            <w:tcW w:w="1746" w:type="dxa"/>
            <w:tcMar>
              <w:top w:w="0" w:type="dxa"/>
              <w:left w:w="108" w:type="dxa"/>
              <w:bottom w:w="0" w:type="dxa"/>
              <w:right w:w="108" w:type="dxa"/>
            </w:tcMar>
            <w:vAlign w:val="center"/>
            <w:hideMark/>
          </w:tcPr>
          <w:p w14:paraId="38699226"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Y</w:t>
            </w:r>
          </w:p>
        </w:tc>
        <w:tc>
          <w:tcPr>
            <w:tcW w:w="1746" w:type="dxa"/>
            <w:tcMar>
              <w:top w:w="0" w:type="dxa"/>
              <w:left w:w="108" w:type="dxa"/>
              <w:bottom w:w="0" w:type="dxa"/>
              <w:right w:w="108" w:type="dxa"/>
            </w:tcMar>
            <w:vAlign w:val="center"/>
            <w:hideMark/>
          </w:tcPr>
          <w:p w14:paraId="45187EB7"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Y+1</w:t>
            </w:r>
          </w:p>
        </w:tc>
        <w:tc>
          <w:tcPr>
            <w:tcW w:w="1746" w:type="dxa"/>
            <w:tcMar>
              <w:top w:w="0" w:type="dxa"/>
              <w:left w:w="108" w:type="dxa"/>
              <w:bottom w:w="0" w:type="dxa"/>
              <w:right w:w="108" w:type="dxa"/>
            </w:tcMar>
            <w:vAlign w:val="center"/>
            <w:hideMark/>
          </w:tcPr>
          <w:p w14:paraId="57C21430"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Y+1</w:t>
            </w:r>
          </w:p>
        </w:tc>
        <w:tc>
          <w:tcPr>
            <w:tcW w:w="1746" w:type="dxa"/>
            <w:tcMar>
              <w:top w:w="0" w:type="dxa"/>
              <w:left w:w="108" w:type="dxa"/>
              <w:bottom w:w="0" w:type="dxa"/>
              <w:right w:w="108" w:type="dxa"/>
            </w:tcMar>
            <w:vAlign w:val="center"/>
            <w:hideMark/>
          </w:tcPr>
          <w:p w14:paraId="4B8D49E2"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Y+1</w:t>
            </w:r>
          </w:p>
        </w:tc>
      </w:tr>
    </w:tbl>
    <w:p w14:paraId="007A6E7F" w14:textId="77777777" w:rsidR="000177D5" w:rsidRPr="00F75DE5" w:rsidRDefault="000177D5" w:rsidP="007A60F3">
      <w:pPr>
        <w:widowControl w:val="0"/>
        <w:ind w:left="1080"/>
        <w:jc w:val="left"/>
        <w:rPr>
          <w:szCs w:val="24"/>
        </w:rPr>
      </w:pPr>
    </w:p>
    <w:p w14:paraId="73EDB163" w14:textId="64280E35" w:rsidR="000177D5" w:rsidRPr="00993B55" w:rsidRDefault="000177D5" w:rsidP="007A60F3">
      <w:pPr>
        <w:widowControl w:val="0"/>
        <w:ind w:left="1080"/>
        <w:jc w:val="left"/>
        <w:rPr>
          <w:szCs w:val="24"/>
        </w:rPr>
      </w:pPr>
      <w:r w:rsidRPr="00993B55">
        <w:rPr>
          <w:szCs w:val="24"/>
        </w:rPr>
        <w:t>Therefore</w:t>
      </w:r>
      <w:r w:rsidR="00FD2B92">
        <w:rPr>
          <w:szCs w:val="24"/>
        </w:rPr>
        <w:t>,</w:t>
      </w:r>
      <w:r w:rsidRPr="00993B55">
        <w:rPr>
          <w:szCs w:val="24"/>
        </w:rPr>
        <w:t xml:space="preserve"> the</w:t>
      </w:r>
      <w:r w:rsidRPr="00F75DE5">
        <w:rPr>
          <w:szCs w:val="24"/>
        </w:rPr>
        <w:t xml:space="preserve"> appropriate quarterly emissions to be offset are as follows:</w:t>
      </w:r>
    </w:p>
    <w:p w14:paraId="00BB061A" w14:textId="77777777" w:rsidR="000177D5" w:rsidRPr="00F75DE5" w:rsidRDefault="000177D5" w:rsidP="007A60F3">
      <w:pPr>
        <w:widowControl w:val="0"/>
        <w:ind w:left="1080"/>
        <w:jc w:val="left"/>
        <w:rPr>
          <w:szCs w:val="24"/>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40"/>
        <w:gridCol w:w="1440"/>
        <w:gridCol w:w="1440"/>
        <w:gridCol w:w="1620"/>
      </w:tblGrid>
      <w:tr w:rsidR="000177D5" w:rsidRPr="00993B55" w14:paraId="58BB555A" w14:textId="77777777" w:rsidTr="008C3B58">
        <w:trPr>
          <w:cantSplit/>
          <w:trHeight w:val="404"/>
        </w:trPr>
        <w:tc>
          <w:tcPr>
            <w:tcW w:w="1440" w:type="dxa"/>
            <w:shd w:val="clear" w:color="auto" w:fill="D9D9D9" w:themeFill="background1" w:themeFillShade="D9"/>
            <w:vAlign w:val="center"/>
            <w:hideMark/>
          </w:tcPr>
          <w:p w14:paraId="21E5B816" w14:textId="77777777" w:rsidR="000177D5" w:rsidRPr="00505E9F" w:rsidRDefault="000177D5" w:rsidP="00366F05">
            <w:pPr>
              <w:keepNext/>
              <w:widowControl w:val="0"/>
              <w:spacing w:line="276" w:lineRule="auto"/>
              <w:jc w:val="center"/>
              <w:rPr>
                <w:b/>
                <w:bCs/>
                <w:sz w:val="22"/>
              </w:rPr>
            </w:pPr>
            <w:r w:rsidRPr="00505E9F">
              <w:rPr>
                <w:b/>
                <w:bCs/>
                <w:sz w:val="22"/>
              </w:rPr>
              <w:t>1</w:t>
            </w:r>
            <w:r w:rsidRPr="00505E9F">
              <w:rPr>
                <w:b/>
                <w:bCs/>
                <w:sz w:val="22"/>
                <w:vertAlign w:val="superscript"/>
              </w:rPr>
              <w:t>st</w:t>
            </w:r>
            <w:r w:rsidRPr="00505E9F">
              <w:rPr>
                <w:b/>
                <w:bCs/>
                <w:sz w:val="22"/>
              </w:rPr>
              <w:t xml:space="preserve"> Quarter</w:t>
            </w:r>
          </w:p>
        </w:tc>
        <w:tc>
          <w:tcPr>
            <w:tcW w:w="1440" w:type="dxa"/>
            <w:shd w:val="clear" w:color="auto" w:fill="D9D9D9" w:themeFill="background1" w:themeFillShade="D9"/>
            <w:vAlign w:val="center"/>
            <w:hideMark/>
          </w:tcPr>
          <w:p w14:paraId="04D3F705" w14:textId="77777777" w:rsidR="000177D5" w:rsidRPr="00505E9F" w:rsidRDefault="000177D5" w:rsidP="00366F05">
            <w:pPr>
              <w:keepNext/>
              <w:widowControl w:val="0"/>
              <w:spacing w:line="276" w:lineRule="auto"/>
              <w:jc w:val="center"/>
              <w:rPr>
                <w:b/>
                <w:bCs/>
                <w:sz w:val="22"/>
              </w:rPr>
            </w:pPr>
            <w:r w:rsidRPr="00505E9F">
              <w:rPr>
                <w:b/>
                <w:bCs/>
                <w:sz w:val="22"/>
              </w:rPr>
              <w:t>2</w:t>
            </w:r>
            <w:r w:rsidRPr="00505E9F">
              <w:rPr>
                <w:b/>
                <w:bCs/>
                <w:sz w:val="22"/>
                <w:vertAlign w:val="superscript"/>
              </w:rPr>
              <w:t>nd</w:t>
            </w:r>
            <w:r w:rsidRPr="00505E9F">
              <w:rPr>
                <w:b/>
                <w:bCs/>
                <w:sz w:val="22"/>
              </w:rPr>
              <w:t xml:space="preserve"> Quarter</w:t>
            </w:r>
          </w:p>
        </w:tc>
        <w:tc>
          <w:tcPr>
            <w:tcW w:w="1440" w:type="dxa"/>
            <w:shd w:val="clear" w:color="auto" w:fill="D9D9D9" w:themeFill="background1" w:themeFillShade="D9"/>
            <w:vAlign w:val="center"/>
            <w:hideMark/>
          </w:tcPr>
          <w:p w14:paraId="52B81D52" w14:textId="77777777" w:rsidR="000177D5" w:rsidRPr="00505E9F" w:rsidRDefault="000177D5" w:rsidP="00366F05">
            <w:pPr>
              <w:keepNext/>
              <w:widowControl w:val="0"/>
              <w:spacing w:line="276" w:lineRule="auto"/>
              <w:jc w:val="center"/>
              <w:rPr>
                <w:b/>
                <w:bCs/>
                <w:sz w:val="22"/>
              </w:rPr>
            </w:pPr>
            <w:r w:rsidRPr="00505E9F">
              <w:rPr>
                <w:b/>
                <w:bCs/>
                <w:sz w:val="22"/>
              </w:rPr>
              <w:t>3</w:t>
            </w:r>
            <w:r w:rsidRPr="00505E9F">
              <w:rPr>
                <w:b/>
                <w:bCs/>
                <w:sz w:val="22"/>
                <w:vertAlign w:val="superscript"/>
              </w:rPr>
              <w:t>rd</w:t>
            </w:r>
            <w:r w:rsidRPr="00505E9F">
              <w:rPr>
                <w:b/>
                <w:bCs/>
                <w:sz w:val="22"/>
              </w:rPr>
              <w:t xml:space="preserve"> Quarter</w:t>
            </w:r>
          </w:p>
        </w:tc>
        <w:tc>
          <w:tcPr>
            <w:tcW w:w="1440" w:type="dxa"/>
            <w:shd w:val="clear" w:color="auto" w:fill="D9D9D9" w:themeFill="background1" w:themeFillShade="D9"/>
            <w:vAlign w:val="center"/>
            <w:hideMark/>
          </w:tcPr>
          <w:p w14:paraId="7C49B235" w14:textId="77777777" w:rsidR="000177D5" w:rsidRPr="00505E9F" w:rsidRDefault="000177D5" w:rsidP="00366F05">
            <w:pPr>
              <w:keepNext/>
              <w:widowControl w:val="0"/>
              <w:spacing w:line="276" w:lineRule="auto"/>
              <w:jc w:val="center"/>
              <w:rPr>
                <w:b/>
                <w:bCs/>
                <w:sz w:val="22"/>
              </w:rPr>
            </w:pPr>
            <w:r w:rsidRPr="00505E9F">
              <w:rPr>
                <w:b/>
                <w:bCs/>
                <w:sz w:val="22"/>
              </w:rPr>
              <w:t>4</w:t>
            </w:r>
            <w:r w:rsidRPr="00505E9F">
              <w:rPr>
                <w:b/>
                <w:bCs/>
                <w:sz w:val="22"/>
                <w:vertAlign w:val="superscript"/>
              </w:rPr>
              <w:t>th</w:t>
            </w:r>
            <w:r w:rsidRPr="00505E9F">
              <w:rPr>
                <w:b/>
                <w:bCs/>
                <w:sz w:val="22"/>
              </w:rPr>
              <w:t xml:space="preserve"> Quarter</w:t>
            </w:r>
          </w:p>
        </w:tc>
        <w:tc>
          <w:tcPr>
            <w:tcW w:w="1620" w:type="dxa"/>
            <w:shd w:val="clear" w:color="auto" w:fill="D9D9D9" w:themeFill="background1" w:themeFillShade="D9"/>
            <w:vAlign w:val="center"/>
            <w:hideMark/>
          </w:tcPr>
          <w:p w14:paraId="3246947D" w14:textId="77777777" w:rsidR="000177D5" w:rsidRPr="00505E9F" w:rsidRDefault="000177D5" w:rsidP="00366F05">
            <w:pPr>
              <w:keepNext/>
              <w:widowControl w:val="0"/>
              <w:spacing w:line="276" w:lineRule="auto"/>
              <w:jc w:val="center"/>
              <w:rPr>
                <w:b/>
                <w:bCs/>
                <w:sz w:val="22"/>
              </w:rPr>
            </w:pPr>
            <w:r w:rsidRPr="00505E9F">
              <w:rPr>
                <w:b/>
                <w:bCs/>
                <w:sz w:val="22"/>
              </w:rPr>
              <w:t>Total Annual</w:t>
            </w:r>
          </w:p>
        </w:tc>
      </w:tr>
      <w:tr w:rsidR="001D32E2" w:rsidRPr="007C4432" w14:paraId="6CABB776" w14:textId="77777777" w:rsidTr="007C4432">
        <w:trPr>
          <w:cantSplit/>
          <w:trHeight w:val="323"/>
        </w:trPr>
        <w:tc>
          <w:tcPr>
            <w:tcW w:w="1440" w:type="dxa"/>
            <w:vAlign w:val="center"/>
            <w:hideMark/>
          </w:tcPr>
          <w:p w14:paraId="25C644A6" w14:textId="25B4897E" w:rsidR="001D32E2" w:rsidRPr="007C4432" w:rsidRDefault="001D32E2" w:rsidP="00366F05">
            <w:pPr>
              <w:keepNext/>
              <w:widowControl w:val="0"/>
              <w:jc w:val="center"/>
              <w:rPr>
                <w:sz w:val="22"/>
                <w:szCs w:val="18"/>
              </w:rPr>
            </w:pPr>
            <w:r w:rsidRPr="007C4432">
              <w:rPr>
                <w:color w:val="0000FF"/>
                <w:sz w:val="22"/>
                <w:szCs w:val="18"/>
              </w:rPr>
              <w:t>X,XXX</w:t>
            </w:r>
          </w:p>
        </w:tc>
        <w:tc>
          <w:tcPr>
            <w:tcW w:w="1440" w:type="dxa"/>
            <w:vAlign w:val="center"/>
            <w:hideMark/>
          </w:tcPr>
          <w:p w14:paraId="42445DCF" w14:textId="1A0B633E" w:rsidR="001D32E2" w:rsidRPr="007C4432" w:rsidRDefault="001D32E2" w:rsidP="00366F05">
            <w:pPr>
              <w:keepNext/>
              <w:widowControl w:val="0"/>
              <w:jc w:val="center"/>
              <w:rPr>
                <w:color w:val="0000FF"/>
                <w:sz w:val="22"/>
                <w:szCs w:val="18"/>
              </w:rPr>
            </w:pPr>
            <w:r w:rsidRPr="007C4432">
              <w:rPr>
                <w:color w:val="0000FF"/>
                <w:sz w:val="22"/>
                <w:szCs w:val="18"/>
              </w:rPr>
              <w:t>X,XXX</w:t>
            </w:r>
          </w:p>
        </w:tc>
        <w:tc>
          <w:tcPr>
            <w:tcW w:w="1440" w:type="dxa"/>
            <w:vAlign w:val="center"/>
            <w:hideMark/>
          </w:tcPr>
          <w:p w14:paraId="53CFAF4E" w14:textId="41EB0B67" w:rsidR="001D32E2" w:rsidRPr="007C4432" w:rsidRDefault="001D32E2" w:rsidP="00366F05">
            <w:pPr>
              <w:keepNext/>
              <w:widowControl w:val="0"/>
              <w:jc w:val="center"/>
              <w:rPr>
                <w:color w:val="0000FF"/>
                <w:sz w:val="22"/>
                <w:szCs w:val="18"/>
              </w:rPr>
            </w:pPr>
            <w:r w:rsidRPr="007C4432">
              <w:rPr>
                <w:color w:val="0000FF"/>
                <w:sz w:val="22"/>
                <w:szCs w:val="18"/>
              </w:rPr>
              <w:t>X,XXX</w:t>
            </w:r>
          </w:p>
        </w:tc>
        <w:tc>
          <w:tcPr>
            <w:tcW w:w="1440" w:type="dxa"/>
            <w:vAlign w:val="center"/>
            <w:hideMark/>
          </w:tcPr>
          <w:p w14:paraId="61852CC2" w14:textId="71214C00" w:rsidR="001D32E2" w:rsidRPr="007C4432" w:rsidRDefault="001D32E2" w:rsidP="00366F05">
            <w:pPr>
              <w:keepNext/>
              <w:widowControl w:val="0"/>
              <w:jc w:val="center"/>
              <w:rPr>
                <w:color w:val="0000FF"/>
                <w:sz w:val="22"/>
                <w:szCs w:val="18"/>
              </w:rPr>
            </w:pPr>
            <w:r w:rsidRPr="007C4432">
              <w:rPr>
                <w:color w:val="0000FF"/>
                <w:sz w:val="22"/>
                <w:szCs w:val="18"/>
              </w:rPr>
              <w:t>X,XXX</w:t>
            </w:r>
          </w:p>
        </w:tc>
        <w:tc>
          <w:tcPr>
            <w:tcW w:w="1620" w:type="dxa"/>
            <w:vAlign w:val="center"/>
            <w:hideMark/>
          </w:tcPr>
          <w:p w14:paraId="4D12FE1F" w14:textId="1C87EDA5" w:rsidR="001D32E2" w:rsidRPr="007C4432" w:rsidRDefault="001D32E2" w:rsidP="00366F05">
            <w:pPr>
              <w:keepNext/>
              <w:widowControl w:val="0"/>
              <w:jc w:val="center"/>
              <w:rPr>
                <w:b/>
                <w:bCs/>
                <w:color w:val="0000FF"/>
                <w:sz w:val="22"/>
                <w:szCs w:val="18"/>
              </w:rPr>
            </w:pPr>
            <w:r w:rsidRPr="007C4432">
              <w:rPr>
                <w:b/>
                <w:bCs/>
                <w:color w:val="0000FF"/>
                <w:sz w:val="22"/>
                <w:szCs w:val="18"/>
              </w:rPr>
              <w:t>X,XXX</w:t>
            </w:r>
          </w:p>
        </w:tc>
      </w:tr>
    </w:tbl>
    <w:p w14:paraId="12AA1FA8" w14:textId="77777777" w:rsidR="000177D5" w:rsidRPr="00F75DE5" w:rsidRDefault="000177D5" w:rsidP="007A60F3">
      <w:pPr>
        <w:widowControl w:val="0"/>
        <w:ind w:left="1080"/>
        <w:jc w:val="left"/>
        <w:rPr>
          <w:szCs w:val="24"/>
        </w:rPr>
      </w:pPr>
    </w:p>
    <w:p w14:paraId="238D3830" w14:textId="77777777" w:rsidR="000177D5" w:rsidRPr="00993B55" w:rsidRDefault="000177D5" w:rsidP="007A60F3">
      <w:pPr>
        <w:widowControl w:val="0"/>
        <w:ind w:left="1080"/>
        <w:rPr>
          <w:i/>
          <w:iCs/>
          <w:color w:val="FF0000"/>
        </w:rPr>
      </w:pPr>
      <w:r w:rsidRPr="00993B55">
        <w:rPr>
          <w:i/>
          <w:iCs/>
          <w:color w:val="FF0000"/>
        </w:rPr>
        <w:t>(</w:t>
      </w:r>
      <w:r w:rsidRPr="00993B55">
        <w:rPr>
          <w:i/>
          <w:iCs/>
          <w:color w:val="FF0000"/>
          <w:u w:val="single"/>
        </w:rPr>
        <w:t>Note</w:t>
      </w:r>
      <w:r w:rsidRPr="00993B55">
        <w:rPr>
          <w:i/>
          <w:iCs/>
          <w:color w:val="FF0000"/>
        </w:rPr>
        <w:t>: Quarterly figures may be different for seasonal sources.)</w:t>
      </w:r>
    </w:p>
    <w:p w14:paraId="5EC491C4" w14:textId="77777777" w:rsidR="000177D5" w:rsidRPr="00993B55" w:rsidRDefault="000177D5" w:rsidP="007A60F3">
      <w:pPr>
        <w:widowControl w:val="0"/>
        <w:ind w:left="1080"/>
        <w:jc w:val="left"/>
        <w:rPr>
          <w:szCs w:val="24"/>
        </w:rPr>
      </w:pPr>
    </w:p>
    <w:p w14:paraId="3618F52E" w14:textId="77777777" w:rsidR="000177D5" w:rsidRPr="00993B55" w:rsidRDefault="000177D5" w:rsidP="007A60F3">
      <w:pPr>
        <w:widowControl w:val="0"/>
        <w:ind w:left="2610" w:hanging="1530"/>
        <w:rPr>
          <w:i/>
          <w:iCs/>
          <w:color w:val="FF0000"/>
        </w:rPr>
      </w:pPr>
      <w:r w:rsidRPr="00993B55">
        <w:rPr>
          <w:i/>
          <w:iCs/>
          <w:color w:val="FF0000"/>
          <w:u w:val="single"/>
        </w:rPr>
        <w:t xml:space="preserve">Example </w:t>
      </w:r>
      <w:r w:rsidRPr="00993B55">
        <w:rPr>
          <w:b/>
          <w:i/>
          <w:iCs/>
          <w:color w:val="FF0000"/>
          <w:u w:val="single"/>
        </w:rPr>
        <w:t>b</w:t>
      </w:r>
      <w:r w:rsidRPr="00993B55">
        <w:rPr>
          <w:i/>
          <w:iCs/>
          <w:color w:val="FF0000"/>
        </w:rPr>
        <w:t>:</w:t>
      </w:r>
      <w:r w:rsidRPr="00993B55">
        <w:rPr>
          <w:i/>
          <w:iCs/>
          <w:color w:val="FF0000"/>
        </w:rPr>
        <w:tab/>
      </w:r>
      <w:r w:rsidRPr="00993B55">
        <w:rPr>
          <w:b/>
          <w:i/>
          <w:iCs/>
          <w:color w:val="FF0000"/>
        </w:rPr>
        <w:t xml:space="preserve">Existing facility with SSPE1 above the offset threshold and offsets being triggered for that criteria pollutant </w:t>
      </w:r>
      <w:r w:rsidRPr="00993B55">
        <w:rPr>
          <w:i/>
          <w:iCs/>
          <w:color w:val="FF0000"/>
        </w:rPr>
        <w:t>– modifying permit unit or adding new unit</w:t>
      </w:r>
    </w:p>
    <w:p w14:paraId="7682AB8B" w14:textId="77777777" w:rsidR="000177D5" w:rsidRPr="00F75DE5" w:rsidRDefault="000177D5" w:rsidP="007A60F3">
      <w:pPr>
        <w:widowControl w:val="0"/>
        <w:ind w:left="1080"/>
        <w:jc w:val="left"/>
        <w:rPr>
          <w:szCs w:val="24"/>
        </w:rPr>
      </w:pPr>
    </w:p>
    <w:p w14:paraId="0DFBD86E" w14:textId="7D864B9F" w:rsidR="000177D5" w:rsidRPr="00993B55" w:rsidRDefault="000177D5" w:rsidP="007A60F3">
      <w:pPr>
        <w:widowControl w:val="0"/>
        <w:autoSpaceDE w:val="0"/>
        <w:autoSpaceDN w:val="0"/>
        <w:adjustRightInd w:val="0"/>
        <w:ind w:left="1080"/>
        <w:rPr>
          <w:rFonts w:cs="Arial"/>
        </w:rPr>
      </w:pPr>
      <w:r w:rsidRPr="00993B55">
        <w:rPr>
          <w:rFonts w:cs="Arial"/>
          <w:color w:val="0000FF"/>
        </w:rPr>
        <w:t xml:space="preserve">As demonstrated above, the facility has an SSPE1 for </w:t>
      </w:r>
      <w:r w:rsidR="008C4152">
        <w:rPr>
          <w:rFonts w:cs="Arial"/>
          <w:color w:val="0000FF"/>
        </w:rPr>
        <w:t>NOx</w:t>
      </w:r>
      <w:r w:rsidR="008C4152" w:rsidRPr="00993B55">
        <w:rPr>
          <w:rFonts w:cs="Arial"/>
          <w:color w:val="0000FF"/>
        </w:rPr>
        <w:t xml:space="preserve"> </w:t>
      </w:r>
      <w:r w:rsidRPr="00993B55">
        <w:rPr>
          <w:rFonts w:cs="Arial"/>
          <w:color w:val="0000FF"/>
        </w:rPr>
        <w:t xml:space="preserve">greater than the offset thresholds.  </w:t>
      </w:r>
      <w:r w:rsidRPr="00993B55">
        <w:rPr>
          <w:rFonts w:cs="Arial"/>
        </w:rPr>
        <w:t>Therefore</w:t>
      </w:r>
      <w:r w:rsidR="000C37F3">
        <w:rPr>
          <w:rFonts w:cs="Arial"/>
        </w:rPr>
        <w:t>,</w:t>
      </w:r>
      <w:r w:rsidRPr="00993B55">
        <w:rPr>
          <w:rFonts w:cs="Arial"/>
        </w:rPr>
        <w:t xml:space="preserve"> offset calculations will be required for this project.</w:t>
      </w:r>
    </w:p>
    <w:p w14:paraId="11AA9ADA" w14:textId="77777777" w:rsidR="000177D5" w:rsidRPr="00993B55" w:rsidRDefault="000177D5" w:rsidP="007A60F3">
      <w:pPr>
        <w:widowControl w:val="0"/>
        <w:ind w:left="1080"/>
        <w:jc w:val="left"/>
        <w:rPr>
          <w:szCs w:val="24"/>
        </w:rPr>
      </w:pPr>
    </w:p>
    <w:p w14:paraId="59035B16" w14:textId="77414902" w:rsidR="000177D5" w:rsidRPr="00F75DE5" w:rsidRDefault="000177D5" w:rsidP="007A60F3">
      <w:pPr>
        <w:widowControl w:val="0"/>
        <w:ind w:left="1080"/>
        <w:rPr>
          <w:szCs w:val="24"/>
        </w:rPr>
      </w:pPr>
      <w:r w:rsidRPr="00F75DE5">
        <w:rPr>
          <w:szCs w:val="24"/>
        </w:rPr>
        <w:t xml:space="preserve">The quantity of offsets in pounds per year for </w:t>
      </w:r>
      <w:r w:rsidRPr="00CC00C3">
        <w:rPr>
          <w:rFonts w:cs="Arial"/>
          <w:color w:val="0000FF"/>
        </w:rPr>
        <w:t>NO</w:t>
      </w:r>
      <w:r w:rsidR="00FC4D95" w:rsidRPr="00CC00C3">
        <w:rPr>
          <w:rFonts w:cs="Arial"/>
          <w:color w:val="0000FF"/>
        </w:rPr>
        <w:t>x</w:t>
      </w:r>
      <w:r w:rsidRPr="00F75DE5">
        <w:rPr>
          <w:szCs w:val="24"/>
        </w:rPr>
        <w:t xml:space="preserve"> is calculated as follows for sources with an SSPE1 greater than the offset threshold levels before implementing the project being evaluated.</w:t>
      </w:r>
    </w:p>
    <w:p w14:paraId="70CA362D" w14:textId="77777777" w:rsidR="000177D5" w:rsidRPr="00993B55" w:rsidRDefault="000177D5" w:rsidP="007A60F3">
      <w:pPr>
        <w:widowControl w:val="0"/>
        <w:ind w:left="1080"/>
        <w:jc w:val="left"/>
        <w:rPr>
          <w:szCs w:val="24"/>
        </w:rPr>
      </w:pPr>
    </w:p>
    <w:p w14:paraId="188D5EBA" w14:textId="77777777" w:rsidR="000177D5" w:rsidRPr="00993B55" w:rsidRDefault="000177D5" w:rsidP="007A60F3">
      <w:pPr>
        <w:widowControl w:val="0"/>
        <w:autoSpaceDE w:val="0"/>
        <w:autoSpaceDN w:val="0"/>
        <w:adjustRightInd w:val="0"/>
        <w:ind w:left="4230" w:hanging="3150"/>
        <w:rPr>
          <w:szCs w:val="24"/>
        </w:rPr>
      </w:pPr>
      <w:r w:rsidRPr="00993B55">
        <w:rPr>
          <w:szCs w:val="24"/>
        </w:rPr>
        <w:t>Offsets Required (lb/year) =</w:t>
      </w:r>
      <w:r w:rsidRPr="00993B55">
        <w:rPr>
          <w:szCs w:val="24"/>
        </w:rPr>
        <w:tab/>
        <w:t>(</w:t>
      </w:r>
      <w:r w:rsidRPr="00993B55">
        <w:rPr>
          <w:szCs w:val="24"/>
        </w:rPr>
        <w:sym w:font="Symbol" w:char="F053"/>
      </w:r>
      <w:r w:rsidRPr="00993B55">
        <w:rPr>
          <w:szCs w:val="24"/>
        </w:rPr>
        <w:t>[PE2 – BE] + ICCE) x DOR, for all new or modified emissions units in the project,</w:t>
      </w:r>
    </w:p>
    <w:p w14:paraId="0277BB26" w14:textId="77777777" w:rsidR="000177D5" w:rsidRPr="00993B55" w:rsidRDefault="000177D5" w:rsidP="007A60F3">
      <w:pPr>
        <w:widowControl w:val="0"/>
        <w:ind w:left="1080"/>
        <w:jc w:val="left"/>
        <w:rPr>
          <w:szCs w:val="24"/>
        </w:rPr>
      </w:pPr>
    </w:p>
    <w:p w14:paraId="46534F69" w14:textId="77777777" w:rsidR="000177D5" w:rsidRPr="00993B55" w:rsidRDefault="000177D5" w:rsidP="007A60F3">
      <w:pPr>
        <w:widowControl w:val="0"/>
        <w:autoSpaceDE w:val="0"/>
        <w:autoSpaceDN w:val="0"/>
        <w:adjustRightInd w:val="0"/>
        <w:ind w:left="1440"/>
        <w:rPr>
          <w:szCs w:val="24"/>
        </w:rPr>
      </w:pPr>
      <w:r w:rsidRPr="00993B55">
        <w:rPr>
          <w:szCs w:val="24"/>
        </w:rPr>
        <w:t>Where,</w:t>
      </w:r>
    </w:p>
    <w:p w14:paraId="051A483E" w14:textId="77777777" w:rsidR="000177D5" w:rsidRPr="00993B55" w:rsidRDefault="000177D5" w:rsidP="007A60F3">
      <w:pPr>
        <w:widowControl w:val="0"/>
        <w:tabs>
          <w:tab w:val="left" w:pos="2160"/>
        </w:tabs>
        <w:autoSpaceDE w:val="0"/>
        <w:autoSpaceDN w:val="0"/>
        <w:adjustRightInd w:val="0"/>
        <w:ind w:left="1440"/>
        <w:rPr>
          <w:szCs w:val="24"/>
        </w:rPr>
      </w:pPr>
      <w:r w:rsidRPr="00993B55">
        <w:rPr>
          <w:szCs w:val="24"/>
        </w:rPr>
        <w:t>PE2</w:t>
      </w:r>
      <w:r w:rsidRPr="00993B55">
        <w:rPr>
          <w:szCs w:val="24"/>
        </w:rPr>
        <w:tab/>
        <w:t>= Post-Project Potential to Emit</w:t>
      </w:r>
      <w:r w:rsidRPr="00993B55">
        <w:t>, (lb/year)</w:t>
      </w:r>
    </w:p>
    <w:p w14:paraId="5C521583" w14:textId="77777777" w:rsidR="000177D5" w:rsidRPr="00993B55" w:rsidRDefault="000177D5" w:rsidP="007A60F3">
      <w:pPr>
        <w:widowControl w:val="0"/>
        <w:tabs>
          <w:tab w:val="left" w:pos="2160"/>
        </w:tabs>
        <w:autoSpaceDE w:val="0"/>
        <w:autoSpaceDN w:val="0"/>
        <w:adjustRightInd w:val="0"/>
        <w:ind w:left="1440"/>
        <w:rPr>
          <w:szCs w:val="24"/>
        </w:rPr>
      </w:pPr>
      <w:r w:rsidRPr="00993B55">
        <w:rPr>
          <w:szCs w:val="24"/>
        </w:rPr>
        <w:t>BE</w:t>
      </w:r>
      <w:r w:rsidRPr="00993B55">
        <w:rPr>
          <w:szCs w:val="24"/>
        </w:rPr>
        <w:tab/>
        <w:t>= Baseline Emissions</w:t>
      </w:r>
      <w:r w:rsidRPr="00993B55">
        <w:t>, (lb/year)</w:t>
      </w:r>
    </w:p>
    <w:p w14:paraId="54103C1F" w14:textId="77777777" w:rsidR="000177D5" w:rsidRPr="00993B55" w:rsidRDefault="000177D5" w:rsidP="007A60F3">
      <w:pPr>
        <w:widowControl w:val="0"/>
        <w:tabs>
          <w:tab w:val="left" w:pos="2160"/>
        </w:tabs>
        <w:autoSpaceDE w:val="0"/>
        <w:autoSpaceDN w:val="0"/>
        <w:adjustRightInd w:val="0"/>
        <w:ind w:left="1440"/>
        <w:rPr>
          <w:szCs w:val="24"/>
        </w:rPr>
      </w:pPr>
      <w:r w:rsidRPr="00993B55">
        <w:rPr>
          <w:szCs w:val="24"/>
        </w:rPr>
        <w:t>ICCE</w:t>
      </w:r>
      <w:r w:rsidRPr="00993B55">
        <w:rPr>
          <w:szCs w:val="24"/>
        </w:rPr>
        <w:tab/>
        <w:t>= Increase in Cargo Carrier Emissions</w:t>
      </w:r>
      <w:r w:rsidRPr="00993B55">
        <w:t>, (lb/year)</w:t>
      </w:r>
    </w:p>
    <w:p w14:paraId="0DDF62EE" w14:textId="39E3DA2F" w:rsidR="000177D5" w:rsidRPr="00993B55" w:rsidRDefault="000177D5" w:rsidP="007A60F3">
      <w:pPr>
        <w:widowControl w:val="0"/>
        <w:tabs>
          <w:tab w:val="left" w:pos="2160"/>
        </w:tabs>
        <w:autoSpaceDE w:val="0"/>
        <w:autoSpaceDN w:val="0"/>
        <w:adjustRightInd w:val="0"/>
        <w:ind w:left="1440"/>
        <w:rPr>
          <w:szCs w:val="24"/>
        </w:rPr>
      </w:pPr>
      <w:r w:rsidRPr="00993B55">
        <w:rPr>
          <w:szCs w:val="24"/>
        </w:rPr>
        <w:t>DOR</w:t>
      </w:r>
      <w:r w:rsidRPr="00993B55">
        <w:rPr>
          <w:szCs w:val="24"/>
        </w:rPr>
        <w:tab/>
        <w:t>= Distance Offset Ratio, determined pursuant to Section 4.</w:t>
      </w:r>
      <w:r w:rsidR="0010079F">
        <w:rPr>
          <w:szCs w:val="24"/>
        </w:rPr>
        <w:t>9</w:t>
      </w:r>
    </w:p>
    <w:p w14:paraId="4DE30CFE" w14:textId="77777777" w:rsidR="000177D5" w:rsidRPr="00993B55" w:rsidRDefault="000177D5" w:rsidP="0094053C">
      <w:pPr>
        <w:widowControl w:val="0"/>
        <w:ind w:left="1440"/>
        <w:rPr>
          <w:color w:val="000000"/>
        </w:rPr>
      </w:pPr>
    </w:p>
    <w:p w14:paraId="1A763F85" w14:textId="753609B9" w:rsidR="000177D5" w:rsidRPr="00993B55" w:rsidRDefault="000177D5" w:rsidP="007A60F3">
      <w:pPr>
        <w:widowControl w:val="0"/>
        <w:ind w:left="1440"/>
        <w:rPr>
          <w:b/>
          <w:color w:val="FF0000"/>
          <w:szCs w:val="24"/>
        </w:rPr>
      </w:pPr>
      <w:r w:rsidRPr="00993B55">
        <w:rPr>
          <w:b/>
          <w:color w:val="FF0000"/>
          <w:szCs w:val="24"/>
        </w:rPr>
        <w:t xml:space="preserve">Cargo Carrier Emissions:  </w:t>
      </w:r>
    </w:p>
    <w:p w14:paraId="456FA396" w14:textId="788F1A39" w:rsidR="000177D5" w:rsidRPr="00993B55" w:rsidRDefault="000177D5" w:rsidP="007A60F3">
      <w:pPr>
        <w:widowControl w:val="0"/>
        <w:ind w:left="1440"/>
        <w:rPr>
          <w:i/>
          <w:color w:val="000000"/>
        </w:rPr>
      </w:pPr>
      <w:r w:rsidRPr="00993B55">
        <w:rPr>
          <w:i/>
          <w:color w:val="FF0000"/>
        </w:rPr>
        <w:t xml:space="preserve">It is very important to accurately account for any increases in </w:t>
      </w:r>
      <w:r w:rsidRPr="00993B55">
        <w:rPr>
          <w:b/>
          <w:i/>
          <w:color w:val="FF0000"/>
        </w:rPr>
        <w:t>Cargo Carrier</w:t>
      </w:r>
      <w:r w:rsidRPr="00993B55">
        <w:rPr>
          <w:i/>
          <w:color w:val="FF0000"/>
        </w:rPr>
        <w:t xml:space="preserve"> emissions when determining the quantity of offsets required.  Please </w:t>
      </w:r>
      <w:r w:rsidR="00073022">
        <w:rPr>
          <w:i/>
          <w:color w:val="FF0000"/>
        </w:rPr>
        <w:t xml:space="preserve">follow District </w:t>
      </w:r>
      <w:r w:rsidR="00073022">
        <w:rPr>
          <w:i/>
          <w:color w:val="FF0000"/>
        </w:rPr>
        <w:lastRenderedPageBreak/>
        <w:t>practice</w:t>
      </w:r>
      <w:r w:rsidRPr="00993B55">
        <w:rPr>
          <w:i/>
          <w:color w:val="FF0000"/>
        </w:rPr>
        <w:t xml:space="preserve"> when evaluating cargo carrier emission increases as well as a list of stationary sources with known cargo carrier equipment.</w:t>
      </w:r>
    </w:p>
    <w:p w14:paraId="66E39C43" w14:textId="6D802EAF" w:rsidR="000177D5" w:rsidRDefault="000177D5" w:rsidP="0094053C">
      <w:pPr>
        <w:widowControl w:val="0"/>
        <w:ind w:left="1440"/>
      </w:pPr>
    </w:p>
    <w:p w14:paraId="44EEB053" w14:textId="77777777" w:rsidR="000177D5" w:rsidRPr="00993B55" w:rsidRDefault="000177D5" w:rsidP="007A60F3">
      <w:pPr>
        <w:widowControl w:val="0"/>
        <w:ind w:left="1440"/>
      </w:pPr>
      <w:r w:rsidRPr="00993B55">
        <w:t>BE = PE1 for:</w:t>
      </w:r>
    </w:p>
    <w:p w14:paraId="13EF2EE8" w14:textId="77777777" w:rsidR="000177D5" w:rsidRPr="00993B55" w:rsidRDefault="000177D5" w:rsidP="007A60F3">
      <w:pPr>
        <w:widowControl w:val="0"/>
        <w:numPr>
          <w:ilvl w:val="0"/>
          <w:numId w:val="5"/>
        </w:numPr>
        <w:tabs>
          <w:tab w:val="clear" w:pos="1224"/>
        </w:tabs>
        <w:ind w:left="1980"/>
      </w:pPr>
      <w:r w:rsidRPr="00993B55">
        <w:t>Any unit located at a non-Major Source,</w:t>
      </w:r>
    </w:p>
    <w:p w14:paraId="59E72A16" w14:textId="77777777" w:rsidR="000177D5" w:rsidRPr="00993B55" w:rsidRDefault="000177D5" w:rsidP="007A60F3">
      <w:pPr>
        <w:widowControl w:val="0"/>
        <w:numPr>
          <w:ilvl w:val="0"/>
          <w:numId w:val="5"/>
        </w:numPr>
        <w:tabs>
          <w:tab w:val="clear" w:pos="1224"/>
        </w:tabs>
        <w:ind w:left="1980"/>
      </w:pPr>
      <w:r w:rsidRPr="00993B55">
        <w:t>Any Highly-Utilized Emissions Unit, located at a Major Source,</w:t>
      </w:r>
    </w:p>
    <w:p w14:paraId="1446637D" w14:textId="77777777" w:rsidR="000177D5" w:rsidRPr="00993B55" w:rsidRDefault="000177D5" w:rsidP="007A60F3">
      <w:pPr>
        <w:widowControl w:val="0"/>
        <w:numPr>
          <w:ilvl w:val="0"/>
          <w:numId w:val="5"/>
        </w:numPr>
        <w:tabs>
          <w:tab w:val="clear" w:pos="1224"/>
        </w:tabs>
        <w:ind w:left="1980"/>
      </w:pPr>
      <w:r w:rsidRPr="00993B55">
        <w:t>Any Fully-Offset Emissions Unit, located at a Major Source, or</w:t>
      </w:r>
    </w:p>
    <w:p w14:paraId="6B636F8D" w14:textId="77777777" w:rsidR="000177D5" w:rsidRPr="00993B55" w:rsidRDefault="000177D5" w:rsidP="007A60F3">
      <w:pPr>
        <w:widowControl w:val="0"/>
        <w:numPr>
          <w:ilvl w:val="0"/>
          <w:numId w:val="5"/>
        </w:numPr>
        <w:tabs>
          <w:tab w:val="clear" w:pos="1224"/>
        </w:tabs>
        <w:ind w:left="1980"/>
      </w:pPr>
      <w:r w:rsidRPr="00993B55">
        <w:t>Any Clean Emissions Unit, Located at a Major Source.</w:t>
      </w:r>
    </w:p>
    <w:p w14:paraId="60BB5674" w14:textId="77777777" w:rsidR="000177D5" w:rsidRPr="00993B55" w:rsidRDefault="000177D5" w:rsidP="007A60F3">
      <w:pPr>
        <w:widowControl w:val="0"/>
        <w:ind w:left="1980"/>
      </w:pPr>
    </w:p>
    <w:p w14:paraId="0DF07F14" w14:textId="77777777" w:rsidR="000177D5" w:rsidRPr="00993B55" w:rsidRDefault="000177D5" w:rsidP="007A60F3">
      <w:pPr>
        <w:widowControl w:val="0"/>
        <w:ind w:left="1440"/>
      </w:pPr>
      <w:r w:rsidRPr="00993B55">
        <w:t>otherwise,</w:t>
      </w:r>
    </w:p>
    <w:p w14:paraId="5E47DB0F" w14:textId="77777777" w:rsidR="000177D5" w:rsidRPr="00993B55" w:rsidRDefault="000177D5" w:rsidP="0094053C">
      <w:pPr>
        <w:widowControl w:val="0"/>
        <w:ind w:left="1440"/>
      </w:pPr>
    </w:p>
    <w:p w14:paraId="05ABC284" w14:textId="77777777" w:rsidR="000177D5" w:rsidRPr="00993B55" w:rsidRDefault="000177D5" w:rsidP="007A60F3">
      <w:pPr>
        <w:widowControl w:val="0"/>
        <w:ind w:left="1440"/>
      </w:pPr>
      <w:r w:rsidRPr="00993B55">
        <w:t>BE = HAE</w:t>
      </w:r>
    </w:p>
    <w:p w14:paraId="2952034B" w14:textId="77777777" w:rsidR="000177D5" w:rsidRPr="00993B55" w:rsidRDefault="000177D5" w:rsidP="0094053C">
      <w:pPr>
        <w:widowControl w:val="0"/>
        <w:autoSpaceDE w:val="0"/>
        <w:autoSpaceDN w:val="0"/>
        <w:adjustRightInd w:val="0"/>
        <w:ind w:left="1080"/>
      </w:pPr>
    </w:p>
    <w:p w14:paraId="4A5516B5" w14:textId="77777777" w:rsidR="000177D5" w:rsidRPr="00993B55" w:rsidRDefault="000177D5" w:rsidP="007A60F3">
      <w:pPr>
        <w:widowControl w:val="0"/>
        <w:autoSpaceDE w:val="0"/>
        <w:autoSpaceDN w:val="0"/>
        <w:adjustRightInd w:val="0"/>
        <w:ind w:left="1080"/>
      </w:pPr>
      <w:r w:rsidRPr="00993B55">
        <w:t xml:space="preserve">As calculated in Section VII.C.6 above, the BE from this unit are equal to the PE1 since the unit is a Clean Emissions Unit.  </w:t>
      </w:r>
      <w:r w:rsidRPr="00993B55">
        <w:rPr>
          <w:i/>
          <w:iCs/>
          <w:color w:val="FF0000"/>
        </w:rPr>
        <w:t>(See Section VII.C.6 above, for a detailed analysis of Baseline Emissions at a Major Source.)</w:t>
      </w:r>
    </w:p>
    <w:p w14:paraId="3D54FC04" w14:textId="77777777" w:rsidR="000177D5" w:rsidRPr="00993B55" w:rsidRDefault="000177D5" w:rsidP="0094053C">
      <w:pPr>
        <w:widowControl w:val="0"/>
        <w:autoSpaceDE w:val="0"/>
        <w:autoSpaceDN w:val="0"/>
        <w:adjustRightInd w:val="0"/>
        <w:ind w:left="1080"/>
      </w:pPr>
    </w:p>
    <w:p w14:paraId="0054EC44" w14:textId="69CA151C" w:rsidR="000177D5" w:rsidRPr="00993B55" w:rsidRDefault="000177D5" w:rsidP="007A60F3">
      <w:pPr>
        <w:widowControl w:val="0"/>
        <w:autoSpaceDE w:val="0"/>
        <w:autoSpaceDN w:val="0"/>
        <w:adjustRightInd w:val="0"/>
        <w:ind w:left="1080"/>
      </w:pPr>
      <w:r w:rsidRPr="00993B55">
        <w:t>Also, there is only one emissions unit associated with this project and there are no increases in cargo carrier emissions.  Therefore</w:t>
      </w:r>
      <w:r w:rsidR="00C96E2C">
        <w:t>,</w:t>
      </w:r>
      <w:r w:rsidRPr="00993B55">
        <w:t xml:space="preserve"> offsets can be determined as follows:</w:t>
      </w:r>
    </w:p>
    <w:p w14:paraId="54F892C4" w14:textId="77777777" w:rsidR="000177D5" w:rsidRPr="00993B55" w:rsidRDefault="000177D5" w:rsidP="0094053C">
      <w:pPr>
        <w:widowControl w:val="0"/>
        <w:ind w:left="1080"/>
        <w:rPr>
          <w:bCs/>
        </w:rPr>
      </w:pPr>
    </w:p>
    <w:p w14:paraId="5F234D88" w14:textId="77777777" w:rsidR="000177D5" w:rsidRPr="00993B55" w:rsidRDefault="000177D5" w:rsidP="007A60F3">
      <w:pPr>
        <w:widowControl w:val="0"/>
        <w:autoSpaceDE w:val="0"/>
        <w:autoSpaceDN w:val="0"/>
        <w:adjustRightInd w:val="0"/>
        <w:ind w:left="1080"/>
      </w:pPr>
      <w:r w:rsidRPr="00993B55">
        <w:rPr>
          <w:szCs w:val="24"/>
        </w:rPr>
        <w:t>Offsets Required (lb/year) = ([PE2 – BE] + ICCE) x DOR</w:t>
      </w:r>
    </w:p>
    <w:p w14:paraId="68624AF2" w14:textId="77777777" w:rsidR="000177D5" w:rsidRPr="00993B55" w:rsidRDefault="000177D5" w:rsidP="007A60F3">
      <w:pPr>
        <w:widowControl w:val="0"/>
        <w:tabs>
          <w:tab w:val="left" w:pos="2340"/>
        </w:tabs>
        <w:ind w:left="1080"/>
      </w:pPr>
    </w:p>
    <w:p w14:paraId="1DE21F60" w14:textId="1AF599A4" w:rsidR="000177D5" w:rsidRPr="00993B55" w:rsidRDefault="000177D5" w:rsidP="007A60F3">
      <w:pPr>
        <w:widowControl w:val="0"/>
        <w:tabs>
          <w:tab w:val="left" w:pos="2790"/>
        </w:tabs>
        <w:ind w:left="1440"/>
      </w:pPr>
      <w:r w:rsidRPr="00993B55">
        <w:t>PE2 (</w:t>
      </w:r>
      <w:r w:rsidRPr="00993B55">
        <w:rPr>
          <w:color w:val="0000FF"/>
        </w:rPr>
        <w:t>NO</w:t>
      </w:r>
      <w:r w:rsidR="00FC4D95">
        <w:rPr>
          <w:color w:val="0000FF"/>
        </w:rPr>
        <w:t>x</w:t>
      </w:r>
      <w:r w:rsidRPr="00993B55">
        <w:t>)</w:t>
      </w:r>
      <w:r w:rsidRPr="00993B55">
        <w:tab/>
        <w:t xml:space="preserve">= </w:t>
      </w:r>
      <w:r w:rsidR="00623599">
        <w:rPr>
          <w:color w:val="0000FF"/>
        </w:rPr>
        <w:t>X,XXX</w:t>
      </w:r>
      <w:r w:rsidRPr="00993B55">
        <w:rPr>
          <w:color w:val="0000FF"/>
        </w:rPr>
        <w:t xml:space="preserve"> </w:t>
      </w:r>
      <w:r w:rsidRPr="00993B55">
        <w:t>lb/year</w:t>
      </w:r>
    </w:p>
    <w:p w14:paraId="06DA6A37" w14:textId="2715926B" w:rsidR="000177D5" w:rsidRPr="00993B55" w:rsidRDefault="000177D5" w:rsidP="007A60F3">
      <w:pPr>
        <w:widowControl w:val="0"/>
        <w:tabs>
          <w:tab w:val="left" w:pos="2790"/>
        </w:tabs>
        <w:ind w:left="1440"/>
      </w:pPr>
      <w:r w:rsidRPr="00993B55">
        <w:t>BE (</w:t>
      </w:r>
      <w:r w:rsidRPr="00993B55">
        <w:rPr>
          <w:color w:val="0000FF"/>
        </w:rPr>
        <w:t>NO</w:t>
      </w:r>
      <w:r w:rsidR="00FC4D95">
        <w:rPr>
          <w:color w:val="0000FF"/>
        </w:rPr>
        <w:t>x</w:t>
      </w:r>
      <w:r w:rsidRPr="00993B55">
        <w:t>)</w:t>
      </w:r>
      <w:r w:rsidRPr="00993B55">
        <w:rPr>
          <w:vertAlign w:val="superscript"/>
        </w:rPr>
        <w:tab/>
      </w:r>
      <w:r w:rsidRPr="00993B55">
        <w:t xml:space="preserve">= </w:t>
      </w:r>
      <w:r w:rsidR="00623599">
        <w:rPr>
          <w:color w:val="0000FF"/>
        </w:rPr>
        <w:t>X,XXX</w:t>
      </w:r>
      <w:r w:rsidRPr="00993B55">
        <w:rPr>
          <w:color w:val="0000FF"/>
        </w:rPr>
        <w:t xml:space="preserve"> </w:t>
      </w:r>
      <w:r w:rsidRPr="00993B55">
        <w:t>lb/year</w:t>
      </w:r>
    </w:p>
    <w:p w14:paraId="04296646" w14:textId="77777777" w:rsidR="000177D5" w:rsidRPr="00993B55" w:rsidRDefault="000177D5" w:rsidP="007A60F3">
      <w:pPr>
        <w:widowControl w:val="0"/>
        <w:tabs>
          <w:tab w:val="left" w:pos="2790"/>
        </w:tabs>
        <w:ind w:left="1440"/>
      </w:pPr>
      <w:r w:rsidRPr="00993B55">
        <w:t xml:space="preserve">ICCE </w:t>
      </w:r>
      <w:r w:rsidRPr="00993B55">
        <w:tab/>
        <w:t xml:space="preserve">= </w:t>
      </w:r>
      <w:r w:rsidRPr="00623599">
        <w:rPr>
          <w:color w:val="0000FF"/>
        </w:rPr>
        <w:t>0</w:t>
      </w:r>
      <w:r w:rsidRPr="00993B55">
        <w:t xml:space="preserve"> lb/year</w:t>
      </w:r>
    </w:p>
    <w:p w14:paraId="434537F0" w14:textId="77777777" w:rsidR="000177D5" w:rsidRPr="00993B55" w:rsidRDefault="000177D5" w:rsidP="0094053C">
      <w:pPr>
        <w:widowControl w:val="0"/>
        <w:ind w:left="1080"/>
        <w:rPr>
          <w:bCs/>
        </w:rPr>
      </w:pPr>
    </w:p>
    <w:p w14:paraId="517FC7FB" w14:textId="7BF8D3D9" w:rsidR="000177D5" w:rsidRPr="00993B55" w:rsidRDefault="000177D5" w:rsidP="007A60F3">
      <w:pPr>
        <w:widowControl w:val="0"/>
        <w:tabs>
          <w:tab w:val="left" w:pos="3960"/>
        </w:tabs>
        <w:autoSpaceDE w:val="0"/>
        <w:autoSpaceDN w:val="0"/>
        <w:adjustRightInd w:val="0"/>
        <w:ind w:left="1080"/>
        <w:rPr>
          <w:szCs w:val="24"/>
        </w:rPr>
      </w:pPr>
      <w:r w:rsidRPr="00993B55">
        <w:rPr>
          <w:szCs w:val="24"/>
        </w:rPr>
        <w:t>Offsets Required (lb/year)</w:t>
      </w:r>
      <w:r w:rsidRPr="00993B55">
        <w:rPr>
          <w:szCs w:val="24"/>
        </w:rPr>
        <w:tab/>
        <w:t>= ([</w:t>
      </w:r>
      <w:r w:rsidR="00AE1EDF">
        <w:rPr>
          <w:color w:val="0000FF"/>
        </w:rPr>
        <w:t>X,XXX</w:t>
      </w:r>
      <w:r w:rsidRPr="00993B55">
        <w:rPr>
          <w:color w:val="0000FF"/>
        </w:rPr>
        <w:t xml:space="preserve"> </w:t>
      </w:r>
      <w:r w:rsidRPr="00993B55">
        <w:rPr>
          <w:szCs w:val="24"/>
        </w:rPr>
        <w:t xml:space="preserve">– </w:t>
      </w:r>
      <w:r w:rsidR="00AE1EDF">
        <w:rPr>
          <w:color w:val="0000FF"/>
        </w:rPr>
        <w:t>X,XXX</w:t>
      </w:r>
      <w:r w:rsidRPr="00993B55">
        <w:rPr>
          <w:szCs w:val="24"/>
        </w:rPr>
        <w:t xml:space="preserve">] + </w:t>
      </w:r>
      <w:r w:rsidRPr="00AE1EDF">
        <w:rPr>
          <w:color w:val="0000FF"/>
          <w:szCs w:val="24"/>
        </w:rPr>
        <w:t>0</w:t>
      </w:r>
      <w:r w:rsidRPr="00993B55">
        <w:rPr>
          <w:szCs w:val="24"/>
        </w:rPr>
        <w:t>) x DOR</w:t>
      </w:r>
    </w:p>
    <w:p w14:paraId="2E27C133" w14:textId="13E41FD3" w:rsidR="000177D5" w:rsidRPr="00993B55" w:rsidRDefault="000177D5" w:rsidP="007A60F3">
      <w:pPr>
        <w:widowControl w:val="0"/>
        <w:tabs>
          <w:tab w:val="left" w:pos="3960"/>
        </w:tabs>
        <w:autoSpaceDE w:val="0"/>
        <w:autoSpaceDN w:val="0"/>
        <w:adjustRightInd w:val="0"/>
        <w:ind w:left="720"/>
      </w:pPr>
      <w:r w:rsidRPr="00993B55">
        <w:rPr>
          <w:szCs w:val="24"/>
        </w:rPr>
        <w:tab/>
        <w:t xml:space="preserve">= </w:t>
      </w:r>
      <w:r w:rsidR="00AE1EDF">
        <w:rPr>
          <w:color w:val="0000FF"/>
        </w:rPr>
        <w:t>X,XXX</w:t>
      </w:r>
      <w:r w:rsidR="00AE1EDF" w:rsidRPr="00993B55">
        <w:rPr>
          <w:color w:val="0000FF"/>
        </w:rPr>
        <w:t xml:space="preserve"> </w:t>
      </w:r>
      <w:r w:rsidRPr="00993B55">
        <w:rPr>
          <w:szCs w:val="24"/>
        </w:rPr>
        <w:t>lb-</w:t>
      </w:r>
      <w:r w:rsidRPr="00993B55">
        <w:rPr>
          <w:color w:val="0000FF"/>
          <w:szCs w:val="24"/>
        </w:rPr>
        <w:t>NO</w:t>
      </w:r>
      <w:r w:rsidR="00FC4D95">
        <w:rPr>
          <w:color w:val="0000FF"/>
          <w:szCs w:val="24"/>
        </w:rPr>
        <w:t>x</w:t>
      </w:r>
      <w:r w:rsidRPr="00993B55">
        <w:rPr>
          <w:szCs w:val="24"/>
        </w:rPr>
        <w:t>/year</w:t>
      </w:r>
    </w:p>
    <w:p w14:paraId="462B9346" w14:textId="77777777" w:rsidR="000177D5" w:rsidRPr="00993B55" w:rsidRDefault="000177D5" w:rsidP="0094053C">
      <w:pPr>
        <w:widowControl w:val="0"/>
        <w:ind w:left="1080"/>
        <w:rPr>
          <w:bCs/>
        </w:rPr>
      </w:pPr>
    </w:p>
    <w:p w14:paraId="10BDC4CA" w14:textId="53CBC706" w:rsidR="000177D5" w:rsidRPr="00993B55" w:rsidRDefault="000177D5" w:rsidP="007A60F3">
      <w:pPr>
        <w:widowControl w:val="0"/>
        <w:ind w:left="1080"/>
        <w:rPr>
          <w:bCs/>
          <w:color w:val="FF0000"/>
        </w:rPr>
      </w:pPr>
      <w:r w:rsidRPr="00993B55">
        <w:rPr>
          <w:bCs/>
          <w:color w:val="FF0000"/>
        </w:rPr>
        <w:t>If offset</w:t>
      </w:r>
      <w:r w:rsidR="008E12AE">
        <w:rPr>
          <w:bCs/>
          <w:color w:val="FF0000"/>
        </w:rPr>
        <w:t>s not</w:t>
      </w:r>
      <w:r w:rsidRPr="00993B55">
        <w:rPr>
          <w:bCs/>
          <w:color w:val="FF0000"/>
        </w:rPr>
        <w:t xml:space="preserve"> required</w:t>
      </w:r>
      <w:r w:rsidR="008E12AE">
        <w:rPr>
          <w:bCs/>
          <w:color w:val="FF0000"/>
        </w:rPr>
        <w:t>, otherwise delete</w:t>
      </w:r>
      <w:r w:rsidRPr="00993B55">
        <w:rPr>
          <w:bCs/>
          <w:color w:val="FF0000"/>
        </w:rPr>
        <w:t>:</w:t>
      </w:r>
    </w:p>
    <w:p w14:paraId="5B33437C" w14:textId="77777777" w:rsidR="000177D5" w:rsidRPr="00993B55" w:rsidRDefault="000177D5" w:rsidP="007A60F3">
      <w:pPr>
        <w:widowControl w:val="0"/>
        <w:ind w:left="1080"/>
        <w:rPr>
          <w:bCs/>
        </w:rPr>
      </w:pPr>
      <w:r w:rsidRPr="00993B55">
        <w:rPr>
          <w:bCs/>
        </w:rPr>
        <w:t xml:space="preserve">As demonstrated in the calculation above, the amount of offsets required is zero. </w:t>
      </w:r>
    </w:p>
    <w:p w14:paraId="58B0DE89" w14:textId="77777777" w:rsidR="000177D5" w:rsidRPr="00993B55" w:rsidRDefault="000177D5" w:rsidP="0094053C">
      <w:pPr>
        <w:widowControl w:val="0"/>
        <w:ind w:left="1080"/>
        <w:rPr>
          <w:bCs/>
        </w:rPr>
      </w:pPr>
    </w:p>
    <w:p w14:paraId="14561C97" w14:textId="77777777" w:rsidR="000177D5" w:rsidRPr="00993B55" w:rsidRDefault="000177D5" w:rsidP="007A60F3">
      <w:pPr>
        <w:widowControl w:val="0"/>
        <w:ind w:left="1080"/>
        <w:rPr>
          <w:bCs/>
          <w:color w:val="FF0000"/>
        </w:rPr>
      </w:pPr>
      <w:r w:rsidRPr="00993B55">
        <w:rPr>
          <w:bCs/>
          <w:color w:val="FF0000"/>
        </w:rPr>
        <w:t>Otherwise</w:t>
      </w:r>
    </w:p>
    <w:p w14:paraId="46939922" w14:textId="3134F164" w:rsidR="000177D5" w:rsidRPr="00993B55" w:rsidRDefault="000177D5" w:rsidP="007A60F3">
      <w:pPr>
        <w:widowControl w:val="0"/>
        <w:tabs>
          <w:tab w:val="left" w:pos="3690"/>
        </w:tabs>
        <w:autoSpaceDE w:val="0"/>
        <w:autoSpaceDN w:val="0"/>
        <w:adjustRightInd w:val="0"/>
        <w:ind w:left="1080"/>
        <w:rPr>
          <w:color w:val="0000FF"/>
        </w:rPr>
      </w:pPr>
      <w:r w:rsidRPr="00993B55">
        <w:rPr>
          <w:color w:val="0000FF"/>
        </w:rPr>
        <w:t>Based on the ERC being proposed to satisfy offset requirements, the offset ratio is 1:1 or 1.2:1 or 1.3:1 or 1.5:1, the amount of NO</w:t>
      </w:r>
      <w:r w:rsidR="00FC4D95">
        <w:rPr>
          <w:color w:val="0000FF"/>
        </w:rPr>
        <w:t>x</w:t>
      </w:r>
      <w:r w:rsidRPr="00993B55">
        <w:rPr>
          <w:color w:val="0000FF"/>
        </w:rPr>
        <w:t xml:space="preserve"> ERCs that need to be withdrawn is:</w:t>
      </w:r>
    </w:p>
    <w:p w14:paraId="276683BF" w14:textId="77777777" w:rsidR="000177D5" w:rsidRPr="00993B55" w:rsidRDefault="000177D5" w:rsidP="0094053C">
      <w:pPr>
        <w:widowControl w:val="0"/>
        <w:tabs>
          <w:tab w:val="left" w:pos="3690"/>
        </w:tabs>
        <w:autoSpaceDE w:val="0"/>
        <w:autoSpaceDN w:val="0"/>
        <w:adjustRightInd w:val="0"/>
        <w:ind w:left="1080"/>
        <w:rPr>
          <w:color w:val="0000FF"/>
        </w:rPr>
      </w:pPr>
    </w:p>
    <w:p w14:paraId="22D8FA6C" w14:textId="2DDCCE9F" w:rsidR="000177D5" w:rsidRPr="00EF2F58" w:rsidRDefault="000177D5" w:rsidP="007A60F3">
      <w:pPr>
        <w:widowControl w:val="0"/>
        <w:tabs>
          <w:tab w:val="left" w:pos="3960"/>
        </w:tabs>
        <w:autoSpaceDE w:val="0"/>
        <w:autoSpaceDN w:val="0"/>
        <w:adjustRightInd w:val="0"/>
        <w:ind w:left="1080"/>
        <w:rPr>
          <w:szCs w:val="24"/>
        </w:rPr>
      </w:pPr>
      <w:r w:rsidRPr="00EF2F58">
        <w:rPr>
          <w:szCs w:val="24"/>
        </w:rPr>
        <w:t>Offsets Required (lb/year)</w:t>
      </w:r>
      <w:r w:rsidRPr="00EF2F58">
        <w:rPr>
          <w:szCs w:val="24"/>
        </w:rPr>
        <w:tab/>
        <w:t>= ([</w:t>
      </w:r>
      <w:r w:rsidR="00EF2F58">
        <w:rPr>
          <w:color w:val="0000FF"/>
        </w:rPr>
        <w:t>X,XXX</w:t>
      </w:r>
      <w:r w:rsidR="00EF2F58" w:rsidRPr="00993B55">
        <w:rPr>
          <w:color w:val="0000FF"/>
        </w:rPr>
        <w:t xml:space="preserve"> </w:t>
      </w:r>
      <w:r w:rsidRPr="00EF2F58">
        <w:rPr>
          <w:szCs w:val="24"/>
        </w:rPr>
        <w:t xml:space="preserve">– </w:t>
      </w:r>
      <w:r w:rsidR="00EF2F58">
        <w:rPr>
          <w:color w:val="0000FF"/>
        </w:rPr>
        <w:t>X,XXX</w:t>
      </w:r>
      <w:r w:rsidRPr="00EF2F58">
        <w:rPr>
          <w:szCs w:val="24"/>
        </w:rPr>
        <w:t xml:space="preserve">] + </w:t>
      </w:r>
      <w:r w:rsidRPr="00EF2F58">
        <w:rPr>
          <w:color w:val="0000FF"/>
          <w:szCs w:val="24"/>
        </w:rPr>
        <w:t>0</w:t>
      </w:r>
      <w:r w:rsidRPr="00EF2F58">
        <w:rPr>
          <w:szCs w:val="24"/>
        </w:rPr>
        <w:t>) x DOR</w:t>
      </w:r>
    </w:p>
    <w:p w14:paraId="790BD85F" w14:textId="062F69AB" w:rsidR="000177D5" w:rsidRPr="00EF2F58" w:rsidRDefault="000177D5" w:rsidP="007A60F3">
      <w:pPr>
        <w:widowControl w:val="0"/>
        <w:tabs>
          <w:tab w:val="left" w:pos="3960"/>
        </w:tabs>
        <w:autoSpaceDE w:val="0"/>
        <w:autoSpaceDN w:val="0"/>
        <w:adjustRightInd w:val="0"/>
        <w:ind w:left="720"/>
        <w:rPr>
          <w:szCs w:val="24"/>
        </w:rPr>
      </w:pPr>
      <w:r w:rsidRPr="00EF2F58">
        <w:rPr>
          <w:szCs w:val="24"/>
        </w:rPr>
        <w:tab/>
        <w:t xml:space="preserve">= </w:t>
      </w:r>
      <w:r w:rsidR="00EF2F58">
        <w:rPr>
          <w:color w:val="0000FF"/>
        </w:rPr>
        <w:t>X,XXX</w:t>
      </w:r>
      <w:r w:rsidR="00EF2F58" w:rsidRPr="00993B55">
        <w:rPr>
          <w:color w:val="0000FF"/>
        </w:rPr>
        <w:t xml:space="preserve"> </w:t>
      </w:r>
      <w:r w:rsidRPr="00EF2F58">
        <w:rPr>
          <w:szCs w:val="24"/>
        </w:rPr>
        <w:t>x DOR</w:t>
      </w:r>
    </w:p>
    <w:p w14:paraId="5678BE3B" w14:textId="5909AF4F" w:rsidR="000177D5" w:rsidRPr="00EF2F58" w:rsidRDefault="000177D5" w:rsidP="007A60F3">
      <w:pPr>
        <w:widowControl w:val="0"/>
        <w:tabs>
          <w:tab w:val="left" w:pos="3960"/>
        </w:tabs>
        <w:autoSpaceDE w:val="0"/>
        <w:autoSpaceDN w:val="0"/>
        <w:adjustRightInd w:val="0"/>
        <w:ind w:left="720"/>
      </w:pPr>
      <w:r w:rsidRPr="00EF2F58">
        <w:rPr>
          <w:szCs w:val="24"/>
        </w:rPr>
        <w:tab/>
        <w:t xml:space="preserve">= </w:t>
      </w:r>
      <w:r w:rsidR="00EF2F58">
        <w:rPr>
          <w:color w:val="0000FF"/>
        </w:rPr>
        <w:t>X,XXX</w:t>
      </w:r>
      <w:r w:rsidRPr="00EF2F58">
        <w:rPr>
          <w:szCs w:val="24"/>
        </w:rPr>
        <w:t xml:space="preserve"> lb-</w:t>
      </w:r>
      <w:r w:rsidRPr="00EF2F58">
        <w:rPr>
          <w:color w:val="0000FF"/>
          <w:szCs w:val="24"/>
        </w:rPr>
        <w:t>NO</w:t>
      </w:r>
      <w:r w:rsidR="00FC4D95" w:rsidRPr="00EF2F58">
        <w:rPr>
          <w:color w:val="0000FF"/>
          <w:szCs w:val="24"/>
        </w:rPr>
        <w:t>x</w:t>
      </w:r>
      <w:r w:rsidRPr="00EF2F58">
        <w:rPr>
          <w:szCs w:val="24"/>
        </w:rPr>
        <w:t>/year</w:t>
      </w:r>
    </w:p>
    <w:p w14:paraId="7126B1E0" w14:textId="77777777" w:rsidR="000177D5" w:rsidRPr="00993B55" w:rsidRDefault="000177D5" w:rsidP="0094053C">
      <w:pPr>
        <w:widowControl w:val="0"/>
        <w:autoSpaceDE w:val="0"/>
        <w:autoSpaceDN w:val="0"/>
        <w:adjustRightInd w:val="0"/>
        <w:ind w:left="1080"/>
      </w:pPr>
    </w:p>
    <w:p w14:paraId="7482D369" w14:textId="77777777" w:rsidR="000177D5" w:rsidRPr="000462DD" w:rsidRDefault="000177D5" w:rsidP="007A60F3">
      <w:pPr>
        <w:widowControl w:val="0"/>
        <w:ind w:left="1080"/>
      </w:pPr>
      <w:r w:rsidRPr="000462DD">
        <w:t>Calculating the appropriate quarterly emissions to be offset is as follows:</w:t>
      </w:r>
    </w:p>
    <w:p w14:paraId="59F558DB" w14:textId="77777777" w:rsidR="000177D5" w:rsidRPr="000462DD" w:rsidRDefault="000177D5" w:rsidP="007A60F3">
      <w:pPr>
        <w:widowControl w:val="0"/>
        <w:ind w:left="1080"/>
      </w:pPr>
    </w:p>
    <w:p w14:paraId="345EB12F" w14:textId="2972497A" w:rsidR="000177D5" w:rsidRPr="000462DD" w:rsidRDefault="000177D5" w:rsidP="007A60F3">
      <w:pPr>
        <w:widowControl w:val="0"/>
        <w:ind w:left="1080"/>
        <w:rPr>
          <w:szCs w:val="24"/>
        </w:rPr>
      </w:pPr>
      <w:r w:rsidRPr="000462DD">
        <w:t>Quarterly offsets required (lb/qtr) = (</w:t>
      </w:r>
      <w:r w:rsidR="000462DD">
        <w:rPr>
          <w:color w:val="0000FF"/>
        </w:rPr>
        <w:t>X,XXX</w:t>
      </w:r>
      <w:r w:rsidR="000462DD" w:rsidRPr="00993B55">
        <w:rPr>
          <w:color w:val="0000FF"/>
        </w:rPr>
        <w:t xml:space="preserve"> </w:t>
      </w:r>
      <w:r w:rsidRPr="000462DD">
        <w:rPr>
          <w:szCs w:val="24"/>
        </w:rPr>
        <w:t>lb-</w:t>
      </w:r>
      <w:r w:rsidRPr="000462DD">
        <w:rPr>
          <w:color w:val="0000FF"/>
          <w:szCs w:val="24"/>
        </w:rPr>
        <w:t>NO</w:t>
      </w:r>
      <w:r w:rsidR="00FC4D95" w:rsidRPr="000462DD">
        <w:rPr>
          <w:color w:val="0000FF"/>
          <w:szCs w:val="24"/>
        </w:rPr>
        <w:t>x</w:t>
      </w:r>
      <w:r w:rsidRPr="000462DD">
        <w:rPr>
          <w:szCs w:val="24"/>
        </w:rPr>
        <w:t xml:space="preserve">/year) </w:t>
      </w:r>
      <w:r w:rsidRPr="000462DD">
        <w:rPr>
          <w:rFonts w:cs="Arial"/>
          <w:szCs w:val="24"/>
        </w:rPr>
        <w:t>÷</w:t>
      </w:r>
      <w:r w:rsidRPr="000462DD">
        <w:rPr>
          <w:szCs w:val="24"/>
        </w:rPr>
        <w:t xml:space="preserve"> (4 quarters/year)</w:t>
      </w:r>
    </w:p>
    <w:p w14:paraId="2FC039EF" w14:textId="74961281" w:rsidR="000177D5" w:rsidRPr="000462DD" w:rsidRDefault="000177D5" w:rsidP="007A60F3">
      <w:pPr>
        <w:widowControl w:val="0"/>
        <w:ind w:left="4590"/>
        <w:rPr>
          <w:szCs w:val="24"/>
        </w:rPr>
      </w:pPr>
      <w:r w:rsidRPr="000462DD">
        <w:rPr>
          <w:szCs w:val="24"/>
        </w:rPr>
        <w:t xml:space="preserve">= </w:t>
      </w:r>
      <w:r w:rsidR="000462DD">
        <w:rPr>
          <w:color w:val="0000FF"/>
        </w:rPr>
        <w:t>X,XXX</w:t>
      </w:r>
      <w:r w:rsidR="000462DD" w:rsidRPr="00993B55">
        <w:rPr>
          <w:color w:val="0000FF"/>
        </w:rPr>
        <w:t xml:space="preserve"> </w:t>
      </w:r>
      <w:r w:rsidR="000462DD" w:rsidRPr="000462DD">
        <w:t>l</w:t>
      </w:r>
      <w:r w:rsidRPr="000462DD">
        <w:rPr>
          <w:szCs w:val="24"/>
        </w:rPr>
        <w:t>b-</w:t>
      </w:r>
      <w:r w:rsidRPr="000462DD">
        <w:rPr>
          <w:color w:val="0000FF"/>
          <w:szCs w:val="24"/>
        </w:rPr>
        <w:t>NO</w:t>
      </w:r>
      <w:r w:rsidR="00FC4D95" w:rsidRPr="000462DD">
        <w:rPr>
          <w:color w:val="0000FF"/>
          <w:szCs w:val="24"/>
        </w:rPr>
        <w:t>x</w:t>
      </w:r>
      <w:r w:rsidRPr="000462DD">
        <w:rPr>
          <w:szCs w:val="24"/>
        </w:rPr>
        <w:t>/qtr</w:t>
      </w:r>
    </w:p>
    <w:p w14:paraId="7C7B41D7" w14:textId="77777777" w:rsidR="000177D5" w:rsidRPr="00993B55" w:rsidRDefault="000177D5" w:rsidP="0094053C">
      <w:pPr>
        <w:widowControl w:val="0"/>
        <w:ind w:left="1080"/>
        <w:rPr>
          <w:szCs w:val="24"/>
        </w:rPr>
      </w:pPr>
    </w:p>
    <w:p w14:paraId="1F99C1E7" w14:textId="77777777" w:rsidR="000177D5" w:rsidRPr="00993B55" w:rsidRDefault="000177D5" w:rsidP="007A60F3">
      <w:pPr>
        <w:widowControl w:val="0"/>
        <w:ind w:left="1080"/>
        <w:rPr>
          <w:i/>
          <w:color w:val="FF0000"/>
          <w:szCs w:val="24"/>
        </w:rPr>
      </w:pPr>
      <w:r w:rsidRPr="00993B55">
        <w:rPr>
          <w:i/>
          <w:color w:val="FF0000"/>
          <w:szCs w:val="24"/>
        </w:rPr>
        <w:t>{If this calculation results in equal whole numbers in each quarter, delete the following paragraphs and table.}</w:t>
      </w:r>
    </w:p>
    <w:p w14:paraId="68B08ADD" w14:textId="77777777" w:rsidR="000177D5" w:rsidRPr="00993B55" w:rsidRDefault="000177D5" w:rsidP="007A60F3">
      <w:pPr>
        <w:widowControl w:val="0"/>
        <w:ind w:left="1080"/>
        <w:rPr>
          <w:szCs w:val="24"/>
        </w:rPr>
      </w:pPr>
    </w:p>
    <w:p w14:paraId="57CC3938" w14:textId="43AAAFB5" w:rsidR="000177D5" w:rsidRPr="00993B55" w:rsidRDefault="000177D5" w:rsidP="007A60F3">
      <w:pPr>
        <w:widowControl w:val="0"/>
        <w:ind w:left="1080"/>
        <w:rPr>
          <w:szCs w:val="24"/>
        </w:rPr>
      </w:pPr>
      <w:r w:rsidRPr="00993B55">
        <w:rPr>
          <w:szCs w:val="24"/>
        </w:rPr>
        <w:t xml:space="preserve">As </w:t>
      </w:r>
      <w:r w:rsidRPr="00993B55">
        <w:rPr>
          <w:rFonts w:cs="Arial"/>
        </w:rPr>
        <w:t xml:space="preserve">demonstrated </w:t>
      </w:r>
      <w:r w:rsidRPr="00993B55">
        <w:rPr>
          <w:szCs w:val="24"/>
        </w:rPr>
        <w:t>in the calculation above, the quarterly amount of offsets required for this project, when evenly distributed to each quarter, results in fractional pounds of offsets being required each quarter.  Since offsets are required to be withdrawn as whole pounds, the quarterly amounts of offsets need to be adjusted to ensure the quarterly values sum to the total annual amount of offsets required.</w:t>
      </w:r>
    </w:p>
    <w:p w14:paraId="50BBF9A0" w14:textId="77777777" w:rsidR="000177D5" w:rsidRPr="00993B55" w:rsidRDefault="000177D5" w:rsidP="007A60F3">
      <w:pPr>
        <w:widowControl w:val="0"/>
        <w:ind w:left="1080"/>
        <w:rPr>
          <w:szCs w:val="24"/>
        </w:rPr>
      </w:pPr>
    </w:p>
    <w:p w14:paraId="5664589F" w14:textId="77777777" w:rsidR="000177D5" w:rsidRPr="00993B55" w:rsidRDefault="000177D5" w:rsidP="007A60F3">
      <w:pPr>
        <w:widowControl w:val="0"/>
        <w:ind w:left="1080"/>
        <w:rPr>
          <w:szCs w:val="24"/>
        </w:rPr>
      </w:pPr>
      <w:r w:rsidRPr="00993B55">
        <w:rPr>
          <w:szCs w:val="24"/>
        </w:rPr>
        <w:t>To adjust the quarterly amount of offsets required, the fractional amount of offsets required in each quarter will be summed and redistributed to each quarter based on the number of days in each quarter.  The redistribution is based on the Quarter 1 having the fewest days and the Quarters 3 and 4 having the most days.  The redistribution method is summarized in the following table:</w:t>
      </w:r>
    </w:p>
    <w:p w14:paraId="62A8C25F" w14:textId="77777777" w:rsidR="000177D5" w:rsidRPr="00993B55" w:rsidRDefault="000177D5" w:rsidP="008C3B58">
      <w:pPr>
        <w:widowControl w:val="0"/>
        <w:ind w:left="1080"/>
        <w:rPr>
          <w:szCs w:val="24"/>
        </w:rPr>
      </w:pPr>
    </w:p>
    <w:tbl>
      <w:tblPr>
        <w:tblW w:w="8730"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6"/>
        <w:gridCol w:w="1746"/>
        <w:gridCol w:w="1746"/>
        <w:gridCol w:w="1746"/>
        <w:gridCol w:w="1746"/>
      </w:tblGrid>
      <w:tr w:rsidR="000177D5" w:rsidRPr="00993B55" w14:paraId="2D3F158C" w14:textId="77777777" w:rsidTr="00505E9F">
        <w:trPr>
          <w:trHeight w:val="429"/>
        </w:trPr>
        <w:tc>
          <w:tcPr>
            <w:tcW w:w="8730" w:type="dxa"/>
            <w:gridSpan w:val="5"/>
            <w:shd w:val="clear" w:color="auto" w:fill="D9D9D9" w:themeFill="background1" w:themeFillShade="D9"/>
            <w:tcMar>
              <w:top w:w="0" w:type="dxa"/>
              <w:left w:w="108" w:type="dxa"/>
              <w:bottom w:w="0" w:type="dxa"/>
              <w:right w:w="108" w:type="dxa"/>
            </w:tcMar>
            <w:vAlign w:val="center"/>
            <w:hideMark/>
          </w:tcPr>
          <w:p w14:paraId="7F35A4F4" w14:textId="77777777" w:rsidR="000177D5" w:rsidRPr="00993B55" w:rsidRDefault="000177D5" w:rsidP="00366F05">
            <w:pPr>
              <w:keepNext/>
              <w:widowControl w:val="0"/>
              <w:jc w:val="center"/>
              <w:rPr>
                <w:rFonts w:eastAsiaTheme="minorHAnsi" w:cs="Arial"/>
                <w:b/>
                <w:sz w:val="22"/>
                <w:szCs w:val="22"/>
              </w:rPr>
            </w:pPr>
            <w:r w:rsidRPr="00993B55">
              <w:rPr>
                <w:sz w:val="22"/>
                <w:szCs w:val="22"/>
              </w:rPr>
              <w:br w:type="page"/>
            </w:r>
            <w:r w:rsidRPr="00993B55">
              <w:rPr>
                <w:rFonts w:eastAsiaTheme="minorHAnsi" w:cs="Arial"/>
                <w:b/>
                <w:sz w:val="22"/>
                <w:szCs w:val="22"/>
              </w:rPr>
              <w:t>Redistribution of Required Quarterly Offsets</w:t>
            </w:r>
          </w:p>
          <w:p w14:paraId="48061ACD"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(where X is the annual amount of offsets, and X ÷ 4 = Y.z)</w:t>
            </w:r>
          </w:p>
        </w:tc>
      </w:tr>
      <w:tr w:rsidR="000177D5" w:rsidRPr="00993B55" w14:paraId="5CB01795" w14:textId="77777777" w:rsidTr="00505E9F">
        <w:trPr>
          <w:trHeight w:val="394"/>
        </w:trPr>
        <w:tc>
          <w:tcPr>
            <w:tcW w:w="1746" w:type="dxa"/>
            <w:shd w:val="clear" w:color="auto" w:fill="D9D9D9" w:themeFill="background1" w:themeFillShade="D9"/>
            <w:tcMar>
              <w:top w:w="0" w:type="dxa"/>
              <w:left w:w="108" w:type="dxa"/>
              <w:bottom w:w="0" w:type="dxa"/>
              <w:right w:w="108" w:type="dxa"/>
            </w:tcMar>
            <w:vAlign w:val="center"/>
            <w:hideMark/>
          </w:tcPr>
          <w:p w14:paraId="682A64FD" w14:textId="77777777" w:rsidR="000177D5" w:rsidRPr="00993B55" w:rsidRDefault="000177D5" w:rsidP="00366F05">
            <w:pPr>
              <w:keepNext/>
              <w:widowControl w:val="0"/>
              <w:jc w:val="center"/>
              <w:rPr>
                <w:rFonts w:ascii="Calibri" w:eastAsiaTheme="minorHAnsi" w:hAnsi="Calibri"/>
                <w:b/>
                <w:sz w:val="22"/>
                <w:szCs w:val="22"/>
              </w:rPr>
            </w:pPr>
            <w:r w:rsidRPr="00993B55">
              <w:rPr>
                <w:b/>
                <w:sz w:val="22"/>
                <w:szCs w:val="22"/>
              </w:rPr>
              <w:t>Value of z</w:t>
            </w:r>
          </w:p>
        </w:tc>
        <w:tc>
          <w:tcPr>
            <w:tcW w:w="1746" w:type="dxa"/>
            <w:shd w:val="clear" w:color="auto" w:fill="D9D9D9" w:themeFill="background1" w:themeFillShade="D9"/>
            <w:tcMar>
              <w:top w:w="0" w:type="dxa"/>
              <w:left w:w="108" w:type="dxa"/>
              <w:bottom w:w="0" w:type="dxa"/>
              <w:right w:w="108" w:type="dxa"/>
            </w:tcMar>
            <w:vAlign w:val="center"/>
            <w:hideMark/>
          </w:tcPr>
          <w:p w14:paraId="3D71228A" w14:textId="77777777" w:rsidR="000177D5" w:rsidRPr="00993B55" w:rsidRDefault="000177D5" w:rsidP="00366F05">
            <w:pPr>
              <w:keepNext/>
              <w:widowControl w:val="0"/>
              <w:jc w:val="center"/>
              <w:rPr>
                <w:rFonts w:ascii="Calibri" w:eastAsiaTheme="minorHAnsi" w:hAnsi="Calibri"/>
                <w:b/>
                <w:sz w:val="22"/>
                <w:szCs w:val="22"/>
              </w:rPr>
            </w:pPr>
            <w:r w:rsidRPr="00993B55">
              <w:rPr>
                <w:b/>
                <w:sz w:val="22"/>
                <w:szCs w:val="22"/>
              </w:rPr>
              <w:t>Quarter 1</w:t>
            </w:r>
          </w:p>
        </w:tc>
        <w:tc>
          <w:tcPr>
            <w:tcW w:w="1746" w:type="dxa"/>
            <w:shd w:val="clear" w:color="auto" w:fill="D9D9D9" w:themeFill="background1" w:themeFillShade="D9"/>
            <w:tcMar>
              <w:top w:w="0" w:type="dxa"/>
              <w:left w:w="108" w:type="dxa"/>
              <w:bottom w:w="0" w:type="dxa"/>
              <w:right w:w="108" w:type="dxa"/>
            </w:tcMar>
            <w:vAlign w:val="center"/>
            <w:hideMark/>
          </w:tcPr>
          <w:p w14:paraId="3846DFCD" w14:textId="77777777" w:rsidR="000177D5" w:rsidRPr="00993B55" w:rsidRDefault="000177D5" w:rsidP="00366F05">
            <w:pPr>
              <w:keepNext/>
              <w:widowControl w:val="0"/>
              <w:jc w:val="center"/>
              <w:rPr>
                <w:rFonts w:ascii="Calibri" w:eastAsiaTheme="minorHAnsi" w:hAnsi="Calibri"/>
                <w:b/>
                <w:sz w:val="22"/>
                <w:szCs w:val="22"/>
              </w:rPr>
            </w:pPr>
            <w:r w:rsidRPr="00993B55">
              <w:rPr>
                <w:b/>
                <w:sz w:val="22"/>
                <w:szCs w:val="22"/>
              </w:rPr>
              <w:t>Quarter 2</w:t>
            </w:r>
          </w:p>
        </w:tc>
        <w:tc>
          <w:tcPr>
            <w:tcW w:w="1746" w:type="dxa"/>
            <w:shd w:val="clear" w:color="auto" w:fill="D9D9D9" w:themeFill="background1" w:themeFillShade="D9"/>
            <w:tcMar>
              <w:top w:w="0" w:type="dxa"/>
              <w:left w:w="108" w:type="dxa"/>
              <w:bottom w:w="0" w:type="dxa"/>
              <w:right w:w="108" w:type="dxa"/>
            </w:tcMar>
            <w:vAlign w:val="center"/>
            <w:hideMark/>
          </w:tcPr>
          <w:p w14:paraId="120482E2" w14:textId="77777777" w:rsidR="000177D5" w:rsidRPr="00993B55" w:rsidRDefault="000177D5" w:rsidP="00366F05">
            <w:pPr>
              <w:keepNext/>
              <w:widowControl w:val="0"/>
              <w:jc w:val="center"/>
              <w:rPr>
                <w:rFonts w:ascii="Calibri" w:eastAsiaTheme="minorHAnsi" w:hAnsi="Calibri"/>
                <w:b/>
                <w:sz w:val="22"/>
                <w:szCs w:val="22"/>
              </w:rPr>
            </w:pPr>
            <w:r w:rsidRPr="00993B55">
              <w:rPr>
                <w:b/>
                <w:sz w:val="22"/>
                <w:szCs w:val="22"/>
              </w:rPr>
              <w:t>Quarter 3</w:t>
            </w:r>
          </w:p>
        </w:tc>
        <w:tc>
          <w:tcPr>
            <w:tcW w:w="1746" w:type="dxa"/>
            <w:shd w:val="clear" w:color="auto" w:fill="D9D9D9" w:themeFill="background1" w:themeFillShade="D9"/>
            <w:tcMar>
              <w:top w:w="0" w:type="dxa"/>
              <w:left w:w="108" w:type="dxa"/>
              <w:bottom w:w="0" w:type="dxa"/>
              <w:right w:w="108" w:type="dxa"/>
            </w:tcMar>
            <w:vAlign w:val="center"/>
            <w:hideMark/>
          </w:tcPr>
          <w:p w14:paraId="521DCF8C" w14:textId="77777777" w:rsidR="000177D5" w:rsidRPr="00993B55" w:rsidRDefault="000177D5" w:rsidP="00366F05">
            <w:pPr>
              <w:keepNext/>
              <w:widowControl w:val="0"/>
              <w:jc w:val="center"/>
              <w:rPr>
                <w:rFonts w:ascii="Calibri" w:eastAsiaTheme="minorHAnsi" w:hAnsi="Calibri"/>
                <w:b/>
                <w:sz w:val="22"/>
                <w:szCs w:val="22"/>
              </w:rPr>
            </w:pPr>
            <w:r w:rsidRPr="00993B55">
              <w:rPr>
                <w:b/>
                <w:sz w:val="22"/>
                <w:szCs w:val="22"/>
              </w:rPr>
              <w:t>Quarter 4</w:t>
            </w:r>
          </w:p>
        </w:tc>
      </w:tr>
      <w:tr w:rsidR="000177D5" w:rsidRPr="00993B55" w14:paraId="50735978" w14:textId="77777777" w:rsidTr="00505E9F">
        <w:trPr>
          <w:trHeight w:val="393"/>
        </w:trPr>
        <w:tc>
          <w:tcPr>
            <w:tcW w:w="1746" w:type="dxa"/>
            <w:tcMar>
              <w:top w:w="0" w:type="dxa"/>
              <w:left w:w="108" w:type="dxa"/>
              <w:bottom w:w="0" w:type="dxa"/>
              <w:right w:w="108" w:type="dxa"/>
            </w:tcMar>
            <w:vAlign w:val="center"/>
            <w:hideMark/>
          </w:tcPr>
          <w:p w14:paraId="6A859448"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0.0</w:t>
            </w:r>
          </w:p>
        </w:tc>
        <w:tc>
          <w:tcPr>
            <w:tcW w:w="1746" w:type="dxa"/>
            <w:tcMar>
              <w:top w:w="0" w:type="dxa"/>
              <w:left w:w="108" w:type="dxa"/>
              <w:bottom w:w="0" w:type="dxa"/>
              <w:right w:w="108" w:type="dxa"/>
            </w:tcMar>
            <w:vAlign w:val="center"/>
            <w:hideMark/>
          </w:tcPr>
          <w:p w14:paraId="2196703D"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Y</w:t>
            </w:r>
          </w:p>
        </w:tc>
        <w:tc>
          <w:tcPr>
            <w:tcW w:w="1746" w:type="dxa"/>
            <w:tcMar>
              <w:top w:w="0" w:type="dxa"/>
              <w:left w:w="108" w:type="dxa"/>
              <w:bottom w:w="0" w:type="dxa"/>
              <w:right w:w="108" w:type="dxa"/>
            </w:tcMar>
            <w:vAlign w:val="center"/>
            <w:hideMark/>
          </w:tcPr>
          <w:p w14:paraId="235CA516"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Y</w:t>
            </w:r>
          </w:p>
        </w:tc>
        <w:tc>
          <w:tcPr>
            <w:tcW w:w="1746" w:type="dxa"/>
            <w:tcMar>
              <w:top w:w="0" w:type="dxa"/>
              <w:left w:w="108" w:type="dxa"/>
              <w:bottom w:w="0" w:type="dxa"/>
              <w:right w:w="108" w:type="dxa"/>
            </w:tcMar>
            <w:vAlign w:val="center"/>
            <w:hideMark/>
          </w:tcPr>
          <w:p w14:paraId="3435F710"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Y</w:t>
            </w:r>
          </w:p>
        </w:tc>
        <w:tc>
          <w:tcPr>
            <w:tcW w:w="1746" w:type="dxa"/>
            <w:tcMar>
              <w:top w:w="0" w:type="dxa"/>
              <w:left w:w="108" w:type="dxa"/>
              <w:bottom w:w="0" w:type="dxa"/>
              <w:right w:w="108" w:type="dxa"/>
            </w:tcMar>
            <w:vAlign w:val="center"/>
            <w:hideMark/>
          </w:tcPr>
          <w:p w14:paraId="1553F1E3"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Y</w:t>
            </w:r>
          </w:p>
        </w:tc>
      </w:tr>
      <w:tr w:rsidR="000177D5" w:rsidRPr="00993B55" w14:paraId="4BCF8E61" w14:textId="77777777" w:rsidTr="00505E9F">
        <w:trPr>
          <w:trHeight w:val="393"/>
        </w:trPr>
        <w:tc>
          <w:tcPr>
            <w:tcW w:w="1746" w:type="dxa"/>
            <w:tcMar>
              <w:top w:w="0" w:type="dxa"/>
              <w:left w:w="108" w:type="dxa"/>
              <w:bottom w:w="0" w:type="dxa"/>
              <w:right w:w="108" w:type="dxa"/>
            </w:tcMar>
            <w:vAlign w:val="center"/>
            <w:hideMark/>
          </w:tcPr>
          <w:p w14:paraId="743C3FC9"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0.25</w:t>
            </w:r>
          </w:p>
        </w:tc>
        <w:tc>
          <w:tcPr>
            <w:tcW w:w="1746" w:type="dxa"/>
            <w:tcMar>
              <w:top w:w="0" w:type="dxa"/>
              <w:left w:w="108" w:type="dxa"/>
              <w:bottom w:w="0" w:type="dxa"/>
              <w:right w:w="108" w:type="dxa"/>
            </w:tcMar>
            <w:vAlign w:val="center"/>
            <w:hideMark/>
          </w:tcPr>
          <w:p w14:paraId="4667F123"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Y</w:t>
            </w:r>
          </w:p>
        </w:tc>
        <w:tc>
          <w:tcPr>
            <w:tcW w:w="1746" w:type="dxa"/>
            <w:tcMar>
              <w:top w:w="0" w:type="dxa"/>
              <w:left w:w="108" w:type="dxa"/>
              <w:bottom w:w="0" w:type="dxa"/>
              <w:right w:w="108" w:type="dxa"/>
            </w:tcMar>
            <w:vAlign w:val="center"/>
            <w:hideMark/>
          </w:tcPr>
          <w:p w14:paraId="1C9AB3F1"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Y</w:t>
            </w:r>
          </w:p>
        </w:tc>
        <w:tc>
          <w:tcPr>
            <w:tcW w:w="1746" w:type="dxa"/>
            <w:tcMar>
              <w:top w:w="0" w:type="dxa"/>
              <w:left w:w="108" w:type="dxa"/>
              <w:bottom w:w="0" w:type="dxa"/>
              <w:right w:w="108" w:type="dxa"/>
            </w:tcMar>
            <w:vAlign w:val="center"/>
            <w:hideMark/>
          </w:tcPr>
          <w:p w14:paraId="75F5F16D"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Y</w:t>
            </w:r>
          </w:p>
        </w:tc>
        <w:tc>
          <w:tcPr>
            <w:tcW w:w="1746" w:type="dxa"/>
            <w:tcMar>
              <w:top w:w="0" w:type="dxa"/>
              <w:left w:w="108" w:type="dxa"/>
              <w:bottom w:w="0" w:type="dxa"/>
              <w:right w:w="108" w:type="dxa"/>
            </w:tcMar>
            <w:vAlign w:val="center"/>
            <w:hideMark/>
          </w:tcPr>
          <w:p w14:paraId="773BCA5F"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Y+1</w:t>
            </w:r>
          </w:p>
        </w:tc>
      </w:tr>
      <w:tr w:rsidR="000177D5" w:rsidRPr="00993B55" w14:paraId="05DBD95B" w14:textId="77777777" w:rsidTr="00505E9F">
        <w:trPr>
          <w:trHeight w:val="393"/>
        </w:trPr>
        <w:tc>
          <w:tcPr>
            <w:tcW w:w="1746" w:type="dxa"/>
            <w:tcMar>
              <w:top w:w="0" w:type="dxa"/>
              <w:left w:w="108" w:type="dxa"/>
              <w:bottom w:w="0" w:type="dxa"/>
              <w:right w:w="108" w:type="dxa"/>
            </w:tcMar>
            <w:vAlign w:val="center"/>
            <w:hideMark/>
          </w:tcPr>
          <w:p w14:paraId="7496006B"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0.5</w:t>
            </w:r>
          </w:p>
        </w:tc>
        <w:tc>
          <w:tcPr>
            <w:tcW w:w="1746" w:type="dxa"/>
            <w:tcMar>
              <w:top w:w="0" w:type="dxa"/>
              <w:left w:w="108" w:type="dxa"/>
              <w:bottom w:w="0" w:type="dxa"/>
              <w:right w:w="108" w:type="dxa"/>
            </w:tcMar>
            <w:vAlign w:val="center"/>
            <w:hideMark/>
          </w:tcPr>
          <w:p w14:paraId="399AF944"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Y</w:t>
            </w:r>
          </w:p>
        </w:tc>
        <w:tc>
          <w:tcPr>
            <w:tcW w:w="1746" w:type="dxa"/>
            <w:tcMar>
              <w:top w:w="0" w:type="dxa"/>
              <w:left w:w="108" w:type="dxa"/>
              <w:bottom w:w="0" w:type="dxa"/>
              <w:right w:w="108" w:type="dxa"/>
            </w:tcMar>
            <w:vAlign w:val="center"/>
            <w:hideMark/>
          </w:tcPr>
          <w:p w14:paraId="09596ADE"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Y</w:t>
            </w:r>
          </w:p>
        </w:tc>
        <w:tc>
          <w:tcPr>
            <w:tcW w:w="1746" w:type="dxa"/>
            <w:tcMar>
              <w:top w:w="0" w:type="dxa"/>
              <w:left w:w="108" w:type="dxa"/>
              <w:bottom w:w="0" w:type="dxa"/>
              <w:right w:w="108" w:type="dxa"/>
            </w:tcMar>
            <w:vAlign w:val="center"/>
            <w:hideMark/>
          </w:tcPr>
          <w:p w14:paraId="46656CDD"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Y+1</w:t>
            </w:r>
          </w:p>
        </w:tc>
        <w:tc>
          <w:tcPr>
            <w:tcW w:w="1746" w:type="dxa"/>
            <w:tcMar>
              <w:top w:w="0" w:type="dxa"/>
              <w:left w:w="108" w:type="dxa"/>
              <w:bottom w:w="0" w:type="dxa"/>
              <w:right w:w="108" w:type="dxa"/>
            </w:tcMar>
            <w:vAlign w:val="center"/>
            <w:hideMark/>
          </w:tcPr>
          <w:p w14:paraId="3C0E2630"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Y+1</w:t>
            </w:r>
          </w:p>
        </w:tc>
      </w:tr>
      <w:tr w:rsidR="000177D5" w:rsidRPr="00993B55" w14:paraId="4FCCB055" w14:textId="77777777" w:rsidTr="00505E9F">
        <w:trPr>
          <w:trHeight w:val="393"/>
        </w:trPr>
        <w:tc>
          <w:tcPr>
            <w:tcW w:w="1746" w:type="dxa"/>
            <w:tcMar>
              <w:top w:w="0" w:type="dxa"/>
              <w:left w:w="108" w:type="dxa"/>
              <w:bottom w:w="0" w:type="dxa"/>
              <w:right w:w="108" w:type="dxa"/>
            </w:tcMar>
            <w:vAlign w:val="center"/>
            <w:hideMark/>
          </w:tcPr>
          <w:p w14:paraId="5E2E2A55"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0.75</w:t>
            </w:r>
          </w:p>
        </w:tc>
        <w:tc>
          <w:tcPr>
            <w:tcW w:w="1746" w:type="dxa"/>
            <w:tcMar>
              <w:top w:w="0" w:type="dxa"/>
              <w:left w:w="108" w:type="dxa"/>
              <w:bottom w:w="0" w:type="dxa"/>
              <w:right w:w="108" w:type="dxa"/>
            </w:tcMar>
            <w:vAlign w:val="center"/>
            <w:hideMark/>
          </w:tcPr>
          <w:p w14:paraId="2C1AFA83"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Y</w:t>
            </w:r>
          </w:p>
        </w:tc>
        <w:tc>
          <w:tcPr>
            <w:tcW w:w="1746" w:type="dxa"/>
            <w:tcMar>
              <w:top w:w="0" w:type="dxa"/>
              <w:left w:w="108" w:type="dxa"/>
              <w:bottom w:w="0" w:type="dxa"/>
              <w:right w:w="108" w:type="dxa"/>
            </w:tcMar>
            <w:vAlign w:val="center"/>
            <w:hideMark/>
          </w:tcPr>
          <w:p w14:paraId="22094231"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Y+1</w:t>
            </w:r>
          </w:p>
        </w:tc>
        <w:tc>
          <w:tcPr>
            <w:tcW w:w="1746" w:type="dxa"/>
            <w:tcMar>
              <w:top w:w="0" w:type="dxa"/>
              <w:left w:w="108" w:type="dxa"/>
              <w:bottom w:w="0" w:type="dxa"/>
              <w:right w:w="108" w:type="dxa"/>
            </w:tcMar>
            <w:vAlign w:val="center"/>
            <w:hideMark/>
          </w:tcPr>
          <w:p w14:paraId="583D1A08"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Y+1</w:t>
            </w:r>
          </w:p>
        </w:tc>
        <w:tc>
          <w:tcPr>
            <w:tcW w:w="1746" w:type="dxa"/>
            <w:tcMar>
              <w:top w:w="0" w:type="dxa"/>
              <w:left w:w="108" w:type="dxa"/>
              <w:bottom w:w="0" w:type="dxa"/>
              <w:right w:w="108" w:type="dxa"/>
            </w:tcMar>
            <w:vAlign w:val="center"/>
            <w:hideMark/>
          </w:tcPr>
          <w:p w14:paraId="3B1C82A4" w14:textId="77777777" w:rsidR="000177D5" w:rsidRPr="00993B55" w:rsidRDefault="000177D5" w:rsidP="00366F05">
            <w:pPr>
              <w:keepNext/>
              <w:widowControl w:val="0"/>
              <w:jc w:val="center"/>
              <w:rPr>
                <w:rFonts w:ascii="Calibri" w:eastAsiaTheme="minorHAnsi" w:hAnsi="Calibri"/>
                <w:sz w:val="22"/>
                <w:szCs w:val="22"/>
              </w:rPr>
            </w:pPr>
            <w:r w:rsidRPr="00993B55">
              <w:rPr>
                <w:sz w:val="22"/>
                <w:szCs w:val="22"/>
              </w:rPr>
              <w:t>Y+1</w:t>
            </w:r>
          </w:p>
        </w:tc>
      </w:tr>
    </w:tbl>
    <w:p w14:paraId="57AE37E0" w14:textId="77777777" w:rsidR="000177D5" w:rsidRPr="00993B55" w:rsidRDefault="000177D5" w:rsidP="008C3B58">
      <w:pPr>
        <w:widowControl w:val="0"/>
        <w:ind w:left="1080"/>
        <w:jc w:val="left"/>
        <w:rPr>
          <w:szCs w:val="24"/>
        </w:rPr>
      </w:pPr>
    </w:p>
    <w:p w14:paraId="51A260D2" w14:textId="3F133392" w:rsidR="000177D5" w:rsidRPr="00993B55" w:rsidRDefault="000177D5" w:rsidP="007A60F3">
      <w:pPr>
        <w:widowControl w:val="0"/>
        <w:ind w:left="1080"/>
        <w:rPr>
          <w:szCs w:val="24"/>
        </w:rPr>
      </w:pPr>
      <w:r w:rsidRPr="00993B55">
        <w:rPr>
          <w:szCs w:val="24"/>
        </w:rPr>
        <w:t>Therefore</w:t>
      </w:r>
      <w:r w:rsidR="003F346F">
        <w:rPr>
          <w:szCs w:val="24"/>
        </w:rPr>
        <w:t>,</w:t>
      </w:r>
      <w:r w:rsidRPr="00993B55">
        <w:rPr>
          <w:szCs w:val="24"/>
        </w:rPr>
        <w:t xml:space="preserve"> the</w:t>
      </w:r>
      <w:r w:rsidRPr="00993B55">
        <w:t xml:space="preserve"> appropriate quarterly emissions to be offset are as follows:</w:t>
      </w:r>
    </w:p>
    <w:p w14:paraId="5D6926F6" w14:textId="27DD1050" w:rsidR="000177D5" w:rsidRDefault="000177D5" w:rsidP="008C3B58">
      <w:pPr>
        <w:widowControl w:val="0"/>
        <w:ind w:left="1080"/>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40"/>
        <w:gridCol w:w="1440"/>
        <w:gridCol w:w="1440"/>
        <w:gridCol w:w="1620"/>
      </w:tblGrid>
      <w:tr w:rsidR="008C3B58" w:rsidRPr="00993B55" w14:paraId="20C47517" w14:textId="77777777" w:rsidTr="00792722">
        <w:trPr>
          <w:cantSplit/>
          <w:trHeight w:val="404"/>
        </w:trPr>
        <w:tc>
          <w:tcPr>
            <w:tcW w:w="1440" w:type="dxa"/>
            <w:shd w:val="clear" w:color="auto" w:fill="D9D9D9" w:themeFill="background1" w:themeFillShade="D9"/>
            <w:vAlign w:val="center"/>
            <w:hideMark/>
          </w:tcPr>
          <w:p w14:paraId="55573882" w14:textId="77777777" w:rsidR="008C3B58" w:rsidRPr="00505E9F" w:rsidRDefault="008C3B58" w:rsidP="00366F05">
            <w:pPr>
              <w:keepNext/>
              <w:widowControl w:val="0"/>
              <w:spacing w:line="276" w:lineRule="auto"/>
              <w:jc w:val="center"/>
              <w:rPr>
                <w:b/>
                <w:bCs/>
                <w:sz w:val="22"/>
              </w:rPr>
            </w:pPr>
            <w:r w:rsidRPr="00505E9F">
              <w:rPr>
                <w:b/>
                <w:bCs/>
                <w:sz w:val="22"/>
              </w:rPr>
              <w:t>1</w:t>
            </w:r>
            <w:r w:rsidRPr="00505E9F">
              <w:rPr>
                <w:b/>
                <w:bCs/>
                <w:sz w:val="22"/>
                <w:vertAlign w:val="superscript"/>
              </w:rPr>
              <w:t>st</w:t>
            </w:r>
            <w:r w:rsidRPr="00505E9F">
              <w:rPr>
                <w:b/>
                <w:bCs/>
                <w:sz w:val="22"/>
              </w:rPr>
              <w:t xml:space="preserve"> Quarter</w:t>
            </w:r>
          </w:p>
        </w:tc>
        <w:tc>
          <w:tcPr>
            <w:tcW w:w="1440" w:type="dxa"/>
            <w:shd w:val="clear" w:color="auto" w:fill="D9D9D9" w:themeFill="background1" w:themeFillShade="D9"/>
            <w:vAlign w:val="center"/>
            <w:hideMark/>
          </w:tcPr>
          <w:p w14:paraId="0E1FAE6B" w14:textId="77777777" w:rsidR="008C3B58" w:rsidRPr="00505E9F" w:rsidRDefault="008C3B58" w:rsidP="00366F05">
            <w:pPr>
              <w:keepNext/>
              <w:widowControl w:val="0"/>
              <w:spacing w:line="276" w:lineRule="auto"/>
              <w:jc w:val="center"/>
              <w:rPr>
                <w:b/>
                <w:bCs/>
                <w:sz w:val="22"/>
              </w:rPr>
            </w:pPr>
            <w:r w:rsidRPr="00505E9F">
              <w:rPr>
                <w:b/>
                <w:bCs/>
                <w:sz w:val="22"/>
              </w:rPr>
              <w:t>2</w:t>
            </w:r>
            <w:r w:rsidRPr="00505E9F">
              <w:rPr>
                <w:b/>
                <w:bCs/>
                <w:sz w:val="22"/>
                <w:vertAlign w:val="superscript"/>
              </w:rPr>
              <w:t>nd</w:t>
            </w:r>
            <w:r w:rsidRPr="00505E9F">
              <w:rPr>
                <w:b/>
                <w:bCs/>
                <w:sz w:val="22"/>
              </w:rPr>
              <w:t xml:space="preserve"> Quarter</w:t>
            </w:r>
          </w:p>
        </w:tc>
        <w:tc>
          <w:tcPr>
            <w:tcW w:w="1440" w:type="dxa"/>
            <w:shd w:val="clear" w:color="auto" w:fill="D9D9D9" w:themeFill="background1" w:themeFillShade="D9"/>
            <w:vAlign w:val="center"/>
            <w:hideMark/>
          </w:tcPr>
          <w:p w14:paraId="7072F484" w14:textId="77777777" w:rsidR="008C3B58" w:rsidRPr="00505E9F" w:rsidRDefault="008C3B58" w:rsidP="00366F05">
            <w:pPr>
              <w:keepNext/>
              <w:widowControl w:val="0"/>
              <w:spacing w:line="276" w:lineRule="auto"/>
              <w:jc w:val="center"/>
              <w:rPr>
                <w:b/>
                <w:bCs/>
                <w:sz w:val="22"/>
              </w:rPr>
            </w:pPr>
            <w:r w:rsidRPr="00505E9F">
              <w:rPr>
                <w:b/>
                <w:bCs/>
                <w:sz w:val="22"/>
              </w:rPr>
              <w:t>3</w:t>
            </w:r>
            <w:r w:rsidRPr="00505E9F">
              <w:rPr>
                <w:b/>
                <w:bCs/>
                <w:sz w:val="22"/>
                <w:vertAlign w:val="superscript"/>
              </w:rPr>
              <w:t>rd</w:t>
            </w:r>
            <w:r w:rsidRPr="00505E9F">
              <w:rPr>
                <w:b/>
                <w:bCs/>
                <w:sz w:val="22"/>
              </w:rPr>
              <w:t xml:space="preserve"> Quarter</w:t>
            </w:r>
          </w:p>
        </w:tc>
        <w:tc>
          <w:tcPr>
            <w:tcW w:w="1440" w:type="dxa"/>
            <w:shd w:val="clear" w:color="auto" w:fill="D9D9D9" w:themeFill="background1" w:themeFillShade="D9"/>
            <w:vAlign w:val="center"/>
            <w:hideMark/>
          </w:tcPr>
          <w:p w14:paraId="051B6E42" w14:textId="77777777" w:rsidR="008C3B58" w:rsidRPr="00505E9F" w:rsidRDefault="008C3B58" w:rsidP="00366F05">
            <w:pPr>
              <w:keepNext/>
              <w:widowControl w:val="0"/>
              <w:spacing w:line="276" w:lineRule="auto"/>
              <w:jc w:val="center"/>
              <w:rPr>
                <w:b/>
                <w:bCs/>
                <w:sz w:val="22"/>
              </w:rPr>
            </w:pPr>
            <w:r w:rsidRPr="00505E9F">
              <w:rPr>
                <w:b/>
                <w:bCs/>
                <w:sz w:val="22"/>
              </w:rPr>
              <w:t>4</w:t>
            </w:r>
            <w:r w:rsidRPr="00505E9F">
              <w:rPr>
                <w:b/>
                <w:bCs/>
                <w:sz w:val="22"/>
                <w:vertAlign w:val="superscript"/>
              </w:rPr>
              <w:t>th</w:t>
            </w:r>
            <w:r w:rsidRPr="00505E9F">
              <w:rPr>
                <w:b/>
                <w:bCs/>
                <w:sz w:val="22"/>
              </w:rPr>
              <w:t xml:space="preserve"> Quarter</w:t>
            </w:r>
          </w:p>
        </w:tc>
        <w:tc>
          <w:tcPr>
            <w:tcW w:w="1620" w:type="dxa"/>
            <w:shd w:val="clear" w:color="auto" w:fill="D9D9D9" w:themeFill="background1" w:themeFillShade="D9"/>
            <w:vAlign w:val="center"/>
            <w:hideMark/>
          </w:tcPr>
          <w:p w14:paraId="086188A9" w14:textId="77777777" w:rsidR="008C3B58" w:rsidRPr="00505E9F" w:rsidRDefault="008C3B58" w:rsidP="00366F05">
            <w:pPr>
              <w:keepNext/>
              <w:widowControl w:val="0"/>
              <w:spacing w:line="276" w:lineRule="auto"/>
              <w:jc w:val="center"/>
              <w:rPr>
                <w:b/>
                <w:bCs/>
                <w:sz w:val="22"/>
              </w:rPr>
            </w:pPr>
            <w:r w:rsidRPr="00505E9F">
              <w:rPr>
                <w:b/>
                <w:bCs/>
                <w:sz w:val="22"/>
              </w:rPr>
              <w:t>Total Annual</w:t>
            </w:r>
          </w:p>
        </w:tc>
      </w:tr>
      <w:tr w:rsidR="008C3B58" w:rsidRPr="007C4432" w14:paraId="2EAC58D8" w14:textId="77777777" w:rsidTr="00792722">
        <w:trPr>
          <w:cantSplit/>
          <w:trHeight w:val="323"/>
        </w:trPr>
        <w:tc>
          <w:tcPr>
            <w:tcW w:w="1440" w:type="dxa"/>
            <w:vAlign w:val="center"/>
            <w:hideMark/>
          </w:tcPr>
          <w:p w14:paraId="2BCCC7F3" w14:textId="77777777" w:rsidR="008C3B58" w:rsidRPr="007C4432" w:rsidRDefault="008C3B58" w:rsidP="00366F05">
            <w:pPr>
              <w:keepNext/>
              <w:widowControl w:val="0"/>
              <w:jc w:val="center"/>
              <w:rPr>
                <w:sz w:val="22"/>
                <w:szCs w:val="18"/>
              </w:rPr>
            </w:pPr>
            <w:r w:rsidRPr="007C4432">
              <w:rPr>
                <w:color w:val="0000FF"/>
                <w:sz w:val="22"/>
                <w:szCs w:val="18"/>
              </w:rPr>
              <w:t>X,XXX</w:t>
            </w:r>
          </w:p>
        </w:tc>
        <w:tc>
          <w:tcPr>
            <w:tcW w:w="1440" w:type="dxa"/>
            <w:vAlign w:val="center"/>
            <w:hideMark/>
          </w:tcPr>
          <w:p w14:paraId="6A1F91E3" w14:textId="77777777" w:rsidR="008C3B58" w:rsidRPr="007C4432" w:rsidRDefault="008C3B58" w:rsidP="00366F05">
            <w:pPr>
              <w:keepNext/>
              <w:widowControl w:val="0"/>
              <w:jc w:val="center"/>
              <w:rPr>
                <w:color w:val="0000FF"/>
                <w:sz w:val="22"/>
                <w:szCs w:val="18"/>
              </w:rPr>
            </w:pPr>
            <w:r w:rsidRPr="007C4432">
              <w:rPr>
                <w:color w:val="0000FF"/>
                <w:sz w:val="22"/>
                <w:szCs w:val="18"/>
              </w:rPr>
              <w:t>X,XXX</w:t>
            </w:r>
          </w:p>
        </w:tc>
        <w:tc>
          <w:tcPr>
            <w:tcW w:w="1440" w:type="dxa"/>
            <w:vAlign w:val="center"/>
            <w:hideMark/>
          </w:tcPr>
          <w:p w14:paraId="582C9EC9" w14:textId="77777777" w:rsidR="008C3B58" w:rsidRPr="007C4432" w:rsidRDefault="008C3B58" w:rsidP="00366F05">
            <w:pPr>
              <w:keepNext/>
              <w:widowControl w:val="0"/>
              <w:jc w:val="center"/>
              <w:rPr>
                <w:color w:val="0000FF"/>
                <w:sz w:val="22"/>
                <w:szCs w:val="18"/>
              </w:rPr>
            </w:pPr>
            <w:r w:rsidRPr="007C4432">
              <w:rPr>
                <w:color w:val="0000FF"/>
                <w:sz w:val="22"/>
                <w:szCs w:val="18"/>
              </w:rPr>
              <w:t>X,XXX</w:t>
            </w:r>
          </w:p>
        </w:tc>
        <w:tc>
          <w:tcPr>
            <w:tcW w:w="1440" w:type="dxa"/>
            <w:vAlign w:val="center"/>
            <w:hideMark/>
          </w:tcPr>
          <w:p w14:paraId="42D45F62" w14:textId="77777777" w:rsidR="008C3B58" w:rsidRPr="007C4432" w:rsidRDefault="008C3B58" w:rsidP="00366F05">
            <w:pPr>
              <w:keepNext/>
              <w:widowControl w:val="0"/>
              <w:jc w:val="center"/>
              <w:rPr>
                <w:color w:val="0000FF"/>
                <w:sz w:val="22"/>
                <w:szCs w:val="18"/>
              </w:rPr>
            </w:pPr>
            <w:r w:rsidRPr="007C4432">
              <w:rPr>
                <w:color w:val="0000FF"/>
                <w:sz w:val="22"/>
                <w:szCs w:val="18"/>
              </w:rPr>
              <w:t>X,XXX</w:t>
            </w:r>
          </w:p>
        </w:tc>
        <w:tc>
          <w:tcPr>
            <w:tcW w:w="1620" w:type="dxa"/>
            <w:vAlign w:val="center"/>
            <w:hideMark/>
          </w:tcPr>
          <w:p w14:paraId="685C0EB0" w14:textId="77777777" w:rsidR="008C3B58" w:rsidRPr="007C4432" w:rsidRDefault="008C3B58" w:rsidP="00366F05">
            <w:pPr>
              <w:keepNext/>
              <w:widowControl w:val="0"/>
              <w:jc w:val="center"/>
              <w:rPr>
                <w:b/>
                <w:bCs/>
                <w:color w:val="0000FF"/>
                <w:sz w:val="22"/>
                <w:szCs w:val="18"/>
              </w:rPr>
            </w:pPr>
            <w:r w:rsidRPr="007C4432">
              <w:rPr>
                <w:b/>
                <w:bCs/>
                <w:color w:val="0000FF"/>
                <w:sz w:val="22"/>
                <w:szCs w:val="18"/>
              </w:rPr>
              <w:t>X,XXX</w:t>
            </w:r>
          </w:p>
        </w:tc>
      </w:tr>
    </w:tbl>
    <w:p w14:paraId="49BA5232" w14:textId="77777777" w:rsidR="000177D5" w:rsidRPr="00993B55" w:rsidRDefault="000177D5" w:rsidP="008C3B58">
      <w:pPr>
        <w:widowControl w:val="0"/>
        <w:autoSpaceDE w:val="0"/>
        <w:autoSpaceDN w:val="0"/>
        <w:adjustRightInd w:val="0"/>
        <w:ind w:left="1080"/>
      </w:pPr>
    </w:p>
    <w:p w14:paraId="0BF02467" w14:textId="77777777" w:rsidR="000177D5" w:rsidRPr="00993B55" w:rsidRDefault="000177D5" w:rsidP="007A60F3">
      <w:pPr>
        <w:widowControl w:val="0"/>
        <w:ind w:left="1080"/>
        <w:rPr>
          <w:i/>
          <w:iCs/>
          <w:color w:val="FF0000"/>
        </w:rPr>
      </w:pPr>
      <w:r w:rsidRPr="00993B55">
        <w:rPr>
          <w:i/>
          <w:iCs/>
          <w:color w:val="FF0000"/>
        </w:rPr>
        <w:t>(</w:t>
      </w:r>
      <w:r w:rsidRPr="00993B55">
        <w:rPr>
          <w:i/>
          <w:iCs/>
          <w:color w:val="FF0000"/>
          <w:u w:val="single"/>
        </w:rPr>
        <w:t>Note</w:t>
      </w:r>
      <w:r w:rsidRPr="00993B55">
        <w:rPr>
          <w:i/>
          <w:iCs/>
          <w:color w:val="FF0000"/>
        </w:rPr>
        <w:t>: Quarterly figures may be different for seasonal sources.)</w:t>
      </w:r>
    </w:p>
    <w:p w14:paraId="2B063929" w14:textId="77777777" w:rsidR="000177D5" w:rsidRPr="00993B55" w:rsidRDefault="000177D5" w:rsidP="008C3B58">
      <w:pPr>
        <w:widowControl w:val="0"/>
        <w:ind w:left="1080"/>
      </w:pPr>
    </w:p>
    <w:p w14:paraId="08026064" w14:textId="77777777" w:rsidR="000177D5" w:rsidRPr="00993B55" w:rsidRDefault="000177D5" w:rsidP="007A60F3">
      <w:pPr>
        <w:widowControl w:val="0"/>
        <w:ind w:left="1080"/>
      </w:pPr>
      <w:r w:rsidRPr="00993B55">
        <w:t>The applicant has proposed to use the following emission reduction certificates:</w:t>
      </w:r>
    </w:p>
    <w:p w14:paraId="5E388576" w14:textId="77777777" w:rsidR="000177D5" w:rsidRPr="00993B55" w:rsidRDefault="000177D5" w:rsidP="007A60F3">
      <w:pPr>
        <w:widowControl w:val="0"/>
        <w:ind w:left="1080"/>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368"/>
        <w:gridCol w:w="1368"/>
        <w:gridCol w:w="1368"/>
        <w:gridCol w:w="1368"/>
      </w:tblGrid>
      <w:tr w:rsidR="000177D5" w:rsidRPr="00993B55" w14:paraId="3593B1FB" w14:textId="77777777" w:rsidTr="008C3B58">
        <w:trPr>
          <w:cantSplit/>
          <w:trHeight w:val="449"/>
        </w:trPr>
        <w:tc>
          <w:tcPr>
            <w:tcW w:w="2250" w:type="dxa"/>
            <w:shd w:val="clear" w:color="auto" w:fill="D9D9D9" w:themeFill="background1" w:themeFillShade="D9"/>
            <w:vAlign w:val="center"/>
          </w:tcPr>
          <w:p w14:paraId="3964F55B" w14:textId="77777777" w:rsidR="000177D5" w:rsidRPr="00993B55" w:rsidRDefault="000177D5" w:rsidP="00366F05">
            <w:pPr>
              <w:keepNext/>
              <w:widowControl w:val="0"/>
              <w:jc w:val="center"/>
              <w:rPr>
                <w:bCs/>
                <w:color w:val="0000FF"/>
              </w:rPr>
            </w:pPr>
          </w:p>
        </w:tc>
        <w:tc>
          <w:tcPr>
            <w:tcW w:w="1368" w:type="dxa"/>
            <w:shd w:val="clear" w:color="auto" w:fill="D9D9D9" w:themeFill="background1" w:themeFillShade="D9"/>
            <w:vAlign w:val="center"/>
          </w:tcPr>
          <w:p w14:paraId="712576B4" w14:textId="77777777" w:rsidR="000177D5" w:rsidRPr="00505E9F" w:rsidRDefault="000177D5" w:rsidP="00366F05">
            <w:pPr>
              <w:keepNext/>
              <w:widowControl w:val="0"/>
              <w:jc w:val="center"/>
              <w:rPr>
                <w:b/>
                <w:bCs/>
                <w:sz w:val="22"/>
              </w:rPr>
            </w:pPr>
            <w:r w:rsidRPr="00505E9F">
              <w:rPr>
                <w:b/>
                <w:bCs/>
                <w:sz w:val="22"/>
              </w:rPr>
              <w:t>1</w:t>
            </w:r>
            <w:r w:rsidRPr="00505E9F">
              <w:rPr>
                <w:b/>
                <w:bCs/>
                <w:sz w:val="22"/>
                <w:vertAlign w:val="superscript"/>
              </w:rPr>
              <w:t>st</w:t>
            </w:r>
            <w:r w:rsidRPr="00505E9F">
              <w:rPr>
                <w:b/>
                <w:bCs/>
                <w:sz w:val="22"/>
              </w:rPr>
              <w:t xml:space="preserve"> Quarter</w:t>
            </w:r>
          </w:p>
        </w:tc>
        <w:tc>
          <w:tcPr>
            <w:tcW w:w="1368" w:type="dxa"/>
            <w:shd w:val="clear" w:color="auto" w:fill="D9D9D9" w:themeFill="background1" w:themeFillShade="D9"/>
            <w:vAlign w:val="center"/>
          </w:tcPr>
          <w:p w14:paraId="4547BEA4" w14:textId="77777777" w:rsidR="000177D5" w:rsidRPr="00505E9F" w:rsidRDefault="000177D5" w:rsidP="00366F05">
            <w:pPr>
              <w:keepNext/>
              <w:widowControl w:val="0"/>
              <w:jc w:val="center"/>
              <w:rPr>
                <w:b/>
                <w:bCs/>
                <w:sz w:val="22"/>
              </w:rPr>
            </w:pPr>
            <w:r w:rsidRPr="00505E9F">
              <w:rPr>
                <w:b/>
                <w:bCs/>
                <w:sz w:val="22"/>
              </w:rPr>
              <w:t>2</w:t>
            </w:r>
            <w:r w:rsidRPr="00505E9F">
              <w:rPr>
                <w:b/>
                <w:bCs/>
                <w:sz w:val="22"/>
                <w:vertAlign w:val="superscript"/>
              </w:rPr>
              <w:t>nd</w:t>
            </w:r>
            <w:r w:rsidRPr="00505E9F">
              <w:rPr>
                <w:b/>
                <w:bCs/>
                <w:sz w:val="22"/>
              </w:rPr>
              <w:t xml:space="preserve"> Quarter</w:t>
            </w:r>
          </w:p>
        </w:tc>
        <w:tc>
          <w:tcPr>
            <w:tcW w:w="1368" w:type="dxa"/>
            <w:shd w:val="clear" w:color="auto" w:fill="D9D9D9" w:themeFill="background1" w:themeFillShade="D9"/>
            <w:vAlign w:val="center"/>
          </w:tcPr>
          <w:p w14:paraId="6C697F1B" w14:textId="77777777" w:rsidR="000177D5" w:rsidRPr="00505E9F" w:rsidRDefault="000177D5" w:rsidP="00366F05">
            <w:pPr>
              <w:keepNext/>
              <w:widowControl w:val="0"/>
              <w:jc w:val="center"/>
              <w:rPr>
                <w:b/>
                <w:bCs/>
                <w:sz w:val="22"/>
              </w:rPr>
            </w:pPr>
            <w:r w:rsidRPr="00505E9F">
              <w:rPr>
                <w:b/>
                <w:bCs/>
                <w:sz w:val="22"/>
              </w:rPr>
              <w:t>3</w:t>
            </w:r>
            <w:r w:rsidRPr="00505E9F">
              <w:rPr>
                <w:b/>
                <w:bCs/>
                <w:sz w:val="22"/>
                <w:vertAlign w:val="superscript"/>
              </w:rPr>
              <w:t>rd</w:t>
            </w:r>
            <w:r w:rsidRPr="00505E9F">
              <w:rPr>
                <w:b/>
                <w:bCs/>
                <w:sz w:val="22"/>
              </w:rPr>
              <w:t xml:space="preserve"> Quarter</w:t>
            </w:r>
          </w:p>
        </w:tc>
        <w:tc>
          <w:tcPr>
            <w:tcW w:w="1368" w:type="dxa"/>
            <w:shd w:val="clear" w:color="auto" w:fill="D9D9D9" w:themeFill="background1" w:themeFillShade="D9"/>
            <w:vAlign w:val="center"/>
          </w:tcPr>
          <w:p w14:paraId="263E0D5F" w14:textId="77777777" w:rsidR="000177D5" w:rsidRPr="00505E9F" w:rsidRDefault="000177D5" w:rsidP="00366F05">
            <w:pPr>
              <w:keepNext/>
              <w:widowControl w:val="0"/>
              <w:jc w:val="center"/>
              <w:rPr>
                <w:b/>
                <w:bCs/>
                <w:sz w:val="22"/>
              </w:rPr>
            </w:pPr>
            <w:r w:rsidRPr="00505E9F">
              <w:rPr>
                <w:b/>
                <w:bCs/>
                <w:sz w:val="22"/>
              </w:rPr>
              <w:t>4</w:t>
            </w:r>
            <w:r w:rsidRPr="00505E9F">
              <w:rPr>
                <w:b/>
                <w:bCs/>
                <w:sz w:val="22"/>
                <w:vertAlign w:val="superscript"/>
              </w:rPr>
              <w:t>th</w:t>
            </w:r>
            <w:r w:rsidRPr="00505E9F">
              <w:rPr>
                <w:b/>
                <w:bCs/>
                <w:sz w:val="22"/>
              </w:rPr>
              <w:t xml:space="preserve"> Quarter</w:t>
            </w:r>
          </w:p>
        </w:tc>
      </w:tr>
      <w:tr w:rsidR="00923130" w:rsidRPr="00993B55" w14:paraId="7D037BB0" w14:textId="77777777" w:rsidTr="008C3B58">
        <w:trPr>
          <w:cantSplit/>
          <w:trHeight w:val="341"/>
        </w:trPr>
        <w:tc>
          <w:tcPr>
            <w:tcW w:w="2250" w:type="dxa"/>
            <w:vAlign w:val="center"/>
          </w:tcPr>
          <w:p w14:paraId="7E1FB40F" w14:textId="11190197" w:rsidR="00923130" w:rsidRPr="00993B55" w:rsidRDefault="00923130" w:rsidP="00366F05">
            <w:pPr>
              <w:keepNext/>
              <w:widowControl w:val="0"/>
              <w:jc w:val="center"/>
              <w:rPr>
                <w:color w:val="0000FF"/>
                <w:sz w:val="22"/>
              </w:rPr>
            </w:pPr>
            <w:r w:rsidRPr="00993B55">
              <w:rPr>
                <w:color w:val="0000FF"/>
                <w:sz w:val="22"/>
              </w:rPr>
              <w:t>ERC #</w:t>
            </w:r>
            <w:r>
              <w:rPr>
                <w:color w:val="0000FF"/>
                <w:sz w:val="22"/>
              </w:rPr>
              <w:t>X</w:t>
            </w:r>
            <w:r w:rsidRPr="00993B55">
              <w:rPr>
                <w:color w:val="0000FF"/>
                <w:sz w:val="22"/>
              </w:rPr>
              <w:t>-XXXX-</w:t>
            </w:r>
            <w:r>
              <w:rPr>
                <w:color w:val="0000FF"/>
                <w:sz w:val="22"/>
              </w:rPr>
              <w:t>X</w:t>
            </w:r>
          </w:p>
        </w:tc>
        <w:tc>
          <w:tcPr>
            <w:tcW w:w="1368" w:type="dxa"/>
            <w:vAlign w:val="center"/>
          </w:tcPr>
          <w:p w14:paraId="214BA766" w14:textId="26628F19" w:rsidR="00923130" w:rsidRPr="00993B55" w:rsidRDefault="00276611" w:rsidP="00366F05">
            <w:pPr>
              <w:keepNext/>
              <w:widowControl w:val="0"/>
              <w:jc w:val="center"/>
              <w:rPr>
                <w:color w:val="0000FF"/>
                <w:sz w:val="22"/>
              </w:rPr>
            </w:pPr>
            <w:r w:rsidRPr="007C4432">
              <w:rPr>
                <w:color w:val="0000FF"/>
                <w:sz w:val="22"/>
                <w:szCs w:val="18"/>
              </w:rPr>
              <w:t>X,XXX</w:t>
            </w:r>
          </w:p>
        </w:tc>
        <w:tc>
          <w:tcPr>
            <w:tcW w:w="1368" w:type="dxa"/>
            <w:vAlign w:val="center"/>
          </w:tcPr>
          <w:p w14:paraId="6E61C8F2" w14:textId="64546126" w:rsidR="00923130" w:rsidRPr="00993B55" w:rsidRDefault="00923130" w:rsidP="00366F05">
            <w:pPr>
              <w:keepNext/>
              <w:widowControl w:val="0"/>
              <w:jc w:val="center"/>
              <w:rPr>
                <w:color w:val="0000FF"/>
                <w:sz w:val="22"/>
              </w:rPr>
            </w:pPr>
            <w:r w:rsidRPr="007C4432">
              <w:rPr>
                <w:color w:val="0000FF"/>
                <w:sz w:val="22"/>
                <w:szCs w:val="18"/>
              </w:rPr>
              <w:t>X,XXX</w:t>
            </w:r>
          </w:p>
        </w:tc>
        <w:tc>
          <w:tcPr>
            <w:tcW w:w="1368" w:type="dxa"/>
            <w:vAlign w:val="center"/>
          </w:tcPr>
          <w:p w14:paraId="3866E466" w14:textId="278B7820" w:rsidR="00923130" w:rsidRPr="00993B55" w:rsidRDefault="00923130" w:rsidP="00366F05">
            <w:pPr>
              <w:keepNext/>
              <w:widowControl w:val="0"/>
              <w:jc w:val="center"/>
              <w:rPr>
                <w:color w:val="0000FF"/>
                <w:sz w:val="22"/>
              </w:rPr>
            </w:pPr>
            <w:r w:rsidRPr="007C4432">
              <w:rPr>
                <w:color w:val="0000FF"/>
                <w:sz w:val="22"/>
                <w:szCs w:val="18"/>
              </w:rPr>
              <w:t>X,XXX</w:t>
            </w:r>
          </w:p>
        </w:tc>
        <w:tc>
          <w:tcPr>
            <w:tcW w:w="1368" w:type="dxa"/>
            <w:vAlign w:val="center"/>
          </w:tcPr>
          <w:p w14:paraId="5E54F9E4" w14:textId="18AC2C19" w:rsidR="00923130" w:rsidRPr="00993B55" w:rsidRDefault="00923130" w:rsidP="00366F05">
            <w:pPr>
              <w:keepNext/>
              <w:widowControl w:val="0"/>
              <w:jc w:val="center"/>
              <w:rPr>
                <w:color w:val="0000FF"/>
                <w:sz w:val="22"/>
              </w:rPr>
            </w:pPr>
            <w:r w:rsidRPr="007C4432">
              <w:rPr>
                <w:color w:val="0000FF"/>
                <w:sz w:val="22"/>
                <w:szCs w:val="18"/>
              </w:rPr>
              <w:t>X,XXX</w:t>
            </w:r>
          </w:p>
        </w:tc>
      </w:tr>
    </w:tbl>
    <w:p w14:paraId="09AD034E" w14:textId="77777777" w:rsidR="000177D5" w:rsidRPr="00993B55" w:rsidRDefault="000177D5" w:rsidP="007A60F3">
      <w:pPr>
        <w:widowControl w:val="0"/>
        <w:ind w:left="1080"/>
      </w:pPr>
    </w:p>
    <w:p w14:paraId="4D647E42" w14:textId="53B82921" w:rsidR="000177D5" w:rsidRPr="00993B55" w:rsidRDefault="000177D5" w:rsidP="007A60F3">
      <w:pPr>
        <w:widowControl w:val="0"/>
        <w:autoSpaceDE w:val="0"/>
        <w:autoSpaceDN w:val="0"/>
        <w:adjustRightInd w:val="0"/>
        <w:ind w:left="1080"/>
      </w:pPr>
      <w:r w:rsidRPr="00993B55">
        <w:t xml:space="preserve">As </w:t>
      </w:r>
      <w:r w:rsidRPr="00993B55">
        <w:rPr>
          <w:rFonts w:cs="Arial"/>
        </w:rPr>
        <w:t xml:space="preserve">discussed </w:t>
      </w:r>
      <w:r w:rsidRPr="00993B55">
        <w:t>above, the facility has sufficient credits to fully offset the quarterly</w:t>
      </w:r>
      <w:r w:rsidRPr="00993B55">
        <w:rPr>
          <w:color w:val="0000FF"/>
        </w:rPr>
        <w:t xml:space="preserve"> NO</w:t>
      </w:r>
      <w:r w:rsidR="00FC4D95">
        <w:rPr>
          <w:color w:val="0000FF"/>
        </w:rPr>
        <w:t>x</w:t>
      </w:r>
      <w:r w:rsidRPr="00993B55">
        <w:rPr>
          <w:color w:val="0000FF"/>
        </w:rPr>
        <w:t xml:space="preserve"> </w:t>
      </w:r>
      <w:r w:rsidRPr="00993B55">
        <w:t>emissions increases associated with this project.</w:t>
      </w:r>
    </w:p>
    <w:p w14:paraId="234C894A" w14:textId="77777777" w:rsidR="000177D5" w:rsidRPr="00993B55" w:rsidRDefault="000177D5" w:rsidP="007A60F3">
      <w:pPr>
        <w:widowControl w:val="0"/>
        <w:ind w:left="1080"/>
      </w:pPr>
    </w:p>
    <w:p w14:paraId="4A3B9128" w14:textId="2D42D1A3" w:rsidR="000177D5" w:rsidRPr="00993B55" w:rsidRDefault="000177D5" w:rsidP="007A60F3">
      <w:pPr>
        <w:widowControl w:val="0"/>
        <w:ind w:left="1080"/>
        <w:rPr>
          <w:i/>
          <w:iCs/>
          <w:color w:val="FF0000"/>
        </w:rPr>
      </w:pPr>
      <w:r w:rsidRPr="00993B55">
        <w:rPr>
          <w:i/>
          <w:iCs/>
          <w:color w:val="FF0000"/>
        </w:rPr>
        <w:t>(</w:t>
      </w:r>
      <w:r w:rsidRPr="00993B55">
        <w:rPr>
          <w:i/>
          <w:iCs/>
          <w:color w:val="FF0000"/>
          <w:u w:val="single"/>
        </w:rPr>
        <w:t>Note</w:t>
      </w:r>
      <w:r w:rsidRPr="00993B55">
        <w:rPr>
          <w:i/>
          <w:iCs/>
          <w:color w:val="FF0000"/>
        </w:rPr>
        <w:t>: interpollutant offsets may also be allowed; however, the facility must justify the proposed interpollutant offset ratio with an interpollutant offset ratio analysis.</w:t>
      </w:r>
      <w:r w:rsidR="00923130">
        <w:rPr>
          <w:i/>
          <w:iCs/>
          <w:color w:val="FF0000"/>
        </w:rPr>
        <w:t xml:space="preserve"> Discuss with your Supervisor if interpollutant offsets are requested.</w:t>
      </w:r>
      <w:r w:rsidRPr="00993B55">
        <w:rPr>
          <w:i/>
          <w:iCs/>
          <w:color w:val="FF0000"/>
        </w:rPr>
        <w:t>)</w:t>
      </w:r>
    </w:p>
    <w:p w14:paraId="2FACF57C" w14:textId="77777777" w:rsidR="000177D5" w:rsidRPr="00993B55" w:rsidRDefault="000177D5" w:rsidP="006626FF">
      <w:pPr>
        <w:widowControl w:val="0"/>
        <w:ind w:left="1080"/>
      </w:pPr>
    </w:p>
    <w:p w14:paraId="19526D44" w14:textId="77777777" w:rsidR="000177D5" w:rsidRPr="00993B55" w:rsidRDefault="000177D5" w:rsidP="006626FF">
      <w:pPr>
        <w:widowControl w:val="0"/>
        <w:ind w:left="1080"/>
        <w:rPr>
          <w:b/>
          <w:spacing w:val="-3"/>
        </w:rPr>
      </w:pPr>
      <w:r w:rsidRPr="00993B55">
        <w:rPr>
          <w:b/>
          <w:spacing w:val="-3"/>
          <w:u w:val="single"/>
        </w:rPr>
        <w:t>Proposed Rule 2201 Offset Permit Conditions</w:t>
      </w:r>
    </w:p>
    <w:p w14:paraId="0A368DAB" w14:textId="77777777" w:rsidR="000177D5" w:rsidRPr="00993B55" w:rsidRDefault="000177D5" w:rsidP="006626FF">
      <w:pPr>
        <w:widowControl w:val="0"/>
        <w:ind w:left="1080"/>
        <w:rPr>
          <w:bCs/>
          <w:iCs/>
          <w:spacing w:val="-2"/>
        </w:rPr>
      </w:pPr>
    </w:p>
    <w:p w14:paraId="69E582EE" w14:textId="77777777" w:rsidR="000177D5" w:rsidRPr="00993B55" w:rsidRDefault="000177D5" w:rsidP="006626FF">
      <w:pPr>
        <w:widowControl w:val="0"/>
        <w:ind w:left="1080"/>
        <w:rPr>
          <w:bCs/>
          <w:iCs/>
          <w:spacing w:val="-2"/>
        </w:rPr>
      </w:pPr>
      <w:r w:rsidRPr="00993B55">
        <w:rPr>
          <w:bCs/>
          <w:iCs/>
          <w:spacing w:val="-2"/>
        </w:rPr>
        <w:t>The following permit conditions will be added to the Authority(ies) to Construct:</w:t>
      </w:r>
    </w:p>
    <w:p w14:paraId="24DCCBF0" w14:textId="77777777" w:rsidR="000177D5" w:rsidRPr="00993B55" w:rsidRDefault="000177D5" w:rsidP="00125B79">
      <w:pPr>
        <w:widowControl w:val="0"/>
        <w:ind w:left="1080"/>
        <w:rPr>
          <w:bCs/>
          <w:iCs/>
          <w:spacing w:val="-2"/>
        </w:rPr>
      </w:pPr>
    </w:p>
    <w:p w14:paraId="45888A1B" w14:textId="2D24D3BD" w:rsidR="000177D5" w:rsidRPr="00FA50B0" w:rsidRDefault="000177D5" w:rsidP="007A60F3">
      <w:pPr>
        <w:widowControl w:val="0"/>
        <w:numPr>
          <w:ilvl w:val="0"/>
          <w:numId w:val="7"/>
        </w:numPr>
        <w:tabs>
          <w:tab w:val="clear" w:pos="720"/>
        </w:tabs>
        <w:ind w:left="1440"/>
        <w:rPr>
          <w:szCs w:val="24"/>
        </w:rPr>
      </w:pPr>
      <w:r w:rsidRPr="00FA50B0">
        <w:rPr>
          <w:szCs w:val="24"/>
        </w:rPr>
        <w:lastRenderedPageBreak/>
        <w:t>{GC# 4447 - edited} Prior to operating equipment under this Authority to Construct, permittee shall surrender NO</w:t>
      </w:r>
      <w:r w:rsidR="00FC4D95" w:rsidRPr="00FA50B0">
        <w:rPr>
          <w:szCs w:val="24"/>
        </w:rPr>
        <w:t>x</w:t>
      </w:r>
      <w:r w:rsidRPr="00FA50B0">
        <w:rPr>
          <w:szCs w:val="24"/>
        </w:rPr>
        <w:t xml:space="preserve"> emission reduction credits for the following quantity of emissions: 1st quarter </w:t>
      </w:r>
      <w:r w:rsidR="00B43C53">
        <w:rPr>
          <w:szCs w:val="24"/>
        </w:rPr>
        <w:t>-</w:t>
      </w:r>
      <w:r w:rsidRPr="00FA50B0">
        <w:rPr>
          <w:szCs w:val="24"/>
        </w:rPr>
        <w:t xml:space="preserve"> </w:t>
      </w:r>
      <w:r w:rsidR="00FA50B0" w:rsidRPr="00FA50B0">
        <w:rPr>
          <w:color w:val="0000FF"/>
        </w:rPr>
        <w:t>X,XXX</w:t>
      </w:r>
      <w:r w:rsidRPr="00FA50B0">
        <w:rPr>
          <w:color w:val="0000FF"/>
        </w:rPr>
        <w:t xml:space="preserve"> </w:t>
      </w:r>
      <w:r w:rsidRPr="00FA50B0">
        <w:rPr>
          <w:szCs w:val="24"/>
        </w:rPr>
        <w:t xml:space="preserve">lb, 2nd quarter - </w:t>
      </w:r>
      <w:r w:rsidR="00FA50B0" w:rsidRPr="00FA50B0">
        <w:rPr>
          <w:color w:val="0000FF"/>
        </w:rPr>
        <w:t>X,XXX</w:t>
      </w:r>
      <w:r w:rsidRPr="00FA50B0">
        <w:t xml:space="preserve"> </w:t>
      </w:r>
      <w:r w:rsidRPr="00FA50B0">
        <w:rPr>
          <w:szCs w:val="24"/>
        </w:rPr>
        <w:t xml:space="preserve">lb, 3rd quarter - </w:t>
      </w:r>
      <w:r w:rsidR="00FA50B0" w:rsidRPr="00FA50B0">
        <w:rPr>
          <w:color w:val="0000FF"/>
        </w:rPr>
        <w:t>X,XXX</w:t>
      </w:r>
      <w:r w:rsidRPr="00FA50B0">
        <w:t xml:space="preserve"> </w:t>
      </w:r>
      <w:r w:rsidRPr="00FA50B0">
        <w:rPr>
          <w:szCs w:val="24"/>
        </w:rPr>
        <w:t xml:space="preserve">lb, and fourth quarter - </w:t>
      </w:r>
      <w:r w:rsidR="00FA50B0" w:rsidRPr="00FA50B0">
        <w:rPr>
          <w:color w:val="0000FF"/>
        </w:rPr>
        <w:t>X,XXX</w:t>
      </w:r>
      <w:r w:rsidRPr="00FA50B0">
        <w:t xml:space="preserve"> </w:t>
      </w:r>
      <w:r w:rsidRPr="00FA50B0">
        <w:rPr>
          <w:szCs w:val="24"/>
        </w:rPr>
        <w:t>lb.  These amounts include the applicable offset ratio specified in Rule 2201 Section 4.</w:t>
      </w:r>
      <w:r w:rsidR="00BB5A4B" w:rsidRPr="00FA50B0">
        <w:rPr>
          <w:szCs w:val="24"/>
        </w:rPr>
        <w:t>9</w:t>
      </w:r>
      <w:r w:rsidRPr="00FA50B0">
        <w:rPr>
          <w:szCs w:val="24"/>
        </w:rPr>
        <w:t xml:space="preserve"> (as amended </w:t>
      </w:r>
      <w:r w:rsidR="0046265A" w:rsidRPr="00FA50B0">
        <w:rPr>
          <w:szCs w:val="24"/>
        </w:rPr>
        <w:t>4/20/23</w:t>
      </w:r>
      <w:r w:rsidRPr="00FA50B0">
        <w:rPr>
          <w:szCs w:val="24"/>
        </w:rPr>
        <w:t>) for the ERC specified below. [District Rule 2201]</w:t>
      </w:r>
    </w:p>
    <w:p w14:paraId="2227186F" w14:textId="77777777" w:rsidR="000177D5" w:rsidRPr="00FA50B0" w:rsidRDefault="000177D5" w:rsidP="007A60F3">
      <w:pPr>
        <w:widowControl w:val="0"/>
        <w:ind w:left="1440"/>
        <w:rPr>
          <w:szCs w:val="24"/>
        </w:rPr>
      </w:pPr>
    </w:p>
    <w:p w14:paraId="50E12002" w14:textId="4F5D07D1" w:rsidR="000177D5" w:rsidRPr="00FA50B0" w:rsidRDefault="000177D5" w:rsidP="007A60F3">
      <w:pPr>
        <w:widowControl w:val="0"/>
        <w:numPr>
          <w:ilvl w:val="0"/>
          <w:numId w:val="6"/>
        </w:numPr>
        <w:tabs>
          <w:tab w:val="clear" w:pos="720"/>
        </w:tabs>
        <w:ind w:left="1440"/>
      </w:pPr>
      <w:r w:rsidRPr="00FA50B0">
        <w:t xml:space="preserve">{GC# 1983} ERC Certificate Number </w:t>
      </w:r>
      <w:r w:rsidR="00FA50B0" w:rsidRPr="00FA50B0">
        <w:rPr>
          <w:color w:val="0000FF"/>
        </w:rPr>
        <w:t>X</w:t>
      </w:r>
      <w:r w:rsidRPr="00FA50B0">
        <w:rPr>
          <w:color w:val="0000FF"/>
        </w:rPr>
        <w:t>-XXXX-</w:t>
      </w:r>
      <w:r w:rsidR="00FA50B0" w:rsidRPr="00FA50B0">
        <w:rPr>
          <w:color w:val="0000FF"/>
        </w:rPr>
        <w:t>X</w:t>
      </w:r>
      <w:r w:rsidRPr="00FA50B0">
        <w:rPr>
          <w:color w:val="0000FF"/>
        </w:rPr>
        <w:t xml:space="preserve"> </w:t>
      </w:r>
      <w:r w:rsidRPr="00FA50B0">
        <w:t>(or a certificate split from this certificate) shall be used to supply the required offsets, unless a revised offsetting proposal is received and approved by the District, upon which this Authority to Construct shall be reissued, administratively specifying the new offsetting proposal.  Original public noticing requirements, if any, shall be duplicated prior to reissuance of this Authority to Construct. [District Rule 2201]</w:t>
      </w:r>
    </w:p>
    <w:p w14:paraId="77823F42" w14:textId="77777777" w:rsidR="000177D5" w:rsidRPr="00993B55" w:rsidRDefault="000177D5" w:rsidP="007A60F3">
      <w:pPr>
        <w:widowControl w:val="0"/>
        <w:ind w:left="1080"/>
        <w:jc w:val="left"/>
      </w:pPr>
    </w:p>
    <w:p w14:paraId="5AC1C9E0" w14:textId="325E40B5" w:rsidR="000177D5" w:rsidRPr="00993B55" w:rsidRDefault="004A2688" w:rsidP="007A60F3">
      <w:pPr>
        <w:widowControl w:val="0"/>
        <w:ind w:left="1080"/>
        <w:jc w:val="left"/>
        <w:rPr>
          <w:b/>
        </w:rPr>
      </w:pPr>
      <w:r>
        <w:rPr>
          <w:b/>
          <w:color w:val="0000FF"/>
        </w:rPr>
        <w:t>b</w:t>
      </w:r>
      <w:r w:rsidR="000177D5" w:rsidRPr="00993B55">
        <w:rPr>
          <w:b/>
          <w:color w:val="0000FF"/>
        </w:rPr>
        <w:t>.2</w:t>
      </w:r>
      <w:r w:rsidR="000177D5" w:rsidRPr="00993B55">
        <w:rPr>
          <w:b/>
          <w:color w:val="0000FF"/>
        </w:rPr>
        <w:tab/>
      </w:r>
      <w:r w:rsidR="000177D5" w:rsidRPr="00993B55">
        <w:rPr>
          <w:b/>
          <w:color w:val="0000FF"/>
          <w:u w:val="single"/>
        </w:rPr>
        <w:t>VOC</w:t>
      </w:r>
      <w:r w:rsidR="000177D5" w:rsidRPr="00993B55">
        <w:rPr>
          <w:b/>
          <w:color w:val="0000FF"/>
        </w:rPr>
        <w:t xml:space="preserve">  </w:t>
      </w:r>
      <w:r w:rsidR="000177D5" w:rsidRPr="00993B55">
        <w:rPr>
          <w:color w:val="FF0000"/>
        </w:rPr>
        <w:t>(Add section as needed to address each pollutant requiring offsets)</w:t>
      </w:r>
    </w:p>
    <w:p w14:paraId="576A7CCD" w14:textId="77777777" w:rsidR="000177D5" w:rsidRPr="00993B55" w:rsidRDefault="000177D5" w:rsidP="007A60F3">
      <w:pPr>
        <w:widowControl w:val="0"/>
        <w:ind w:left="1080"/>
        <w:rPr>
          <w:bCs/>
          <w:iCs/>
        </w:rPr>
      </w:pPr>
    </w:p>
    <w:p w14:paraId="2B42A9ED" w14:textId="77777777" w:rsidR="000177D5" w:rsidRPr="00993B55" w:rsidRDefault="000177D5" w:rsidP="007A60F3">
      <w:pPr>
        <w:widowControl w:val="0"/>
        <w:ind w:left="1080"/>
        <w:rPr>
          <w:color w:val="000000"/>
        </w:rPr>
      </w:pPr>
      <w:r w:rsidRPr="00993B55">
        <w:rPr>
          <w:b/>
          <w:i/>
          <w:color w:val="FF0000"/>
          <w:u w:val="single"/>
        </w:rPr>
        <w:t>SEE Section 2.1 ABOVE</w:t>
      </w:r>
    </w:p>
    <w:p w14:paraId="377DC0B1" w14:textId="77777777" w:rsidR="000177D5" w:rsidRPr="00993B55" w:rsidRDefault="000177D5" w:rsidP="007A60F3">
      <w:pPr>
        <w:widowControl w:val="0"/>
        <w:ind w:left="1080"/>
        <w:rPr>
          <w:bCs/>
          <w:iCs/>
        </w:rPr>
      </w:pPr>
    </w:p>
    <w:p w14:paraId="6E5606BD" w14:textId="77777777" w:rsidR="000177D5" w:rsidRPr="00993B55" w:rsidRDefault="000177D5" w:rsidP="007A60F3">
      <w:pPr>
        <w:widowControl w:val="0"/>
        <w:ind w:left="1080"/>
        <w:rPr>
          <w:b/>
          <w:i/>
          <w:color w:val="FF0000"/>
        </w:rPr>
      </w:pPr>
      <w:r w:rsidRPr="00993B55">
        <w:rPr>
          <w:b/>
          <w:i/>
          <w:color w:val="FF0000"/>
        </w:rPr>
        <w:t xml:space="preserve">Each pollutant must be addressed one by one separately, from District Offset Quantities Calculation up to the Permit Conditions </w:t>
      </w:r>
    </w:p>
    <w:p w14:paraId="76FBF669" w14:textId="77777777" w:rsidR="00FF6154" w:rsidRPr="00537A24" w:rsidRDefault="00FF6154" w:rsidP="008F20D3">
      <w:pPr>
        <w:pStyle w:val="Heading6"/>
      </w:pPr>
      <w:r w:rsidRPr="00537A24">
        <w:t>2.</w:t>
      </w:r>
      <w:r w:rsidRPr="00537A24">
        <w:tab/>
        <w:t>Federal Emission Offset Requirements</w:t>
      </w:r>
    </w:p>
    <w:p w14:paraId="2F2A4504" w14:textId="77777777" w:rsidR="00FF6154" w:rsidRPr="00537A24" w:rsidRDefault="00FF6154" w:rsidP="008F20D3">
      <w:pPr>
        <w:pStyle w:val="Heading7"/>
      </w:pPr>
      <w:r w:rsidRPr="00537A24">
        <w:t>a.</w:t>
      </w:r>
      <w:r w:rsidRPr="00537A24">
        <w:tab/>
        <w:t>Federal Offset Applicability</w:t>
      </w:r>
    </w:p>
    <w:p w14:paraId="2539ADEA" w14:textId="5317359D" w:rsidR="00FF6154" w:rsidRPr="00D27E11" w:rsidRDefault="00FF6154" w:rsidP="007A60F3">
      <w:pPr>
        <w:widowControl w:val="0"/>
        <w:ind w:left="1080"/>
      </w:pPr>
      <w:r w:rsidRPr="00D27E11">
        <w:t>Pursuant to District Rule 2201, Section 4.8, federal offset requirements shall be triggered on a pollutant</w:t>
      </w:r>
      <w:r w:rsidR="0052578A">
        <w:t>-</w:t>
      </w:r>
      <w:r w:rsidRPr="00D27E11">
        <w:t>by</w:t>
      </w:r>
      <w:r w:rsidR="0052578A">
        <w:t>-</w:t>
      </w:r>
      <w:r w:rsidRPr="00D27E11">
        <w:t>pollutant basis and shall be required if the project is a New Major Source or a Federal Major Modification.</w:t>
      </w:r>
    </w:p>
    <w:p w14:paraId="30D1A20E" w14:textId="10220CAB" w:rsidR="00FF6154" w:rsidRDefault="00FF6154" w:rsidP="007A60F3">
      <w:pPr>
        <w:widowControl w:val="0"/>
        <w:ind w:left="1080"/>
      </w:pPr>
    </w:p>
    <w:p w14:paraId="4293819B" w14:textId="77777777" w:rsidR="009A1754" w:rsidRPr="00993B55" w:rsidRDefault="009A1754" w:rsidP="007A60F3">
      <w:pPr>
        <w:widowControl w:val="0"/>
        <w:ind w:left="1080"/>
        <w:rPr>
          <w:rFonts w:cs="Arial"/>
        </w:rPr>
      </w:pPr>
      <w:r w:rsidRPr="00993B55">
        <w:rPr>
          <w:rFonts w:cs="Arial"/>
          <w:color w:val="FF0000"/>
        </w:rPr>
        <w:t>Minor Source for ALL pollutants</w:t>
      </w:r>
    </w:p>
    <w:p w14:paraId="7542C7D4" w14:textId="34904EDB" w:rsidR="00FF6154" w:rsidRPr="00D27E11" w:rsidRDefault="00FF6154" w:rsidP="007A60F3">
      <w:pPr>
        <w:widowControl w:val="0"/>
        <w:ind w:left="1080"/>
      </w:pPr>
      <w:r w:rsidRPr="00D27E11">
        <w:t>As demonstrated in section VII.C.8 above, this project is not a New Major Source or a Federal Major Modification for any pollutant addressed in this project.  Thus, federal offsets are not triggered for this project.</w:t>
      </w:r>
    </w:p>
    <w:p w14:paraId="1DF8FA91" w14:textId="7510A963" w:rsidR="00FF6154" w:rsidRDefault="00FF6154" w:rsidP="00C1242F">
      <w:pPr>
        <w:widowControl w:val="0"/>
        <w:ind w:left="1080"/>
        <w:rPr>
          <w:spacing w:val="-3"/>
          <w:highlight w:val="yellow"/>
        </w:rPr>
      </w:pPr>
    </w:p>
    <w:p w14:paraId="4B126788" w14:textId="34D21CBC" w:rsidR="002B3F49" w:rsidRPr="00993B55" w:rsidRDefault="00010DA9" w:rsidP="007A60F3">
      <w:pPr>
        <w:widowControl w:val="0"/>
        <w:ind w:left="1080"/>
        <w:rPr>
          <w:rFonts w:cs="Arial"/>
        </w:rPr>
      </w:pPr>
      <w:r>
        <w:rPr>
          <w:rFonts w:cs="Arial"/>
          <w:color w:val="FF0000"/>
        </w:rPr>
        <w:t xml:space="preserve">FMM or NMS </w:t>
      </w:r>
    </w:p>
    <w:p w14:paraId="4E5E639C" w14:textId="5A72FCDC" w:rsidR="00010DA9" w:rsidRPr="00D27E11" w:rsidRDefault="00010DA9" w:rsidP="007A60F3">
      <w:pPr>
        <w:widowControl w:val="0"/>
        <w:ind w:left="1080"/>
      </w:pPr>
      <w:r w:rsidRPr="00D27E11">
        <w:t xml:space="preserve">As demonstrated in section VII.C.8 above, this project is a </w:t>
      </w:r>
      <w:r w:rsidRPr="00E910E3">
        <w:rPr>
          <w:color w:val="0000FF"/>
        </w:rPr>
        <w:t xml:space="preserve">New Major Source or a Federal Major Modification </w:t>
      </w:r>
      <w:r w:rsidRPr="00D27E11">
        <w:t xml:space="preserve">for </w:t>
      </w:r>
      <w:r w:rsidRPr="00D96F97">
        <w:rPr>
          <w:color w:val="0000FF"/>
        </w:rPr>
        <w:t>NOx</w:t>
      </w:r>
      <w:r w:rsidR="00544769">
        <w:rPr>
          <w:color w:val="0000FF"/>
        </w:rPr>
        <w:t xml:space="preserve"> and VOC</w:t>
      </w:r>
      <w:r w:rsidRPr="00D27E11">
        <w:t>.  Thus, federal offsets are triggered for this project.</w:t>
      </w:r>
    </w:p>
    <w:p w14:paraId="73B14B8A" w14:textId="24547C7A" w:rsidR="00FF6154" w:rsidRPr="00537A24" w:rsidRDefault="00FF6154" w:rsidP="008F20D3">
      <w:pPr>
        <w:pStyle w:val="Heading7"/>
      </w:pPr>
      <w:r w:rsidRPr="00537A24">
        <w:t>b.</w:t>
      </w:r>
      <w:r w:rsidRPr="00537A24">
        <w:tab/>
        <w:t>Federal Offset Quantity</w:t>
      </w:r>
      <w:r w:rsidR="003A152D" w:rsidRPr="00537A24">
        <w:t xml:space="preserve"> (FOQ)</w:t>
      </w:r>
      <w:r w:rsidRPr="00537A24">
        <w:t xml:space="preserve"> Required</w:t>
      </w:r>
    </w:p>
    <w:p w14:paraId="617E5A15" w14:textId="1C4CEF74" w:rsidR="007012FE" w:rsidRPr="00993B55" w:rsidRDefault="007012FE" w:rsidP="007A60F3">
      <w:pPr>
        <w:widowControl w:val="0"/>
        <w:ind w:left="1080"/>
        <w:rPr>
          <w:rFonts w:cs="Arial"/>
        </w:rPr>
      </w:pPr>
      <w:r>
        <w:rPr>
          <w:rFonts w:cs="Arial"/>
          <w:color w:val="FF0000"/>
        </w:rPr>
        <w:t>Project is not a FMM or NMS</w:t>
      </w:r>
      <w:r w:rsidR="0053693A">
        <w:rPr>
          <w:rFonts w:cs="Arial"/>
          <w:color w:val="FF0000"/>
        </w:rPr>
        <w:t>, use the following, otherwise delete:</w:t>
      </w:r>
      <w:r>
        <w:rPr>
          <w:rFonts w:cs="Arial"/>
          <w:color w:val="FF0000"/>
        </w:rPr>
        <w:t xml:space="preserve"> </w:t>
      </w:r>
    </w:p>
    <w:p w14:paraId="22449607" w14:textId="12925609" w:rsidR="00FF6154" w:rsidRPr="007F5F96" w:rsidRDefault="00FF6154" w:rsidP="007A60F3">
      <w:pPr>
        <w:widowControl w:val="0"/>
        <w:ind w:left="1080"/>
      </w:pPr>
      <w:r w:rsidRPr="007F5F96">
        <w:t>As discussed above, this project does not trigger Federal Major Modification or New Major Source requirements; therefore, in conclusion, federal offsets will not be required for this project and no further discussion is required.</w:t>
      </w:r>
    </w:p>
    <w:p w14:paraId="12FB56BD" w14:textId="39B6FA09" w:rsidR="002578EE" w:rsidRDefault="002578EE" w:rsidP="007A60F3">
      <w:pPr>
        <w:widowControl w:val="0"/>
        <w:ind w:left="1080"/>
        <w:rPr>
          <w:highlight w:val="yellow"/>
        </w:rPr>
      </w:pPr>
    </w:p>
    <w:p w14:paraId="3ECF1FE5" w14:textId="40E78C6F" w:rsidR="001D7190" w:rsidRDefault="001D7190" w:rsidP="007A60F3">
      <w:pPr>
        <w:widowControl w:val="0"/>
        <w:ind w:left="1080"/>
        <w:rPr>
          <w:rFonts w:cs="Arial"/>
          <w:color w:val="FF0000"/>
        </w:rPr>
      </w:pPr>
      <w:r>
        <w:rPr>
          <w:rFonts w:cs="Arial"/>
          <w:color w:val="FF0000"/>
        </w:rPr>
        <w:t xml:space="preserve">Project is a FMM for </w:t>
      </w:r>
      <w:r w:rsidR="00544769">
        <w:rPr>
          <w:rFonts w:cs="Arial"/>
          <w:color w:val="FF0000"/>
        </w:rPr>
        <w:t>the proposed</w:t>
      </w:r>
      <w:r w:rsidRPr="00993B55">
        <w:rPr>
          <w:rFonts w:cs="Arial"/>
          <w:color w:val="FF0000"/>
        </w:rPr>
        <w:t xml:space="preserve"> installation of equipment required to </w:t>
      </w:r>
      <w:r w:rsidRPr="00993B55">
        <w:rPr>
          <w:rFonts w:cs="Arial"/>
          <w:b/>
          <w:color w:val="FF0000"/>
        </w:rPr>
        <w:t>comply with an applicable attainment implementation</w:t>
      </w:r>
      <w:r w:rsidRPr="00993B55">
        <w:rPr>
          <w:rFonts w:cs="Arial"/>
          <w:color w:val="FF0000"/>
        </w:rPr>
        <w:t xml:space="preserve"> plan or permit, use the following, </w:t>
      </w:r>
      <w:r w:rsidRPr="00993B55">
        <w:rPr>
          <w:rFonts w:cs="Arial"/>
          <w:b/>
          <w:color w:val="FF0000"/>
        </w:rPr>
        <w:lastRenderedPageBreak/>
        <w:t>otherwise delete</w:t>
      </w:r>
      <w:r w:rsidRPr="00993B55">
        <w:rPr>
          <w:rFonts w:cs="Arial"/>
          <w:color w:val="FF0000"/>
        </w:rPr>
        <w:t>:</w:t>
      </w:r>
    </w:p>
    <w:p w14:paraId="2B076198" w14:textId="33653D65" w:rsidR="001D7190" w:rsidRPr="00993B55" w:rsidRDefault="0053693A" w:rsidP="007A60F3">
      <w:pPr>
        <w:widowControl w:val="0"/>
        <w:ind w:left="1080"/>
        <w:rPr>
          <w:rFonts w:cs="Arial"/>
          <w:szCs w:val="24"/>
        </w:rPr>
      </w:pPr>
      <w:r w:rsidRPr="00462FCC">
        <w:t>As discussed above, this project triggers Federal Major Modification requirements</w:t>
      </w:r>
      <w:r w:rsidR="00462FCC" w:rsidRPr="00462FCC">
        <w:t xml:space="preserve">.  </w:t>
      </w:r>
      <w:r w:rsidR="001D7190" w:rsidRPr="00462FCC">
        <w:rPr>
          <w:rFonts w:cs="Arial"/>
          <w:szCs w:val="24"/>
        </w:rPr>
        <w:t>In</w:t>
      </w:r>
      <w:r w:rsidR="001D7190" w:rsidRPr="00993B55">
        <w:rPr>
          <w:rFonts w:cs="Arial"/>
          <w:szCs w:val="24"/>
        </w:rPr>
        <w:t xml:space="preserve"> accordance with the Clean Air Act, Section 182(e)(2), the offset requirements of this part shall not be applicable in areas designated as Extreme non-attainment to a modification of an existing source if such modification consists of installation of equipment required to comply with an applicable attainment implementation plan or permit.</w:t>
      </w:r>
    </w:p>
    <w:p w14:paraId="5537D00C" w14:textId="77777777" w:rsidR="001D7190" w:rsidRPr="00993B55" w:rsidRDefault="001D7190" w:rsidP="00243155">
      <w:pPr>
        <w:widowControl w:val="0"/>
        <w:ind w:left="1080"/>
        <w:rPr>
          <w:rFonts w:cs="Arial"/>
          <w:szCs w:val="24"/>
        </w:rPr>
      </w:pPr>
    </w:p>
    <w:p w14:paraId="59352F4E" w14:textId="33FDC953" w:rsidR="001D7190" w:rsidRPr="00993B55" w:rsidRDefault="001D7190" w:rsidP="007A60F3">
      <w:pPr>
        <w:widowControl w:val="0"/>
        <w:ind w:left="1080"/>
        <w:rPr>
          <w:rFonts w:cs="Arial"/>
          <w:szCs w:val="24"/>
        </w:rPr>
      </w:pPr>
      <w:r w:rsidRPr="00993B55">
        <w:rPr>
          <w:rFonts w:cs="Arial"/>
          <w:szCs w:val="24"/>
        </w:rPr>
        <w:t xml:space="preserve">The District is designated as Extreme non-attainment for ozone (NOx and VOC emissions).  As discussed above, the proposed project is </w:t>
      </w:r>
      <w:r w:rsidRPr="00993B55">
        <w:rPr>
          <w:rFonts w:cs="Arial"/>
          <w:color w:val="0000FF"/>
          <w:szCs w:val="24"/>
        </w:rPr>
        <w:t>to replace the burner on an existing boiler.  The burner replacement is being done to bring the unit to compliance with District Rule 4320.  District Rule 4320 was adopted as a part of the District’s 2007 Ozone Attainment Plan.  Since this project involves the installation of equipment to comply with District Rule 4320 and the 2007 Ozone Attainment Plan, this project is not subject to federal offset requirements</w:t>
      </w:r>
      <w:r w:rsidRPr="00993B55">
        <w:rPr>
          <w:rFonts w:cs="Arial"/>
          <w:szCs w:val="24"/>
        </w:rPr>
        <w:t>.</w:t>
      </w:r>
    </w:p>
    <w:p w14:paraId="6864A018" w14:textId="77777777" w:rsidR="001D7190" w:rsidRPr="00993B55" w:rsidRDefault="001D7190" w:rsidP="00243155">
      <w:pPr>
        <w:widowControl w:val="0"/>
        <w:ind w:left="1080"/>
        <w:rPr>
          <w:rFonts w:cs="Arial"/>
          <w:szCs w:val="24"/>
        </w:rPr>
      </w:pPr>
    </w:p>
    <w:p w14:paraId="775EB3F9" w14:textId="77777777" w:rsidR="001D7190" w:rsidRPr="00993B55" w:rsidRDefault="001D7190" w:rsidP="007A60F3">
      <w:pPr>
        <w:widowControl w:val="0"/>
        <w:ind w:left="1080"/>
        <w:rPr>
          <w:rFonts w:cs="Arial"/>
          <w:szCs w:val="24"/>
        </w:rPr>
      </w:pPr>
      <w:r w:rsidRPr="00993B55">
        <w:rPr>
          <w:rFonts w:cs="Arial"/>
          <w:szCs w:val="24"/>
        </w:rPr>
        <w:t>Therefore,</w:t>
      </w:r>
    </w:p>
    <w:p w14:paraId="072B4FF2" w14:textId="77777777" w:rsidR="001D7190" w:rsidRPr="00993B55" w:rsidRDefault="001D7190" w:rsidP="007A60F3">
      <w:pPr>
        <w:widowControl w:val="0"/>
        <w:ind w:left="1080"/>
        <w:rPr>
          <w:rFonts w:cs="Arial"/>
          <w:szCs w:val="24"/>
        </w:rPr>
      </w:pPr>
    </w:p>
    <w:p w14:paraId="23A6AD64" w14:textId="49119283" w:rsidR="001D7190" w:rsidRPr="00993B55" w:rsidRDefault="001D7190" w:rsidP="007A60F3">
      <w:pPr>
        <w:widowControl w:val="0"/>
        <w:ind w:left="1080"/>
        <w:rPr>
          <w:rFonts w:cs="Arial"/>
          <w:color w:val="0000FF"/>
          <w:szCs w:val="24"/>
        </w:rPr>
      </w:pPr>
      <w:r w:rsidRPr="00993B55">
        <w:rPr>
          <w:rFonts w:cs="Arial"/>
          <w:color w:val="0000FF"/>
          <w:szCs w:val="24"/>
        </w:rPr>
        <w:t>FOQ</w:t>
      </w:r>
      <w:r w:rsidRPr="00993B55">
        <w:rPr>
          <w:rFonts w:cs="Arial"/>
          <w:color w:val="0000FF"/>
          <w:szCs w:val="24"/>
          <w:vertAlign w:val="subscript"/>
        </w:rPr>
        <w:t xml:space="preserve">VOC </w:t>
      </w:r>
      <w:r w:rsidRPr="00993B55">
        <w:rPr>
          <w:rFonts w:cs="Arial"/>
          <w:color w:val="0000FF"/>
          <w:szCs w:val="24"/>
        </w:rPr>
        <w:t xml:space="preserve">= </w:t>
      </w:r>
      <w:r w:rsidR="009A573F">
        <w:rPr>
          <w:rFonts w:cs="Arial"/>
          <w:color w:val="0000FF"/>
          <w:szCs w:val="24"/>
        </w:rPr>
        <w:t>X,XXX</w:t>
      </w:r>
      <w:r w:rsidRPr="00993B55">
        <w:rPr>
          <w:rFonts w:cs="Arial"/>
          <w:color w:val="0000FF"/>
          <w:szCs w:val="24"/>
        </w:rPr>
        <w:t xml:space="preserve"> lb-VOC/year</w:t>
      </w:r>
    </w:p>
    <w:p w14:paraId="4D66337F" w14:textId="77777777" w:rsidR="001D7190" w:rsidRPr="00993B55" w:rsidRDefault="001D7190" w:rsidP="007A60F3">
      <w:pPr>
        <w:widowControl w:val="0"/>
        <w:ind w:left="1080"/>
        <w:rPr>
          <w:rFonts w:cs="Arial"/>
        </w:rPr>
      </w:pPr>
    </w:p>
    <w:p w14:paraId="32532210" w14:textId="77777777" w:rsidR="00CB1C77" w:rsidRDefault="00B85D4B" w:rsidP="007A60F3">
      <w:pPr>
        <w:widowControl w:val="0"/>
        <w:ind w:left="1080"/>
        <w:rPr>
          <w:rFonts w:cs="Arial"/>
          <w:color w:val="FF0000"/>
        </w:rPr>
      </w:pPr>
      <w:r>
        <w:rPr>
          <w:rFonts w:cs="Arial"/>
          <w:color w:val="FF0000"/>
        </w:rPr>
        <w:t>Project is a FMM or NMS</w:t>
      </w:r>
    </w:p>
    <w:p w14:paraId="2371FB85" w14:textId="77777777" w:rsidR="00550C5B" w:rsidRDefault="00550C5B" w:rsidP="007A60F3">
      <w:pPr>
        <w:pStyle w:val="BodyText3"/>
        <w:widowControl w:val="0"/>
        <w:ind w:left="1080" w:right="-36"/>
        <w:rPr>
          <w:color w:val="FF0000"/>
        </w:rPr>
      </w:pPr>
    </w:p>
    <w:p w14:paraId="0436EC73" w14:textId="0F0A9139" w:rsidR="00CB1C77" w:rsidRPr="00993B55" w:rsidRDefault="00CB1C77" w:rsidP="007A60F3">
      <w:pPr>
        <w:pStyle w:val="BodyText3"/>
        <w:widowControl w:val="0"/>
        <w:ind w:left="1080" w:right="-36"/>
        <w:rPr>
          <w:color w:val="FF0000"/>
        </w:rPr>
      </w:pPr>
      <w:r>
        <w:rPr>
          <w:color w:val="FF0000"/>
        </w:rPr>
        <w:t xml:space="preserve">NOTE: </w:t>
      </w:r>
      <w:r w:rsidRPr="00993B55">
        <w:rPr>
          <w:color w:val="FF0000"/>
        </w:rPr>
        <w:t>The Federal Offset Quantity (FOQ) is only calculated for the pollutants for which a project is a Federal Major Modification or a New Major Source as determined in the section above.</w:t>
      </w:r>
    </w:p>
    <w:p w14:paraId="1AB5DB16" w14:textId="77777777" w:rsidR="00CB1C77" w:rsidRDefault="00CB1C77" w:rsidP="007A60F3">
      <w:pPr>
        <w:widowControl w:val="0"/>
        <w:ind w:left="1080"/>
      </w:pPr>
    </w:p>
    <w:p w14:paraId="205B2F5F" w14:textId="77777777" w:rsidR="002578EE" w:rsidRPr="00993B55" w:rsidRDefault="002578EE" w:rsidP="007A60F3">
      <w:pPr>
        <w:pStyle w:val="BodyText3"/>
        <w:widowControl w:val="0"/>
        <w:ind w:left="1080" w:right="-36"/>
        <w:rPr>
          <w:color w:val="auto"/>
        </w:rPr>
      </w:pPr>
      <w:r w:rsidRPr="00993B55">
        <w:rPr>
          <w:color w:val="auto"/>
        </w:rPr>
        <w:t>The Federal Offset Quantity (FOQ) is only calculated for the pollutants for which a project is a Federal Major Modification or a New Major Source as determined above.</w:t>
      </w:r>
    </w:p>
    <w:p w14:paraId="653509E1" w14:textId="77777777" w:rsidR="002578EE" w:rsidRPr="00993B55" w:rsidRDefault="002578EE" w:rsidP="007A60F3">
      <w:pPr>
        <w:pStyle w:val="BodyText3"/>
        <w:widowControl w:val="0"/>
        <w:ind w:left="1080" w:right="-36"/>
        <w:rPr>
          <w:color w:val="auto"/>
        </w:rPr>
      </w:pPr>
    </w:p>
    <w:p w14:paraId="3EC8E9AF" w14:textId="3BCC8710" w:rsidR="002578EE" w:rsidRPr="00993B55" w:rsidRDefault="002578EE" w:rsidP="007A60F3">
      <w:pPr>
        <w:pStyle w:val="BodyText3"/>
        <w:widowControl w:val="0"/>
        <w:ind w:left="1080" w:right="-36"/>
        <w:rPr>
          <w:color w:val="000000" w:themeColor="text1"/>
        </w:rPr>
      </w:pPr>
      <w:r w:rsidRPr="00993B55">
        <w:rPr>
          <w:color w:val="000000" w:themeColor="text1"/>
        </w:rPr>
        <w:t xml:space="preserve">Pursuant to </w:t>
      </w:r>
      <w:r w:rsidR="00E43B41">
        <w:rPr>
          <w:color w:val="000000" w:themeColor="text1"/>
        </w:rPr>
        <w:t>Section 4.8.4 of District Rule 2201</w:t>
      </w:r>
      <w:r w:rsidRPr="00993B55">
        <w:rPr>
          <w:color w:val="000000" w:themeColor="text1"/>
        </w:rPr>
        <w:t xml:space="preserve">, the federal offset quantity is the sum of the annual emission changes for all new and modified emission units in a project calculated as the potential to emit after the modification (PE2) minus the </w:t>
      </w:r>
      <w:r w:rsidR="00E43B41">
        <w:rPr>
          <w:color w:val="000000" w:themeColor="text1"/>
        </w:rPr>
        <w:t>federal baseline</w:t>
      </w:r>
      <w:r w:rsidRPr="00993B55">
        <w:rPr>
          <w:color w:val="000000" w:themeColor="text1"/>
        </w:rPr>
        <w:t xml:space="preserve"> emissions (</w:t>
      </w:r>
      <w:r w:rsidR="00E43B41">
        <w:rPr>
          <w:color w:val="000000" w:themeColor="text1"/>
        </w:rPr>
        <w:t>FB</w:t>
      </w:r>
      <w:r w:rsidRPr="00993B55">
        <w:rPr>
          <w:color w:val="000000" w:themeColor="text1"/>
        </w:rPr>
        <w:t xml:space="preserve">E) for each emission unit times the applicable offset ratio.  </w:t>
      </w:r>
    </w:p>
    <w:p w14:paraId="3CB9BC76" w14:textId="77777777" w:rsidR="002578EE" w:rsidRPr="00993B55" w:rsidRDefault="002578EE" w:rsidP="007A60F3">
      <w:pPr>
        <w:pStyle w:val="BodyText3"/>
        <w:widowControl w:val="0"/>
        <w:ind w:left="1080" w:right="-36"/>
        <w:rPr>
          <w:color w:val="000000" w:themeColor="text1"/>
        </w:rPr>
      </w:pPr>
    </w:p>
    <w:p w14:paraId="3C7FC532" w14:textId="74C7CFB4" w:rsidR="002578EE" w:rsidRPr="00993B55" w:rsidRDefault="002578EE" w:rsidP="007A60F3">
      <w:pPr>
        <w:pStyle w:val="BodyText3"/>
        <w:widowControl w:val="0"/>
        <w:ind w:left="1080" w:right="-36"/>
        <w:rPr>
          <w:color w:val="000000" w:themeColor="text1"/>
        </w:rPr>
      </w:pPr>
      <w:r w:rsidRPr="00993B55">
        <w:rPr>
          <w:color w:val="000000" w:themeColor="text1"/>
        </w:rPr>
        <w:t xml:space="preserve">FOQ = </w:t>
      </w:r>
      <w:r w:rsidRPr="00993B55">
        <w:rPr>
          <w:rFonts w:ascii="AauxPro OT Regular" w:hAnsi="AauxPro OT Regular"/>
          <w:color w:val="000000" w:themeColor="text1"/>
        </w:rPr>
        <w:t>∑</w:t>
      </w:r>
      <w:r w:rsidRPr="00993B55">
        <w:rPr>
          <w:color w:val="000000" w:themeColor="text1"/>
        </w:rPr>
        <w:t xml:space="preserve">(PE2 – </w:t>
      </w:r>
      <w:r w:rsidR="00CB6505">
        <w:rPr>
          <w:color w:val="000000" w:themeColor="text1"/>
        </w:rPr>
        <w:t>FBE</w:t>
      </w:r>
      <w:r w:rsidRPr="00993B55">
        <w:rPr>
          <w:color w:val="000000" w:themeColor="text1"/>
        </w:rPr>
        <w:t>) x offset ratio</w:t>
      </w:r>
    </w:p>
    <w:p w14:paraId="0CBCF033" w14:textId="77777777" w:rsidR="002578EE" w:rsidRPr="00993B55" w:rsidRDefault="002578EE" w:rsidP="003D4E56">
      <w:pPr>
        <w:pStyle w:val="BodyText3"/>
        <w:widowControl w:val="0"/>
        <w:ind w:left="1080" w:right="-36"/>
        <w:rPr>
          <w:color w:val="000000" w:themeColor="text1"/>
        </w:rPr>
      </w:pPr>
    </w:p>
    <w:p w14:paraId="4757909F" w14:textId="586BEBF3" w:rsidR="002578EE" w:rsidRPr="00830982" w:rsidRDefault="005E3554" w:rsidP="007A60F3">
      <w:pPr>
        <w:pStyle w:val="BodyText3"/>
        <w:widowControl w:val="0"/>
        <w:ind w:left="1080" w:right="-36"/>
        <w:rPr>
          <w:color w:val="auto"/>
          <w:u w:val="single"/>
        </w:rPr>
      </w:pPr>
      <w:r w:rsidRPr="00830982">
        <w:rPr>
          <w:color w:val="auto"/>
          <w:u w:val="single"/>
        </w:rPr>
        <w:t>Federal Baseline</w:t>
      </w:r>
      <w:r w:rsidR="002578EE" w:rsidRPr="00830982">
        <w:rPr>
          <w:color w:val="auto"/>
          <w:u w:val="single"/>
        </w:rPr>
        <w:t xml:space="preserve"> Emissions</w:t>
      </w:r>
    </w:p>
    <w:p w14:paraId="0553F12B" w14:textId="77777777" w:rsidR="002578EE" w:rsidRPr="00830982" w:rsidRDefault="002578EE" w:rsidP="007A60F3">
      <w:pPr>
        <w:pStyle w:val="BodyText3"/>
        <w:widowControl w:val="0"/>
        <w:ind w:left="1080" w:right="-36"/>
        <w:rPr>
          <w:color w:val="000000" w:themeColor="text1"/>
        </w:rPr>
      </w:pPr>
    </w:p>
    <w:p w14:paraId="345A377C" w14:textId="750F5B45" w:rsidR="00C47CE3" w:rsidRPr="00830982" w:rsidRDefault="00C47CE3" w:rsidP="007A60F3">
      <w:pPr>
        <w:pStyle w:val="BodyText3"/>
        <w:widowControl w:val="0"/>
        <w:ind w:left="1080" w:right="-36"/>
        <w:rPr>
          <w:color w:val="auto"/>
        </w:rPr>
      </w:pPr>
      <w:r w:rsidRPr="00830982">
        <w:rPr>
          <w:color w:val="000000" w:themeColor="text1"/>
        </w:rPr>
        <w:t>Pursuant to</w:t>
      </w:r>
      <w:r w:rsidR="002578EE" w:rsidRPr="00830982">
        <w:rPr>
          <w:color w:val="auto"/>
        </w:rPr>
        <w:t xml:space="preserve"> </w:t>
      </w:r>
      <w:r w:rsidR="006A7050" w:rsidRPr="00830982">
        <w:rPr>
          <w:color w:val="auto"/>
        </w:rPr>
        <w:t>Section 3.19 of District Rule 2201</w:t>
      </w:r>
      <w:r w:rsidR="002578EE" w:rsidRPr="00830982">
        <w:rPr>
          <w:color w:val="auto"/>
        </w:rPr>
        <w:t xml:space="preserve">, </w:t>
      </w:r>
      <w:r w:rsidR="00DB2CEB" w:rsidRPr="00830982">
        <w:rPr>
          <w:color w:val="auto"/>
        </w:rPr>
        <w:t xml:space="preserve">for a given pollutant, </w:t>
      </w:r>
      <w:r w:rsidR="006A7050" w:rsidRPr="00830982">
        <w:rPr>
          <w:color w:val="auto"/>
        </w:rPr>
        <w:t>federal baseline</w:t>
      </w:r>
      <w:r w:rsidR="002578EE" w:rsidRPr="00CD2095">
        <w:rPr>
          <w:color w:val="auto"/>
        </w:rPr>
        <w:t xml:space="preserve"> emissions (</w:t>
      </w:r>
      <w:r w:rsidR="006A7050" w:rsidRPr="00830982">
        <w:rPr>
          <w:color w:val="auto"/>
        </w:rPr>
        <w:t>FB</w:t>
      </w:r>
      <w:r w:rsidR="002578EE" w:rsidRPr="00CD2095">
        <w:rPr>
          <w:color w:val="auto"/>
        </w:rPr>
        <w:t>E)</w:t>
      </w:r>
      <w:r w:rsidRPr="00830982">
        <w:rPr>
          <w:color w:val="auto"/>
        </w:rPr>
        <w:t xml:space="preserve"> = PE1 for:</w:t>
      </w:r>
    </w:p>
    <w:p w14:paraId="4380E183" w14:textId="65A0F789" w:rsidR="00C47CE3" w:rsidRPr="00830982" w:rsidRDefault="00C47CE3" w:rsidP="007A60F3">
      <w:pPr>
        <w:widowControl w:val="0"/>
        <w:numPr>
          <w:ilvl w:val="0"/>
          <w:numId w:val="4"/>
        </w:numPr>
        <w:tabs>
          <w:tab w:val="clear" w:pos="540"/>
        </w:tabs>
        <w:ind w:left="1620"/>
      </w:pPr>
      <w:r w:rsidRPr="00830982">
        <w:t>Any Highly-Utilized Emiss</w:t>
      </w:r>
      <w:r w:rsidR="0073260B" w:rsidRPr="00830982">
        <w:t>ions Unit</w:t>
      </w:r>
      <w:r w:rsidRPr="00830982">
        <w:t>,</w:t>
      </w:r>
    </w:p>
    <w:p w14:paraId="425835A8" w14:textId="58D6753A" w:rsidR="00C47CE3" w:rsidRPr="00830982" w:rsidRDefault="00C47CE3" w:rsidP="007A60F3">
      <w:pPr>
        <w:widowControl w:val="0"/>
        <w:numPr>
          <w:ilvl w:val="0"/>
          <w:numId w:val="4"/>
        </w:numPr>
        <w:tabs>
          <w:tab w:val="clear" w:pos="540"/>
        </w:tabs>
        <w:ind w:left="1620"/>
      </w:pPr>
      <w:r w:rsidRPr="00830982">
        <w:t>A</w:t>
      </w:r>
      <w:r w:rsidR="0073260B" w:rsidRPr="00830982">
        <w:t>ny Fully-Offset Emissions Unit.</w:t>
      </w:r>
    </w:p>
    <w:p w14:paraId="78967E2F" w14:textId="77777777" w:rsidR="0073260B" w:rsidRDefault="0073260B" w:rsidP="007A60F3">
      <w:pPr>
        <w:pStyle w:val="BodyText3"/>
        <w:widowControl w:val="0"/>
        <w:ind w:left="1080" w:right="-36"/>
        <w:rPr>
          <w:color w:val="auto"/>
          <w:highlight w:val="yellow"/>
        </w:rPr>
      </w:pPr>
    </w:p>
    <w:p w14:paraId="40764020" w14:textId="77777777" w:rsidR="0073260B" w:rsidRPr="00993B55" w:rsidRDefault="0073260B" w:rsidP="007A60F3">
      <w:pPr>
        <w:widowControl w:val="0"/>
        <w:ind w:left="1080"/>
      </w:pPr>
      <w:r w:rsidRPr="00993B55">
        <w:t>otherwise,</w:t>
      </w:r>
    </w:p>
    <w:p w14:paraId="1386D9B4" w14:textId="77777777" w:rsidR="0073260B" w:rsidRPr="00993B55" w:rsidRDefault="0073260B" w:rsidP="007A60F3">
      <w:pPr>
        <w:widowControl w:val="0"/>
        <w:ind w:left="1080"/>
      </w:pPr>
    </w:p>
    <w:p w14:paraId="375A8C35" w14:textId="73D9B379" w:rsidR="0073260B" w:rsidRPr="00CD2095" w:rsidRDefault="0073260B" w:rsidP="007A60F3">
      <w:pPr>
        <w:widowControl w:val="0"/>
        <w:autoSpaceDE w:val="0"/>
        <w:autoSpaceDN w:val="0"/>
        <w:adjustRightInd w:val="0"/>
        <w:ind w:left="1080"/>
        <w:rPr>
          <w:color w:val="000000"/>
        </w:rPr>
      </w:pPr>
      <w:r w:rsidRPr="00CD2095">
        <w:rPr>
          <w:color w:val="000000"/>
          <w:szCs w:val="18"/>
        </w:rPr>
        <w:t>FBE = Historic Actual Emissions (HAE), calculated pursuant to District Rule 2201.</w:t>
      </w:r>
    </w:p>
    <w:p w14:paraId="3D3EB2F0" w14:textId="77777777" w:rsidR="002578EE" w:rsidRPr="00C808A6" w:rsidRDefault="002578EE" w:rsidP="007A60F3">
      <w:pPr>
        <w:pStyle w:val="BodyText3"/>
        <w:widowControl w:val="0"/>
        <w:ind w:left="1080" w:right="-36"/>
        <w:rPr>
          <w:color w:val="auto"/>
        </w:rPr>
      </w:pPr>
    </w:p>
    <w:p w14:paraId="29637DF4" w14:textId="77777777" w:rsidR="002578EE" w:rsidRPr="008D7ED2" w:rsidRDefault="002578EE" w:rsidP="007A60F3">
      <w:pPr>
        <w:pStyle w:val="BodyText3"/>
        <w:widowControl w:val="0"/>
        <w:ind w:left="1080" w:right="-36"/>
        <w:rPr>
          <w:b/>
          <w:color w:val="FF0000"/>
        </w:rPr>
      </w:pPr>
      <w:r w:rsidRPr="008D7ED2">
        <w:rPr>
          <w:b/>
          <w:color w:val="FF0000"/>
        </w:rPr>
        <w:lastRenderedPageBreak/>
        <w:t>New Unit</w:t>
      </w:r>
    </w:p>
    <w:p w14:paraId="68E3B68E" w14:textId="6125AD17" w:rsidR="002578EE" w:rsidRPr="008D7ED2" w:rsidRDefault="002578EE" w:rsidP="007A60F3">
      <w:pPr>
        <w:pStyle w:val="BodyText3"/>
        <w:widowControl w:val="0"/>
        <w:ind w:left="1080" w:right="-36"/>
        <w:rPr>
          <w:color w:val="auto"/>
        </w:rPr>
      </w:pPr>
      <w:r w:rsidRPr="00FD1E9B">
        <w:rPr>
          <w:color w:val="auto"/>
        </w:rPr>
        <w:t xml:space="preserve">Since this is a new unit, </w:t>
      </w:r>
      <w:r w:rsidR="0018002F" w:rsidRPr="00C808A6">
        <w:rPr>
          <w:color w:val="auto"/>
        </w:rPr>
        <w:t>FB</w:t>
      </w:r>
      <w:r w:rsidRPr="008D7ED2">
        <w:rPr>
          <w:color w:val="auto"/>
        </w:rPr>
        <w:t>E = 0</w:t>
      </w:r>
    </w:p>
    <w:p w14:paraId="02DF5947" w14:textId="4A1AC681" w:rsidR="002578EE" w:rsidRDefault="002578EE" w:rsidP="003D4E56">
      <w:pPr>
        <w:pStyle w:val="BodyText3"/>
        <w:widowControl w:val="0"/>
        <w:ind w:left="1080" w:right="-36"/>
        <w:rPr>
          <w:color w:val="000000" w:themeColor="text1"/>
        </w:rPr>
      </w:pPr>
    </w:p>
    <w:p w14:paraId="4D70BDA7" w14:textId="77777777" w:rsidR="002578EE" w:rsidRPr="00BD0965" w:rsidRDefault="002578EE" w:rsidP="007A60F3">
      <w:pPr>
        <w:pStyle w:val="BodyText3"/>
        <w:widowControl w:val="0"/>
        <w:ind w:left="1080" w:right="-36"/>
        <w:rPr>
          <w:b/>
          <w:color w:val="FF0000"/>
        </w:rPr>
      </w:pPr>
      <w:r w:rsidRPr="00BD0965">
        <w:rPr>
          <w:b/>
          <w:color w:val="FF0000"/>
        </w:rPr>
        <w:t>Modified Unit</w:t>
      </w:r>
    </w:p>
    <w:p w14:paraId="792886BC" w14:textId="16A8CF7E" w:rsidR="002578EE" w:rsidRPr="00BD0965" w:rsidRDefault="002578EE" w:rsidP="007A60F3">
      <w:pPr>
        <w:pStyle w:val="BodyText3"/>
        <w:widowControl w:val="0"/>
        <w:ind w:left="1080" w:right="-36"/>
        <w:rPr>
          <w:color w:val="FF0000"/>
        </w:rPr>
      </w:pPr>
      <w:r w:rsidRPr="00BD0965">
        <w:rPr>
          <w:color w:val="FF0000"/>
        </w:rPr>
        <w:t xml:space="preserve">Please note that </w:t>
      </w:r>
      <w:r w:rsidR="00DF6699" w:rsidRPr="00BD0965">
        <w:rPr>
          <w:color w:val="FF0000"/>
        </w:rPr>
        <w:t>FB</w:t>
      </w:r>
      <w:r w:rsidRPr="00BD0965">
        <w:rPr>
          <w:color w:val="FF0000"/>
        </w:rPr>
        <w:t>E and BAE</w:t>
      </w:r>
      <w:r w:rsidR="00DF6699" w:rsidRPr="00BD0965">
        <w:rPr>
          <w:color w:val="FF0000"/>
        </w:rPr>
        <w:t xml:space="preserve"> calculated in </w:t>
      </w:r>
      <w:r w:rsidR="00A528CD" w:rsidRPr="00BD0965">
        <w:rPr>
          <w:color w:val="FF0000"/>
        </w:rPr>
        <w:t>Section VII.C.8</w:t>
      </w:r>
      <w:r w:rsidRPr="00BD0965">
        <w:rPr>
          <w:color w:val="FF0000"/>
        </w:rPr>
        <w:t xml:space="preserve"> may be different.</w:t>
      </w:r>
    </w:p>
    <w:p w14:paraId="22C5CDB0" w14:textId="0DC252EE" w:rsidR="002578EE" w:rsidRPr="00BD0965" w:rsidRDefault="0067699D" w:rsidP="007A60F3">
      <w:pPr>
        <w:pStyle w:val="BodyText3"/>
        <w:widowControl w:val="0"/>
        <w:numPr>
          <w:ilvl w:val="0"/>
          <w:numId w:val="40"/>
        </w:numPr>
        <w:ind w:left="1440" w:right="-36"/>
        <w:rPr>
          <w:bCs/>
          <w:color w:val="FF0000"/>
        </w:rPr>
      </w:pPr>
      <w:r w:rsidRPr="00BD0965">
        <w:rPr>
          <w:bCs/>
          <w:color w:val="FF0000"/>
        </w:rPr>
        <w:t xml:space="preserve">If not using PE1, </w:t>
      </w:r>
      <w:r w:rsidR="00A528CD" w:rsidRPr="00BD0965">
        <w:rPr>
          <w:bCs/>
          <w:color w:val="FF0000"/>
        </w:rPr>
        <w:t>FB</w:t>
      </w:r>
      <w:r w:rsidR="002578EE" w:rsidRPr="00BD0965">
        <w:rPr>
          <w:bCs/>
          <w:color w:val="FF0000"/>
        </w:rPr>
        <w:t>E is the average rate at which the unit actually emitted the pollutant during a consecutive 24-month period before the project and which is representative of normal source operation</w:t>
      </w:r>
    </w:p>
    <w:p w14:paraId="1970A84A" w14:textId="77777777" w:rsidR="002578EE" w:rsidRPr="00BD0965" w:rsidRDefault="002578EE" w:rsidP="007A60F3">
      <w:pPr>
        <w:pStyle w:val="BodyText3"/>
        <w:widowControl w:val="0"/>
        <w:numPr>
          <w:ilvl w:val="0"/>
          <w:numId w:val="40"/>
        </w:numPr>
        <w:ind w:left="1440" w:right="-36"/>
        <w:rPr>
          <w:bCs/>
          <w:color w:val="FF0000"/>
        </w:rPr>
      </w:pPr>
      <w:r w:rsidRPr="00BF7A6E">
        <w:rPr>
          <w:bCs/>
          <w:color w:val="FF0000"/>
          <w:szCs w:val="23"/>
        </w:rPr>
        <w:t xml:space="preserve">While BAE are calculated as the average </w:t>
      </w:r>
      <w:r w:rsidRPr="00BF7A6E">
        <w:rPr>
          <w:bCs/>
          <w:color w:val="FF0000"/>
        </w:rPr>
        <w:t xml:space="preserve">at which the emissions unit actually </w:t>
      </w:r>
      <w:r w:rsidRPr="00BD0965">
        <w:rPr>
          <w:bCs/>
          <w:color w:val="FF0000"/>
        </w:rPr>
        <w:t>emitted during any 24</w:t>
      </w:r>
      <w:r w:rsidRPr="00BD0965">
        <w:rPr>
          <w:bCs/>
          <w:noProof/>
          <w:color w:val="FF0000"/>
        </w:rPr>
        <w:t>-</w:t>
      </w:r>
      <w:r w:rsidRPr="00BD0965">
        <w:rPr>
          <w:bCs/>
          <w:color w:val="FF0000"/>
        </w:rPr>
        <w:t>month period selected by the operator within the previous 10</w:t>
      </w:r>
      <w:r w:rsidRPr="00BD0965">
        <w:rPr>
          <w:bCs/>
          <w:noProof/>
          <w:color w:val="FF0000"/>
        </w:rPr>
        <w:t>-</w:t>
      </w:r>
      <w:r w:rsidRPr="00BD0965">
        <w:rPr>
          <w:bCs/>
          <w:color w:val="FF0000"/>
        </w:rPr>
        <w:t>year period (5 years for electric units).</w:t>
      </w:r>
    </w:p>
    <w:p w14:paraId="11F4E013" w14:textId="77777777" w:rsidR="002578EE" w:rsidRPr="00BD0965" w:rsidRDefault="002578EE" w:rsidP="007A60F3">
      <w:pPr>
        <w:pStyle w:val="BodyText3"/>
        <w:widowControl w:val="0"/>
        <w:ind w:left="1080" w:right="-36"/>
        <w:rPr>
          <w:color w:val="FF0000"/>
        </w:rPr>
      </w:pPr>
    </w:p>
    <w:p w14:paraId="7A44ED6D" w14:textId="1A11C00D" w:rsidR="002578EE" w:rsidRPr="00BD0965" w:rsidRDefault="002578EE" w:rsidP="007A60F3">
      <w:pPr>
        <w:pStyle w:val="BodyText3"/>
        <w:widowControl w:val="0"/>
        <w:ind w:left="1440" w:right="-36"/>
        <w:rPr>
          <w:color w:val="FF0000"/>
        </w:rPr>
      </w:pPr>
      <w:r w:rsidRPr="00BD0965">
        <w:rPr>
          <w:color w:val="FF0000"/>
        </w:rPr>
        <w:t xml:space="preserve">Explanation supporting </w:t>
      </w:r>
      <w:r w:rsidR="00BD0965">
        <w:rPr>
          <w:color w:val="FF0000"/>
        </w:rPr>
        <w:t>FB</w:t>
      </w:r>
      <w:r w:rsidRPr="00BD0965">
        <w:rPr>
          <w:color w:val="FF0000"/>
        </w:rPr>
        <w:t xml:space="preserve">E must be provided.  The simple assumption that BAE = </w:t>
      </w:r>
      <w:r w:rsidR="00C808A6">
        <w:rPr>
          <w:color w:val="FF0000"/>
        </w:rPr>
        <w:t>FB</w:t>
      </w:r>
      <w:r w:rsidR="0058523B">
        <w:rPr>
          <w:color w:val="FF0000"/>
        </w:rPr>
        <w:t>E can</w:t>
      </w:r>
      <w:r w:rsidRPr="00BD0965">
        <w:rPr>
          <w:color w:val="FF0000"/>
        </w:rPr>
        <w:t>not be made.</w:t>
      </w:r>
    </w:p>
    <w:p w14:paraId="4155551A" w14:textId="7659FA9C" w:rsidR="002578EE" w:rsidRDefault="002578EE" w:rsidP="007A60F3">
      <w:pPr>
        <w:pStyle w:val="BodyText3"/>
        <w:widowControl w:val="0"/>
        <w:ind w:left="1080" w:right="-36"/>
        <w:rPr>
          <w:color w:val="FF0000"/>
          <w:highlight w:val="yellow"/>
        </w:rPr>
      </w:pPr>
    </w:p>
    <w:p w14:paraId="3C454532" w14:textId="0F74B624" w:rsidR="00417BA3" w:rsidRPr="00C808A6" w:rsidRDefault="00417BA3" w:rsidP="007A60F3">
      <w:pPr>
        <w:pStyle w:val="Default"/>
        <w:widowControl w:val="0"/>
        <w:ind w:left="1080"/>
        <w:jc w:val="both"/>
        <w:rPr>
          <w:color w:val="FF0000"/>
        </w:rPr>
      </w:pPr>
      <w:r w:rsidRPr="00C808A6">
        <w:rPr>
          <w:color w:val="FF0000"/>
        </w:rPr>
        <w:t>Either determine FBE in this section by fully describing all relevant information, referring to available and relevant information, describing all calculations   OR    include the discussion a</w:t>
      </w:r>
      <w:r w:rsidR="00544769">
        <w:rPr>
          <w:color w:val="FF0000"/>
        </w:rPr>
        <w:t>nd calculations in an Appendix</w:t>
      </w:r>
      <w:r w:rsidRPr="00C808A6">
        <w:rPr>
          <w:color w:val="FF0000"/>
        </w:rPr>
        <w:t>.</w:t>
      </w:r>
    </w:p>
    <w:p w14:paraId="487C5752" w14:textId="77777777" w:rsidR="00417BA3" w:rsidRPr="00C808A6" w:rsidRDefault="00417BA3" w:rsidP="007A60F3">
      <w:pPr>
        <w:widowControl w:val="0"/>
        <w:ind w:left="1080" w:right="-36"/>
      </w:pPr>
    </w:p>
    <w:p w14:paraId="1AE11D4B" w14:textId="144C9EAB" w:rsidR="00E42992" w:rsidRPr="00C808A6" w:rsidRDefault="00E42992" w:rsidP="007A60F3">
      <w:pPr>
        <w:widowControl w:val="0"/>
        <w:autoSpaceDE w:val="0"/>
        <w:autoSpaceDN w:val="0"/>
        <w:adjustRightInd w:val="0"/>
        <w:ind w:left="2610" w:hanging="1530"/>
        <w:rPr>
          <w:i/>
          <w:iCs/>
          <w:color w:val="FF0000"/>
          <w:u w:val="single"/>
        </w:rPr>
      </w:pPr>
      <w:r w:rsidRPr="00C808A6">
        <w:rPr>
          <w:i/>
          <w:iCs/>
          <w:color w:val="FF0000"/>
          <w:u w:val="single"/>
        </w:rPr>
        <w:t>Example (a)</w:t>
      </w:r>
      <w:r w:rsidRPr="00C808A6">
        <w:rPr>
          <w:i/>
          <w:iCs/>
          <w:color w:val="FF0000"/>
        </w:rPr>
        <w:t>:</w:t>
      </w:r>
      <w:r w:rsidRPr="00C808A6">
        <w:rPr>
          <w:i/>
          <w:iCs/>
          <w:color w:val="FF0000"/>
        </w:rPr>
        <w:tab/>
        <w:t>(Highly-Utilized Emissions Unit – NOx Only)</w:t>
      </w:r>
    </w:p>
    <w:p w14:paraId="4CDE1D76" w14:textId="346C80E4" w:rsidR="00417BA3" w:rsidRPr="00C808A6" w:rsidRDefault="00656E6F" w:rsidP="007A60F3">
      <w:pPr>
        <w:widowControl w:val="0"/>
        <w:ind w:left="1080" w:right="-36"/>
      </w:pPr>
      <w:r w:rsidRPr="00C808A6">
        <w:t>M</w:t>
      </w:r>
      <w:r w:rsidR="00417BA3" w:rsidRPr="00C808A6">
        <w:t xml:space="preserve">odified </w:t>
      </w:r>
      <w:r w:rsidR="00417BA3" w:rsidRPr="004D432F">
        <w:rPr>
          <w:color w:val="0000FF"/>
          <w:szCs w:val="24"/>
        </w:rPr>
        <w:t xml:space="preserve">units </w:t>
      </w:r>
      <w:r w:rsidR="00405801">
        <w:rPr>
          <w:rFonts w:cs="Arial"/>
          <w:color w:val="0000FF"/>
          <w:szCs w:val="24"/>
        </w:rPr>
        <w:t>X-XXXX-X-X</w:t>
      </w:r>
      <w:r w:rsidR="00417BA3" w:rsidRPr="004D432F">
        <w:rPr>
          <w:color w:val="0000FF"/>
          <w:szCs w:val="24"/>
        </w:rPr>
        <w:t xml:space="preserve">, </w:t>
      </w:r>
      <w:r w:rsidR="00F445B9">
        <w:rPr>
          <w:color w:val="0000FF"/>
          <w:szCs w:val="24"/>
        </w:rPr>
        <w:t>‘</w:t>
      </w:r>
      <w:r w:rsidR="00405801">
        <w:rPr>
          <w:color w:val="0000FF"/>
          <w:szCs w:val="24"/>
        </w:rPr>
        <w:t>-X-X</w:t>
      </w:r>
      <w:r w:rsidR="00417BA3" w:rsidRPr="004D432F">
        <w:rPr>
          <w:color w:val="0000FF"/>
          <w:szCs w:val="24"/>
        </w:rPr>
        <w:t>, and</w:t>
      </w:r>
      <w:r w:rsidR="00417BA3" w:rsidRPr="00C808A6">
        <w:rPr>
          <w:color w:val="0000FF"/>
        </w:rPr>
        <w:t xml:space="preserve"> </w:t>
      </w:r>
      <w:r w:rsidR="00F445B9">
        <w:rPr>
          <w:color w:val="0000FF"/>
        </w:rPr>
        <w:t>‘</w:t>
      </w:r>
      <w:r w:rsidR="00405801">
        <w:rPr>
          <w:color w:val="0000FF"/>
        </w:rPr>
        <w:t>-X-X</w:t>
      </w:r>
      <w:r w:rsidRPr="00C808A6">
        <w:rPr>
          <w:color w:val="0000FF"/>
        </w:rPr>
        <w:t xml:space="preserve"> are not Highly-Utilized or </w:t>
      </w:r>
      <w:r w:rsidR="005F311B" w:rsidRPr="00C808A6">
        <w:rPr>
          <w:color w:val="0000FF"/>
        </w:rPr>
        <w:t xml:space="preserve">Fully-Offset; therefore, FBE = HAE.  HAE is </w:t>
      </w:r>
      <w:r w:rsidR="00417BA3" w:rsidRPr="00C808A6">
        <w:t>calculated below</w:t>
      </w:r>
      <w:r w:rsidR="00142F05" w:rsidRPr="00C808A6">
        <w:t>,</w:t>
      </w:r>
      <w:r w:rsidR="00417BA3" w:rsidRPr="00C808A6">
        <w:t xml:space="preserve"> as the average emissions</w:t>
      </w:r>
      <w:r w:rsidR="00142F05" w:rsidRPr="00C808A6">
        <w:t>,</w:t>
      </w:r>
      <w:r w:rsidR="00417BA3" w:rsidRPr="00C808A6">
        <w:t xml:space="preserve"> </w:t>
      </w:r>
      <w:r w:rsidR="00417BA3" w:rsidRPr="00C808A6">
        <w:rPr>
          <w:color w:val="0000FF"/>
        </w:rPr>
        <w:t>using emissions inventory information for the years 20</w:t>
      </w:r>
      <w:r w:rsidR="005F311B" w:rsidRPr="00C808A6">
        <w:rPr>
          <w:color w:val="0000FF"/>
        </w:rPr>
        <w:t>21</w:t>
      </w:r>
      <w:r w:rsidR="00417BA3" w:rsidRPr="00C808A6">
        <w:rPr>
          <w:color w:val="0000FF"/>
        </w:rPr>
        <w:t xml:space="preserve"> and 20</w:t>
      </w:r>
      <w:r w:rsidR="005F311B" w:rsidRPr="00C808A6">
        <w:rPr>
          <w:color w:val="0000FF"/>
        </w:rPr>
        <w:t>22</w:t>
      </w:r>
      <w:r w:rsidR="00417BA3" w:rsidRPr="00C808A6">
        <w:t>.</w:t>
      </w:r>
    </w:p>
    <w:p w14:paraId="001D20C5" w14:textId="77777777" w:rsidR="00417BA3" w:rsidRPr="00C808A6" w:rsidRDefault="00417BA3" w:rsidP="00F60B00">
      <w:pPr>
        <w:widowControl w:val="0"/>
        <w:ind w:left="1080" w:right="-36"/>
      </w:pPr>
    </w:p>
    <w:tbl>
      <w:tblPr>
        <w:tblStyle w:val="TableGrid"/>
        <w:tblW w:w="9445" w:type="dxa"/>
        <w:tblInd w:w="1080" w:type="dxa"/>
        <w:tblLook w:val="04A0" w:firstRow="1" w:lastRow="0" w:firstColumn="1" w:lastColumn="0" w:noHBand="0" w:noVBand="1"/>
      </w:tblPr>
      <w:tblGrid>
        <w:gridCol w:w="2361"/>
        <w:gridCol w:w="2361"/>
        <w:gridCol w:w="2361"/>
        <w:gridCol w:w="2362"/>
      </w:tblGrid>
      <w:tr w:rsidR="00345342" w:rsidRPr="00E9403C" w14:paraId="47AE3804" w14:textId="77777777" w:rsidTr="008F5EAD">
        <w:tc>
          <w:tcPr>
            <w:tcW w:w="2361" w:type="dxa"/>
            <w:shd w:val="clear" w:color="auto" w:fill="D9D9D9" w:themeFill="background1" w:themeFillShade="D9"/>
            <w:vAlign w:val="center"/>
          </w:tcPr>
          <w:p w14:paraId="5DDB2698" w14:textId="74933D9C" w:rsidR="00345342" w:rsidRPr="00E9403C" w:rsidRDefault="00345342" w:rsidP="004C5102">
            <w:pPr>
              <w:pStyle w:val="BodyText3"/>
              <w:keepNext/>
              <w:widowControl w:val="0"/>
              <w:ind w:right="-36"/>
              <w:jc w:val="center"/>
              <w:rPr>
                <w:color w:val="auto"/>
              </w:rPr>
            </w:pPr>
            <w:r w:rsidRPr="004C5102">
              <w:rPr>
                <w:rFonts w:cs="Arial"/>
                <w:b/>
                <w:bCs/>
                <w:color w:val="auto"/>
                <w:sz w:val="22"/>
                <w:szCs w:val="18"/>
              </w:rPr>
              <w:t>Permit No.</w:t>
            </w:r>
          </w:p>
        </w:tc>
        <w:tc>
          <w:tcPr>
            <w:tcW w:w="2361" w:type="dxa"/>
            <w:shd w:val="clear" w:color="auto" w:fill="D9D9D9" w:themeFill="background1" w:themeFillShade="D9"/>
            <w:vAlign w:val="center"/>
          </w:tcPr>
          <w:p w14:paraId="17F959C9" w14:textId="77777777" w:rsidR="00345342" w:rsidRPr="00C808A6" w:rsidRDefault="00345342" w:rsidP="004C5102">
            <w:pPr>
              <w:keepNext/>
              <w:widowControl w:val="0"/>
              <w:ind w:left="52"/>
              <w:jc w:val="center"/>
              <w:rPr>
                <w:rFonts w:cs="Arial"/>
                <w:b/>
                <w:bCs/>
                <w:color w:val="0000FF"/>
                <w:sz w:val="22"/>
                <w:szCs w:val="18"/>
              </w:rPr>
            </w:pPr>
            <w:r w:rsidRPr="00C808A6">
              <w:rPr>
                <w:rFonts w:cs="Arial"/>
                <w:b/>
                <w:bCs/>
                <w:color w:val="0000FF"/>
                <w:sz w:val="22"/>
                <w:szCs w:val="18"/>
              </w:rPr>
              <w:t xml:space="preserve">2021 </w:t>
            </w:r>
          </w:p>
          <w:p w14:paraId="53F6379B" w14:textId="77777777" w:rsidR="00345342" w:rsidRPr="00C808A6" w:rsidRDefault="00345342" w:rsidP="004C5102">
            <w:pPr>
              <w:keepNext/>
              <w:widowControl w:val="0"/>
              <w:ind w:left="52"/>
              <w:jc w:val="center"/>
              <w:rPr>
                <w:rFonts w:cs="Arial"/>
                <w:b/>
                <w:bCs/>
                <w:sz w:val="22"/>
                <w:szCs w:val="18"/>
              </w:rPr>
            </w:pPr>
            <w:r w:rsidRPr="00C808A6">
              <w:rPr>
                <w:rFonts w:cs="Arial"/>
                <w:b/>
                <w:bCs/>
                <w:sz w:val="22"/>
                <w:szCs w:val="18"/>
              </w:rPr>
              <w:t xml:space="preserve">Historical Actual Emissions </w:t>
            </w:r>
          </w:p>
          <w:p w14:paraId="3B64726E" w14:textId="27C00901" w:rsidR="00345342" w:rsidRPr="00E9403C" w:rsidRDefault="00345342" w:rsidP="004C5102">
            <w:pPr>
              <w:pStyle w:val="BodyText3"/>
              <w:keepNext/>
              <w:widowControl w:val="0"/>
              <w:ind w:right="-36"/>
              <w:jc w:val="center"/>
              <w:rPr>
                <w:color w:val="auto"/>
              </w:rPr>
            </w:pPr>
            <w:r w:rsidRPr="004C5102">
              <w:rPr>
                <w:rFonts w:cs="Arial"/>
                <w:b/>
                <w:bCs/>
                <w:color w:val="auto"/>
                <w:sz w:val="22"/>
                <w:szCs w:val="18"/>
              </w:rPr>
              <w:t>(lb/year)</w:t>
            </w:r>
          </w:p>
        </w:tc>
        <w:tc>
          <w:tcPr>
            <w:tcW w:w="2361" w:type="dxa"/>
            <w:shd w:val="clear" w:color="auto" w:fill="D9D9D9" w:themeFill="background1" w:themeFillShade="D9"/>
            <w:vAlign w:val="center"/>
          </w:tcPr>
          <w:p w14:paraId="0F9B94AE" w14:textId="77777777" w:rsidR="00345342" w:rsidRPr="00C808A6" w:rsidRDefault="00345342" w:rsidP="004C5102">
            <w:pPr>
              <w:keepNext/>
              <w:widowControl w:val="0"/>
              <w:ind w:left="52"/>
              <w:jc w:val="center"/>
              <w:rPr>
                <w:rFonts w:cs="Arial"/>
                <w:b/>
                <w:bCs/>
                <w:color w:val="0000FF"/>
                <w:sz w:val="22"/>
                <w:szCs w:val="18"/>
              </w:rPr>
            </w:pPr>
            <w:r w:rsidRPr="00C808A6">
              <w:rPr>
                <w:rFonts w:cs="Arial"/>
                <w:b/>
                <w:bCs/>
                <w:color w:val="0000FF"/>
                <w:sz w:val="22"/>
                <w:szCs w:val="18"/>
              </w:rPr>
              <w:t xml:space="preserve">2022 </w:t>
            </w:r>
          </w:p>
          <w:p w14:paraId="5EA386B7" w14:textId="77777777" w:rsidR="00345342" w:rsidRPr="00C808A6" w:rsidRDefault="00345342" w:rsidP="004C5102">
            <w:pPr>
              <w:keepNext/>
              <w:widowControl w:val="0"/>
              <w:ind w:left="52"/>
              <w:jc w:val="center"/>
              <w:rPr>
                <w:rFonts w:cs="Arial"/>
                <w:b/>
                <w:bCs/>
                <w:sz w:val="22"/>
                <w:szCs w:val="18"/>
              </w:rPr>
            </w:pPr>
            <w:r w:rsidRPr="00C808A6">
              <w:rPr>
                <w:rFonts w:cs="Arial"/>
                <w:b/>
                <w:bCs/>
                <w:sz w:val="22"/>
                <w:szCs w:val="18"/>
              </w:rPr>
              <w:t xml:space="preserve">Historical Actual Emissions </w:t>
            </w:r>
          </w:p>
          <w:p w14:paraId="1786BE4E" w14:textId="4273FA77" w:rsidR="00345342" w:rsidRPr="00E9403C" w:rsidRDefault="00345342" w:rsidP="004C5102">
            <w:pPr>
              <w:pStyle w:val="BodyText3"/>
              <w:keepNext/>
              <w:widowControl w:val="0"/>
              <w:ind w:right="-36"/>
              <w:jc w:val="center"/>
              <w:rPr>
                <w:color w:val="auto"/>
              </w:rPr>
            </w:pPr>
            <w:r w:rsidRPr="004C5102">
              <w:rPr>
                <w:rFonts w:cs="Arial"/>
                <w:b/>
                <w:bCs/>
                <w:color w:val="auto"/>
                <w:sz w:val="22"/>
                <w:szCs w:val="18"/>
              </w:rPr>
              <w:t>(lb/year)</w:t>
            </w:r>
          </w:p>
        </w:tc>
        <w:tc>
          <w:tcPr>
            <w:tcW w:w="2362" w:type="dxa"/>
            <w:shd w:val="clear" w:color="auto" w:fill="D9D9D9" w:themeFill="background1" w:themeFillShade="D9"/>
            <w:vAlign w:val="center"/>
          </w:tcPr>
          <w:p w14:paraId="53FBD64A" w14:textId="77777777" w:rsidR="00345342" w:rsidRPr="00C808A6" w:rsidRDefault="00345342" w:rsidP="004C5102">
            <w:pPr>
              <w:keepNext/>
              <w:widowControl w:val="0"/>
              <w:ind w:left="52"/>
              <w:jc w:val="center"/>
              <w:rPr>
                <w:rFonts w:cs="Arial"/>
                <w:b/>
                <w:bCs/>
                <w:sz w:val="22"/>
                <w:szCs w:val="18"/>
              </w:rPr>
            </w:pPr>
            <w:r w:rsidRPr="00C808A6">
              <w:rPr>
                <w:rFonts w:cs="Arial"/>
                <w:b/>
                <w:bCs/>
                <w:sz w:val="22"/>
                <w:szCs w:val="18"/>
              </w:rPr>
              <w:t xml:space="preserve">Historical Actual Emissions </w:t>
            </w:r>
          </w:p>
          <w:p w14:paraId="273F6FBC" w14:textId="7F58C1E6" w:rsidR="00345342" w:rsidRPr="00E9403C" w:rsidRDefault="00345342" w:rsidP="004C5102">
            <w:pPr>
              <w:pStyle w:val="BodyText3"/>
              <w:keepNext/>
              <w:widowControl w:val="0"/>
              <w:ind w:right="-36"/>
              <w:jc w:val="center"/>
              <w:rPr>
                <w:color w:val="auto"/>
              </w:rPr>
            </w:pPr>
            <w:r w:rsidRPr="004C5102">
              <w:rPr>
                <w:rFonts w:cs="Arial"/>
                <w:b/>
                <w:bCs/>
                <w:color w:val="auto"/>
                <w:sz w:val="22"/>
                <w:szCs w:val="18"/>
              </w:rPr>
              <w:t>(lb/year)</w:t>
            </w:r>
          </w:p>
        </w:tc>
      </w:tr>
      <w:tr w:rsidR="00345342" w:rsidRPr="00E9403C" w14:paraId="3D2DE5F2" w14:textId="77777777" w:rsidTr="00E9403C">
        <w:tc>
          <w:tcPr>
            <w:tcW w:w="2361" w:type="dxa"/>
            <w:vAlign w:val="center"/>
          </w:tcPr>
          <w:p w14:paraId="01A7DE8E" w14:textId="715129A5" w:rsidR="00345342" w:rsidRPr="00E9403C" w:rsidRDefault="00345342" w:rsidP="004C5102">
            <w:pPr>
              <w:pStyle w:val="BodyText3"/>
              <w:keepNext/>
              <w:widowControl w:val="0"/>
              <w:ind w:right="-36"/>
              <w:jc w:val="center"/>
              <w:rPr>
                <w:color w:val="auto"/>
              </w:rPr>
            </w:pPr>
            <w:r>
              <w:rPr>
                <w:rFonts w:cs="Arial"/>
                <w:sz w:val="22"/>
                <w:szCs w:val="22"/>
              </w:rPr>
              <w:t>X</w:t>
            </w:r>
            <w:r w:rsidRPr="00C808A6">
              <w:rPr>
                <w:rFonts w:cs="Arial"/>
                <w:sz w:val="22"/>
                <w:szCs w:val="22"/>
              </w:rPr>
              <w:t>-</w:t>
            </w:r>
            <w:r>
              <w:rPr>
                <w:rFonts w:cs="Arial"/>
                <w:sz w:val="22"/>
                <w:szCs w:val="22"/>
              </w:rPr>
              <w:t>XXXX</w:t>
            </w:r>
            <w:r w:rsidRPr="00C808A6">
              <w:rPr>
                <w:rFonts w:cs="Arial"/>
                <w:sz w:val="22"/>
                <w:szCs w:val="22"/>
              </w:rPr>
              <w:t>-</w:t>
            </w:r>
            <w:r>
              <w:rPr>
                <w:rFonts w:cs="Arial"/>
                <w:sz w:val="22"/>
                <w:szCs w:val="22"/>
              </w:rPr>
              <w:t>X</w:t>
            </w:r>
            <w:r w:rsidRPr="00C808A6">
              <w:rPr>
                <w:rFonts w:cs="Arial"/>
                <w:sz w:val="22"/>
                <w:szCs w:val="22"/>
              </w:rPr>
              <w:t>-</w:t>
            </w:r>
            <w:r>
              <w:rPr>
                <w:rFonts w:cs="Arial"/>
                <w:sz w:val="22"/>
                <w:szCs w:val="22"/>
              </w:rPr>
              <w:t>X</w:t>
            </w:r>
          </w:p>
        </w:tc>
        <w:tc>
          <w:tcPr>
            <w:tcW w:w="2361" w:type="dxa"/>
            <w:vAlign w:val="center"/>
          </w:tcPr>
          <w:p w14:paraId="20118CAF" w14:textId="51B7860B" w:rsidR="00345342" w:rsidRPr="00E9403C" w:rsidRDefault="00345342" w:rsidP="004C5102">
            <w:pPr>
              <w:pStyle w:val="BodyText3"/>
              <w:keepNext/>
              <w:widowControl w:val="0"/>
              <w:ind w:right="-36"/>
              <w:jc w:val="center"/>
              <w:rPr>
                <w:color w:val="auto"/>
              </w:rPr>
            </w:pPr>
            <w:r>
              <w:rPr>
                <w:rFonts w:eastAsia="Arial Unicode MS" w:cs="Arial"/>
                <w:bCs/>
                <w:sz w:val="22"/>
                <w:szCs w:val="18"/>
              </w:rPr>
              <w:t>X,XXX</w:t>
            </w:r>
          </w:p>
        </w:tc>
        <w:tc>
          <w:tcPr>
            <w:tcW w:w="2361" w:type="dxa"/>
            <w:vAlign w:val="center"/>
          </w:tcPr>
          <w:p w14:paraId="5C4ED7A9" w14:textId="089E2B71" w:rsidR="00345342" w:rsidRPr="00E9403C" w:rsidRDefault="00345342" w:rsidP="004C5102">
            <w:pPr>
              <w:pStyle w:val="BodyText3"/>
              <w:keepNext/>
              <w:widowControl w:val="0"/>
              <w:ind w:right="-36"/>
              <w:jc w:val="center"/>
              <w:rPr>
                <w:color w:val="auto"/>
              </w:rPr>
            </w:pPr>
            <w:r w:rsidRPr="00B4435C">
              <w:rPr>
                <w:rFonts w:eastAsia="Arial Unicode MS" w:cs="Arial"/>
                <w:bCs/>
                <w:sz w:val="22"/>
                <w:szCs w:val="18"/>
              </w:rPr>
              <w:t>X,XXX</w:t>
            </w:r>
          </w:p>
        </w:tc>
        <w:tc>
          <w:tcPr>
            <w:tcW w:w="2362" w:type="dxa"/>
            <w:vAlign w:val="center"/>
          </w:tcPr>
          <w:p w14:paraId="57B45BAD" w14:textId="36F5408E" w:rsidR="00345342" w:rsidRPr="00E9403C" w:rsidRDefault="00345342" w:rsidP="004C5102">
            <w:pPr>
              <w:pStyle w:val="BodyText3"/>
              <w:keepNext/>
              <w:widowControl w:val="0"/>
              <w:ind w:right="-36"/>
              <w:jc w:val="center"/>
              <w:rPr>
                <w:color w:val="auto"/>
              </w:rPr>
            </w:pPr>
            <w:r>
              <w:rPr>
                <w:b/>
                <w:sz w:val="22"/>
                <w:szCs w:val="22"/>
              </w:rPr>
              <w:t>X,XXX</w:t>
            </w:r>
          </w:p>
        </w:tc>
      </w:tr>
      <w:tr w:rsidR="00345342" w:rsidRPr="00E9403C" w14:paraId="7606BFA4" w14:textId="77777777" w:rsidTr="00E9403C">
        <w:tc>
          <w:tcPr>
            <w:tcW w:w="2361" w:type="dxa"/>
            <w:vAlign w:val="center"/>
          </w:tcPr>
          <w:p w14:paraId="24DB568C" w14:textId="79BA4B65" w:rsidR="00345342" w:rsidRPr="00E9403C" w:rsidRDefault="00345342" w:rsidP="004C5102">
            <w:pPr>
              <w:pStyle w:val="BodyText3"/>
              <w:keepNext/>
              <w:widowControl w:val="0"/>
              <w:ind w:right="-36"/>
              <w:jc w:val="center"/>
              <w:rPr>
                <w:color w:val="auto"/>
              </w:rPr>
            </w:pPr>
            <w:r>
              <w:rPr>
                <w:rFonts w:cs="Arial"/>
                <w:sz w:val="22"/>
                <w:szCs w:val="22"/>
              </w:rPr>
              <w:t>X</w:t>
            </w:r>
            <w:r w:rsidRPr="00C808A6">
              <w:rPr>
                <w:rFonts w:cs="Arial"/>
                <w:sz w:val="22"/>
                <w:szCs w:val="22"/>
              </w:rPr>
              <w:t>-</w:t>
            </w:r>
            <w:r>
              <w:rPr>
                <w:rFonts w:cs="Arial"/>
                <w:sz w:val="22"/>
                <w:szCs w:val="22"/>
              </w:rPr>
              <w:t>XXXX</w:t>
            </w:r>
            <w:r w:rsidRPr="00C808A6">
              <w:rPr>
                <w:rFonts w:cs="Arial"/>
                <w:sz w:val="22"/>
                <w:szCs w:val="22"/>
              </w:rPr>
              <w:t>-</w:t>
            </w:r>
            <w:r>
              <w:rPr>
                <w:rFonts w:cs="Arial"/>
                <w:sz w:val="22"/>
                <w:szCs w:val="22"/>
              </w:rPr>
              <w:t>X</w:t>
            </w:r>
            <w:r w:rsidRPr="00C808A6">
              <w:rPr>
                <w:rFonts w:cs="Arial"/>
                <w:sz w:val="22"/>
                <w:szCs w:val="22"/>
              </w:rPr>
              <w:t>-</w:t>
            </w:r>
            <w:r>
              <w:rPr>
                <w:rFonts w:cs="Arial"/>
                <w:sz w:val="22"/>
                <w:szCs w:val="22"/>
              </w:rPr>
              <w:t>X</w:t>
            </w:r>
          </w:p>
        </w:tc>
        <w:tc>
          <w:tcPr>
            <w:tcW w:w="2361" w:type="dxa"/>
            <w:vAlign w:val="center"/>
          </w:tcPr>
          <w:p w14:paraId="0D940657" w14:textId="7AEB4A4A" w:rsidR="00345342" w:rsidRPr="00E9403C" w:rsidRDefault="00345342" w:rsidP="004C5102">
            <w:pPr>
              <w:pStyle w:val="BodyText3"/>
              <w:keepNext/>
              <w:widowControl w:val="0"/>
              <w:ind w:right="-36"/>
              <w:jc w:val="center"/>
              <w:rPr>
                <w:color w:val="auto"/>
              </w:rPr>
            </w:pPr>
            <w:r w:rsidRPr="00F021D0">
              <w:rPr>
                <w:rFonts w:eastAsia="Arial Unicode MS" w:cs="Arial"/>
                <w:bCs/>
                <w:sz w:val="22"/>
                <w:szCs w:val="18"/>
              </w:rPr>
              <w:t>X,XXX</w:t>
            </w:r>
          </w:p>
        </w:tc>
        <w:tc>
          <w:tcPr>
            <w:tcW w:w="2361" w:type="dxa"/>
            <w:vAlign w:val="center"/>
          </w:tcPr>
          <w:p w14:paraId="02C3E40B" w14:textId="2F8DE89A" w:rsidR="00345342" w:rsidRPr="00E9403C" w:rsidRDefault="00345342" w:rsidP="004C5102">
            <w:pPr>
              <w:pStyle w:val="BodyText3"/>
              <w:keepNext/>
              <w:widowControl w:val="0"/>
              <w:ind w:right="-36"/>
              <w:jc w:val="center"/>
              <w:rPr>
                <w:color w:val="auto"/>
              </w:rPr>
            </w:pPr>
            <w:r w:rsidRPr="00B4435C">
              <w:rPr>
                <w:rFonts w:eastAsia="Arial Unicode MS" w:cs="Arial"/>
                <w:bCs/>
                <w:sz w:val="22"/>
                <w:szCs w:val="18"/>
              </w:rPr>
              <w:t>X,XXX</w:t>
            </w:r>
          </w:p>
        </w:tc>
        <w:tc>
          <w:tcPr>
            <w:tcW w:w="2362" w:type="dxa"/>
            <w:vAlign w:val="center"/>
          </w:tcPr>
          <w:p w14:paraId="30102275" w14:textId="72212F30" w:rsidR="00345342" w:rsidRPr="00E9403C" w:rsidRDefault="00345342" w:rsidP="004C5102">
            <w:pPr>
              <w:pStyle w:val="BodyText3"/>
              <w:keepNext/>
              <w:widowControl w:val="0"/>
              <w:ind w:right="-36"/>
              <w:jc w:val="center"/>
              <w:rPr>
                <w:color w:val="auto"/>
              </w:rPr>
            </w:pPr>
            <w:r w:rsidRPr="001B112B">
              <w:rPr>
                <w:b/>
                <w:sz w:val="22"/>
                <w:szCs w:val="22"/>
              </w:rPr>
              <w:t>X,XXX</w:t>
            </w:r>
          </w:p>
        </w:tc>
      </w:tr>
      <w:tr w:rsidR="00345342" w:rsidRPr="00E9403C" w14:paraId="45C172BB" w14:textId="77777777" w:rsidTr="00E9403C">
        <w:tc>
          <w:tcPr>
            <w:tcW w:w="2361" w:type="dxa"/>
            <w:vAlign w:val="center"/>
          </w:tcPr>
          <w:p w14:paraId="7BF2DEF3" w14:textId="7E1C3D12" w:rsidR="00345342" w:rsidRPr="00E9403C" w:rsidRDefault="00345342" w:rsidP="004C5102">
            <w:pPr>
              <w:pStyle w:val="BodyText3"/>
              <w:keepNext/>
              <w:widowControl w:val="0"/>
              <w:ind w:right="-36"/>
              <w:jc w:val="center"/>
              <w:rPr>
                <w:color w:val="auto"/>
              </w:rPr>
            </w:pPr>
            <w:r>
              <w:rPr>
                <w:rFonts w:cs="Arial"/>
                <w:sz w:val="22"/>
                <w:szCs w:val="22"/>
              </w:rPr>
              <w:t>X</w:t>
            </w:r>
            <w:r w:rsidRPr="00C808A6">
              <w:rPr>
                <w:rFonts w:cs="Arial"/>
                <w:sz w:val="22"/>
                <w:szCs w:val="22"/>
              </w:rPr>
              <w:t>-</w:t>
            </w:r>
            <w:r>
              <w:rPr>
                <w:rFonts w:cs="Arial"/>
                <w:sz w:val="22"/>
                <w:szCs w:val="22"/>
              </w:rPr>
              <w:t>XXXX</w:t>
            </w:r>
            <w:r w:rsidRPr="00C808A6">
              <w:rPr>
                <w:rFonts w:cs="Arial"/>
                <w:sz w:val="22"/>
                <w:szCs w:val="22"/>
              </w:rPr>
              <w:t>-</w:t>
            </w:r>
            <w:r>
              <w:rPr>
                <w:rFonts w:cs="Arial"/>
                <w:sz w:val="22"/>
                <w:szCs w:val="22"/>
              </w:rPr>
              <w:t>X</w:t>
            </w:r>
            <w:r w:rsidRPr="00C808A6">
              <w:rPr>
                <w:rFonts w:cs="Arial"/>
                <w:sz w:val="22"/>
                <w:szCs w:val="22"/>
              </w:rPr>
              <w:t>-</w:t>
            </w:r>
            <w:r>
              <w:rPr>
                <w:rFonts w:cs="Arial"/>
                <w:sz w:val="22"/>
                <w:szCs w:val="22"/>
              </w:rPr>
              <w:t>X</w:t>
            </w:r>
          </w:p>
        </w:tc>
        <w:tc>
          <w:tcPr>
            <w:tcW w:w="2361" w:type="dxa"/>
            <w:vAlign w:val="center"/>
          </w:tcPr>
          <w:p w14:paraId="2F601188" w14:textId="1C5FC677" w:rsidR="00345342" w:rsidRPr="00E9403C" w:rsidRDefault="00345342" w:rsidP="004C5102">
            <w:pPr>
              <w:pStyle w:val="BodyText3"/>
              <w:keepNext/>
              <w:widowControl w:val="0"/>
              <w:ind w:right="-36"/>
              <w:jc w:val="center"/>
              <w:rPr>
                <w:color w:val="auto"/>
              </w:rPr>
            </w:pPr>
            <w:r w:rsidRPr="00F021D0">
              <w:rPr>
                <w:rFonts w:eastAsia="Arial Unicode MS" w:cs="Arial"/>
                <w:bCs/>
                <w:sz w:val="22"/>
                <w:szCs w:val="18"/>
              </w:rPr>
              <w:t>X,XXX</w:t>
            </w:r>
          </w:p>
        </w:tc>
        <w:tc>
          <w:tcPr>
            <w:tcW w:w="2361" w:type="dxa"/>
            <w:vAlign w:val="center"/>
          </w:tcPr>
          <w:p w14:paraId="138D4E9F" w14:textId="214D7E80" w:rsidR="00345342" w:rsidRPr="00E9403C" w:rsidRDefault="00345342" w:rsidP="004C5102">
            <w:pPr>
              <w:pStyle w:val="BodyText3"/>
              <w:keepNext/>
              <w:widowControl w:val="0"/>
              <w:ind w:right="-36"/>
              <w:jc w:val="center"/>
              <w:rPr>
                <w:color w:val="auto"/>
              </w:rPr>
            </w:pPr>
            <w:r w:rsidRPr="00B4435C">
              <w:rPr>
                <w:rFonts w:eastAsia="Arial Unicode MS" w:cs="Arial"/>
                <w:bCs/>
                <w:sz w:val="22"/>
                <w:szCs w:val="18"/>
              </w:rPr>
              <w:t>X,XXX</w:t>
            </w:r>
          </w:p>
        </w:tc>
        <w:tc>
          <w:tcPr>
            <w:tcW w:w="2362" w:type="dxa"/>
            <w:vAlign w:val="center"/>
          </w:tcPr>
          <w:p w14:paraId="2F0DF6CA" w14:textId="34FAC1FA" w:rsidR="00345342" w:rsidRPr="00E9403C" w:rsidRDefault="00345342" w:rsidP="004C5102">
            <w:pPr>
              <w:pStyle w:val="BodyText3"/>
              <w:keepNext/>
              <w:widowControl w:val="0"/>
              <w:ind w:right="-36"/>
              <w:jc w:val="center"/>
              <w:rPr>
                <w:color w:val="auto"/>
              </w:rPr>
            </w:pPr>
            <w:r w:rsidRPr="001B112B">
              <w:rPr>
                <w:b/>
                <w:sz w:val="22"/>
                <w:szCs w:val="22"/>
              </w:rPr>
              <w:t>X,XXX</w:t>
            </w:r>
          </w:p>
        </w:tc>
      </w:tr>
    </w:tbl>
    <w:p w14:paraId="6E54B86A" w14:textId="4333B71D" w:rsidR="00F60B00" w:rsidRPr="00E9403C" w:rsidRDefault="00F60B00" w:rsidP="00F60B00">
      <w:pPr>
        <w:pStyle w:val="BodyText3"/>
        <w:widowControl w:val="0"/>
        <w:ind w:left="1080" w:right="-36"/>
        <w:rPr>
          <w:color w:val="auto"/>
        </w:rPr>
      </w:pPr>
    </w:p>
    <w:p w14:paraId="3204B013" w14:textId="77777777" w:rsidR="00F60B00" w:rsidRPr="00C808A6" w:rsidRDefault="00F60B00" w:rsidP="00F60B00">
      <w:pPr>
        <w:pStyle w:val="BodyText3"/>
        <w:widowControl w:val="0"/>
        <w:ind w:left="1080" w:right="-36"/>
        <w:rPr>
          <w:color w:val="FF0000"/>
        </w:rPr>
      </w:pPr>
    </w:p>
    <w:p w14:paraId="7716E08E" w14:textId="0BA9B2AD" w:rsidR="003A0D29" w:rsidRPr="00BF7A6E" w:rsidRDefault="003A0D29" w:rsidP="007A60F3">
      <w:pPr>
        <w:widowControl w:val="0"/>
        <w:autoSpaceDE w:val="0"/>
        <w:autoSpaceDN w:val="0"/>
        <w:adjustRightInd w:val="0"/>
        <w:ind w:left="2610" w:hanging="1530"/>
        <w:rPr>
          <w:i/>
          <w:iCs/>
          <w:color w:val="FF0000"/>
          <w:u w:val="single"/>
        </w:rPr>
      </w:pPr>
      <w:r w:rsidRPr="00BF7A6E">
        <w:rPr>
          <w:i/>
          <w:iCs/>
          <w:color w:val="FF0000"/>
          <w:u w:val="single"/>
        </w:rPr>
        <w:t>Example (</w:t>
      </w:r>
      <w:r w:rsidR="00417BA3" w:rsidRPr="00C808A6">
        <w:rPr>
          <w:i/>
          <w:iCs/>
          <w:color w:val="FF0000"/>
          <w:u w:val="single"/>
        </w:rPr>
        <w:t>b</w:t>
      </w:r>
      <w:r w:rsidRPr="00BF7A6E">
        <w:rPr>
          <w:i/>
          <w:iCs/>
          <w:color w:val="FF0000"/>
          <w:u w:val="single"/>
        </w:rPr>
        <w:t>)</w:t>
      </w:r>
      <w:r w:rsidRPr="00BF7A6E">
        <w:rPr>
          <w:i/>
          <w:iCs/>
          <w:color w:val="FF0000"/>
        </w:rPr>
        <w:t>:</w:t>
      </w:r>
      <w:r w:rsidR="00BF7A6E">
        <w:rPr>
          <w:i/>
          <w:iCs/>
          <w:color w:val="FF0000"/>
        </w:rPr>
        <w:t xml:space="preserve"> </w:t>
      </w:r>
      <w:r w:rsidRPr="00BF7A6E">
        <w:rPr>
          <w:i/>
          <w:iCs/>
          <w:color w:val="FF0000"/>
        </w:rPr>
        <w:t>(</w:t>
      </w:r>
      <w:r w:rsidR="009B1702" w:rsidRPr="00C808A6">
        <w:rPr>
          <w:i/>
          <w:iCs/>
          <w:color w:val="FF0000"/>
        </w:rPr>
        <w:t>Highly-Utilized Emissions Unit</w:t>
      </w:r>
      <w:r w:rsidR="00417BA3" w:rsidRPr="00C808A6">
        <w:rPr>
          <w:i/>
          <w:iCs/>
          <w:color w:val="FF0000"/>
        </w:rPr>
        <w:t xml:space="preserve"> – NOx Only</w:t>
      </w:r>
      <w:r w:rsidRPr="00BF7A6E">
        <w:rPr>
          <w:i/>
          <w:iCs/>
          <w:color w:val="FF0000"/>
        </w:rPr>
        <w:t>)</w:t>
      </w:r>
    </w:p>
    <w:p w14:paraId="01AE8C82" w14:textId="0CED25E5" w:rsidR="002578EE" w:rsidRPr="00C808A6" w:rsidRDefault="002578EE" w:rsidP="007A60F3">
      <w:pPr>
        <w:pStyle w:val="BodyText3"/>
        <w:widowControl w:val="0"/>
        <w:ind w:left="1080" w:right="-36"/>
        <w:rPr>
          <w:color w:val="FF0000"/>
        </w:rPr>
      </w:pPr>
    </w:p>
    <w:p w14:paraId="278C4A76" w14:textId="4E69CC0E" w:rsidR="007666F8" w:rsidRPr="00C808A6" w:rsidRDefault="00FC2EF3" w:rsidP="007A60F3">
      <w:pPr>
        <w:widowControl w:val="0"/>
        <w:tabs>
          <w:tab w:val="left" w:pos="1440"/>
        </w:tabs>
        <w:ind w:left="1080"/>
        <w:rPr>
          <w:b/>
          <w:bCs/>
        </w:rPr>
      </w:pPr>
      <w:r>
        <w:rPr>
          <w:b/>
          <w:bCs/>
        </w:rPr>
        <w:t>b</w:t>
      </w:r>
      <w:r w:rsidR="007666F8" w:rsidRPr="00C808A6">
        <w:rPr>
          <w:b/>
          <w:bCs/>
        </w:rPr>
        <w:t>.</w:t>
      </w:r>
      <w:r>
        <w:rPr>
          <w:b/>
          <w:bCs/>
        </w:rPr>
        <w:t>1</w:t>
      </w:r>
      <w:r>
        <w:rPr>
          <w:b/>
          <w:bCs/>
        </w:rPr>
        <w:tab/>
      </w:r>
      <w:r w:rsidR="007666F8" w:rsidRPr="00C808A6">
        <w:rPr>
          <w:b/>
          <w:bCs/>
        </w:rPr>
        <w:tab/>
      </w:r>
      <w:r w:rsidR="007666F8" w:rsidRPr="00FC2EF3">
        <w:rPr>
          <w:b/>
          <w:bCs/>
          <w:u w:val="single"/>
        </w:rPr>
        <w:t>BE NOx</w:t>
      </w:r>
    </w:p>
    <w:p w14:paraId="4C1150B5" w14:textId="77777777" w:rsidR="007666F8" w:rsidRPr="00C808A6" w:rsidRDefault="007666F8" w:rsidP="009F2C08">
      <w:pPr>
        <w:widowControl w:val="0"/>
        <w:ind w:left="1080"/>
        <w:rPr>
          <w:i/>
          <w:iCs/>
          <w:u w:val="single"/>
        </w:rPr>
      </w:pPr>
    </w:p>
    <w:p w14:paraId="6997526C" w14:textId="7B903851" w:rsidR="007666F8" w:rsidRPr="00993B55" w:rsidRDefault="007666F8" w:rsidP="007A60F3">
      <w:pPr>
        <w:widowControl w:val="0"/>
        <w:ind w:left="1080"/>
        <w:rPr>
          <w:rFonts w:cs="Arial"/>
          <w:i/>
          <w:iCs/>
          <w:u w:val="single"/>
        </w:rPr>
      </w:pPr>
      <w:r w:rsidRPr="00C808A6">
        <w:rPr>
          <w:rFonts w:cs="Arial"/>
          <w:i/>
          <w:iCs/>
          <w:u w:val="single"/>
        </w:rPr>
        <w:t>Highly-Utilized Emission</w:t>
      </w:r>
      <w:r w:rsidR="003A4ABC" w:rsidRPr="00C808A6">
        <w:rPr>
          <w:rFonts w:cs="Arial"/>
          <w:i/>
          <w:iCs/>
          <w:u w:val="single"/>
        </w:rPr>
        <w:t>s Unit</w:t>
      </w:r>
    </w:p>
    <w:p w14:paraId="6D41FA09" w14:textId="4A146C0B" w:rsidR="007666F8" w:rsidRPr="00993B55" w:rsidRDefault="00544769" w:rsidP="007A60F3">
      <w:pPr>
        <w:widowControl w:val="0"/>
        <w:ind w:left="1080"/>
        <w:rPr>
          <w:rFonts w:cs="Arial"/>
        </w:rPr>
      </w:pPr>
      <w:r>
        <w:rPr>
          <w:rFonts w:cs="Arial"/>
        </w:rPr>
        <w:t xml:space="preserve">District </w:t>
      </w:r>
      <w:r w:rsidR="00DD5708">
        <w:rPr>
          <w:rFonts w:cs="Arial"/>
        </w:rPr>
        <w:t>Rule 2201 defines a Highly-</w:t>
      </w:r>
      <w:r w:rsidR="007666F8" w:rsidRPr="00993B55">
        <w:rPr>
          <w:rFonts w:cs="Arial"/>
        </w:rPr>
        <w:t xml:space="preserve">Utilized Emissions Unit as “an emissions unit for which the average annual Actual Emissions during the </w:t>
      </w:r>
      <w:r w:rsidR="00304A92">
        <w:rPr>
          <w:rFonts w:cs="Arial"/>
        </w:rPr>
        <w:t>24</w:t>
      </w:r>
      <w:r w:rsidR="007666F8" w:rsidRPr="00993B55">
        <w:rPr>
          <w:rFonts w:cs="Arial"/>
        </w:rPr>
        <w:t xml:space="preserve"> consecutive </w:t>
      </w:r>
      <w:r w:rsidR="00395F79">
        <w:rPr>
          <w:rFonts w:cs="Arial"/>
        </w:rPr>
        <w:t>month</w:t>
      </w:r>
      <w:r w:rsidR="007666F8" w:rsidRPr="00993B55">
        <w:rPr>
          <w:rFonts w:cs="Arial"/>
        </w:rPr>
        <w:t xml:space="preserve">s immediately prior to filing of an application for an Authority to Construct were equal to or greater than 80% of the unit’s pre-project Potential to Emit.” Since the application was filed </w:t>
      </w:r>
      <w:r w:rsidR="002E4C09">
        <w:rPr>
          <w:rFonts w:cs="Arial"/>
        </w:rPr>
        <w:t>on</w:t>
      </w:r>
      <w:r w:rsidR="007666F8" w:rsidRPr="00993B55">
        <w:rPr>
          <w:rFonts w:cs="Arial"/>
        </w:rPr>
        <w:t xml:space="preserve"> </w:t>
      </w:r>
      <w:r w:rsidR="007666F8" w:rsidRPr="001C2F0D">
        <w:rPr>
          <w:rFonts w:cs="Arial"/>
          <w:color w:val="0000FF"/>
        </w:rPr>
        <w:t>January 6, 20</w:t>
      </w:r>
      <w:r w:rsidR="00340BCD" w:rsidRPr="001C2F0D">
        <w:rPr>
          <w:rFonts w:cs="Arial"/>
          <w:color w:val="0000FF"/>
        </w:rPr>
        <w:t>23</w:t>
      </w:r>
      <w:r w:rsidR="007666F8" w:rsidRPr="00993B55">
        <w:rPr>
          <w:rFonts w:cs="Arial"/>
        </w:rPr>
        <w:t xml:space="preserve">, the District will use information from the </w:t>
      </w:r>
      <w:r w:rsidR="002E4C09">
        <w:rPr>
          <w:rFonts w:cs="Arial"/>
        </w:rPr>
        <w:t>24 months</w:t>
      </w:r>
      <w:r w:rsidR="007666F8" w:rsidRPr="00993B55">
        <w:rPr>
          <w:rFonts w:cs="Arial"/>
        </w:rPr>
        <w:t xml:space="preserve"> prior that date, to establish Actual Emissions</w:t>
      </w:r>
      <w:r w:rsidR="00070208">
        <w:rPr>
          <w:rFonts w:cs="Arial"/>
        </w:rPr>
        <w:t xml:space="preserve"> (AE)</w:t>
      </w:r>
      <w:r w:rsidR="007666F8" w:rsidRPr="00993B55">
        <w:rPr>
          <w:rFonts w:cs="Arial"/>
        </w:rPr>
        <w:t xml:space="preserve"> from the unit.</w:t>
      </w:r>
    </w:p>
    <w:p w14:paraId="17220E54" w14:textId="77777777" w:rsidR="007666F8" w:rsidRPr="00993B55" w:rsidRDefault="007666F8" w:rsidP="007A60F3">
      <w:pPr>
        <w:widowControl w:val="0"/>
        <w:ind w:left="1080"/>
        <w:rPr>
          <w:rFonts w:cs="Arial"/>
        </w:rPr>
      </w:pPr>
    </w:p>
    <w:p w14:paraId="108C6517" w14:textId="2BA9085D" w:rsidR="007666F8" w:rsidRPr="00993B55" w:rsidRDefault="00EF5BF2" w:rsidP="007A60F3">
      <w:pPr>
        <w:widowControl w:val="0"/>
        <w:ind w:left="1080"/>
        <w:rPr>
          <w:rFonts w:cs="Arial"/>
        </w:rPr>
      </w:pPr>
      <w:r>
        <w:rPr>
          <w:rFonts w:cs="Arial"/>
        </w:rPr>
        <w:t>T</w:t>
      </w:r>
      <w:r w:rsidR="007666F8" w:rsidRPr="00993B55">
        <w:rPr>
          <w:rFonts w:cs="Arial"/>
        </w:rPr>
        <w:t xml:space="preserve">he applicant has provided the annual fuel usage for this unit for </w:t>
      </w:r>
      <w:r w:rsidR="007666F8" w:rsidRPr="00BE31EB">
        <w:rPr>
          <w:rFonts w:cs="Arial"/>
          <w:color w:val="0000FF"/>
        </w:rPr>
        <w:t>20</w:t>
      </w:r>
      <w:r w:rsidRPr="00BE31EB">
        <w:rPr>
          <w:rFonts w:cs="Arial"/>
          <w:color w:val="0000FF"/>
        </w:rPr>
        <w:t>21</w:t>
      </w:r>
      <w:r w:rsidR="007666F8" w:rsidRPr="00993B55">
        <w:rPr>
          <w:rFonts w:cs="Arial"/>
        </w:rPr>
        <w:t xml:space="preserve"> and </w:t>
      </w:r>
      <w:r w:rsidR="007666F8" w:rsidRPr="00BE31EB">
        <w:rPr>
          <w:rFonts w:cs="Arial"/>
          <w:color w:val="0000FF"/>
        </w:rPr>
        <w:t>20</w:t>
      </w:r>
      <w:r w:rsidRPr="00BE31EB">
        <w:rPr>
          <w:rFonts w:cs="Arial"/>
          <w:color w:val="0000FF"/>
        </w:rPr>
        <w:t>22</w:t>
      </w:r>
      <w:r w:rsidR="007666F8" w:rsidRPr="00993B55">
        <w:rPr>
          <w:rFonts w:cs="Arial"/>
        </w:rPr>
        <w:t xml:space="preserve"> (i.e. </w:t>
      </w:r>
      <w:r w:rsidR="002E4C09">
        <w:rPr>
          <w:rFonts w:cs="Arial"/>
        </w:rPr>
        <w:t>24 months</w:t>
      </w:r>
      <w:r w:rsidR="007666F8" w:rsidRPr="00993B55">
        <w:rPr>
          <w:rFonts w:cs="Arial"/>
        </w:rPr>
        <w:t xml:space="preserve"> prior to the application).  The District will also use NO</w:t>
      </w:r>
      <w:r w:rsidR="007666F8">
        <w:rPr>
          <w:rFonts w:cs="Arial"/>
        </w:rPr>
        <w:t>x</w:t>
      </w:r>
      <w:r w:rsidR="007666F8" w:rsidRPr="00993B55">
        <w:rPr>
          <w:rFonts w:cs="Arial"/>
        </w:rPr>
        <w:t xml:space="preserve"> source test results from the </w:t>
      </w:r>
      <w:r w:rsidR="007666F8" w:rsidRPr="00BE31EB">
        <w:rPr>
          <w:rFonts w:cs="Arial"/>
          <w:color w:val="0000FF"/>
        </w:rPr>
        <w:t>20</w:t>
      </w:r>
      <w:r w:rsidRPr="00BE31EB">
        <w:rPr>
          <w:rFonts w:cs="Arial"/>
          <w:color w:val="0000FF"/>
        </w:rPr>
        <w:t>21</w:t>
      </w:r>
      <w:r w:rsidR="007666F8" w:rsidRPr="00993B55">
        <w:rPr>
          <w:rFonts w:cs="Arial"/>
        </w:rPr>
        <w:t xml:space="preserve"> and </w:t>
      </w:r>
      <w:r w:rsidR="007666F8" w:rsidRPr="00BE31EB">
        <w:rPr>
          <w:rFonts w:cs="Arial"/>
          <w:color w:val="0000FF"/>
        </w:rPr>
        <w:t>20</w:t>
      </w:r>
      <w:r w:rsidRPr="00BE31EB">
        <w:rPr>
          <w:rFonts w:cs="Arial"/>
          <w:color w:val="0000FF"/>
        </w:rPr>
        <w:t>22</w:t>
      </w:r>
      <w:r w:rsidR="007666F8" w:rsidRPr="00993B55">
        <w:rPr>
          <w:rFonts w:cs="Arial"/>
        </w:rPr>
        <w:t xml:space="preserve"> source tests for the unit to establish the AE.</w:t>
      </w:r>
    </w:p>
    <w:p w14:paraId="2B744DC8" w14:textId="77777777" w:rsidR="00E52190" w:rsidRPr="00993B55" w:rsidRDefault="00E52190" w:rsidP="007A60F3">
      <w:pPr>
        <w:widowControl w:val="0"/>
        <w:ind w:left="1080"/>
        <w:rPr>
          <w:rFonts w:cs="Arial"/>
          <w:u w:val="single"/>
        </w:rPr>
      </w:pPr>
    </w:p>
    <w:p w14:paraId="562091DE" w14:textId="311B4A81" w:rsidR="007666F8" w:rsidRPr="00993B55" w:rsidRDefault="007666F8" w:rsidP="007A60F3">
      <w:pPr>
        <w:widowControl w:val="0"/>
        <w:ind w:left="1080"/>
        <w:rPr>
          <w:rFonts w:cs="Arial"/>
          <w:u w:val="single"/>
        </w:rPr>
      </w:pPr>
      <w:r w:rsidRPr="00993B55">
        <w:rPr>
          <w:rFonts w:cs="Arial"/>
          <w:u w:val="single"/>
        </w:rPr>
        <w:t>AE:</w:t>
      </w:r>
    </w:p>
    <w:p w14:paraId="3A88D96D" w14:textId="1D006D10" w:rsidR="007666F8" w:rsidRPr="00993B55" w:rsidRDefault="00B210D0" w:rsidP="007A60F3">
      <w:pPr>
        <w:widowControl w:val="0"/>
        <w:tabs>
          <w:tab w:val="left" w:pos="1800"/>
          <w:tab w:val="left" w:pos="5670"/>
        </w:tabs>
        <w:ind w:left="1080"/>
        <w:rPr>
          <w:rFonts w:cs="Arial"/>
          <w:u w:val="single"/>
        </w:rPr>
      </w:pPr>
      <w:r w:rsidRPr="00432258">
        <w:rPr>
          <w:rFonts w:cs="Arial"/>
        </w:rPr>
        <w:tab/>
      </w:r>
      <w:r w:rsidR="007666F8" w:rsidRPr="00993B55">
        <w:rPr>
          <w:rFonts w:cs="Arial"/>
          <w:u w:val="single"/>
        </w:rPr>
        <w:t>Throughput</w:t>
      </w:r>
      <w:r w:rsidRPr="00432258">
        <w:rPr>
          <w:rFonts w:cs="Arial"/>
        </w:rPr>
        <w:tab/>
      </w:r>
      <w:r w:rsidR="007666F8" w:rsidRPr="00993B55">
        <w:rPr>
          <w:rFonts w:cs="Arial"/>
          <w:u w:val="single"/>
        </w:rPr>
        <w:t>Source test Results</w:t>
      </w:r>
    </w:p>
    <w:p w14:paraId="2F09F407" w14:textId="3FCEE901" w:rsidR="007666F8" w:rsidRPr="00993B55" w:rsidRDefault="007666F8" w:rsidP="007A60F3">
      <w:pPr>
        <w:widowControl w:val="0"/>
        <w:tabs>
          <w:tab w:val="left" w:pos="5310"/>
        </w:tabs>
        <w:ind w:left="1080"/>
        <w:rPr>
          <w:rFonts w:cs="Arial"/>
        </w:rPr>
      </w:pPr>
      <w:r w:rsidRPr="00B43C53">
        <w:rPr>
          <w:rFonts w:cs="Arial"/>
          <w:color w:val="0000FF"/>
        </w:rPr>
        <w:t>20</w:t>
      </w:r>
      <w:r w:rsidR="00CF5E42" w:rsidRPr="00B43C53">
        <w:rPr>
          <w:rFonts w:cs="Arial"/>
          <w:color w:val="0000FF"/>
        </w:rPr>
        <w:t>21</w:t>
      </w:r>
      <w:r w:rsidRPr="00993B55">
        <w:rPr>
          <w:rFonts w:cs="Arial"/>
        </w:rPr>
        <w:t xml:space="preserve">: </w:t>
      </w:r>
      <w:r w:rsidR="00BE31EB">
        <w:rPr>
          <w:rFonts w:cs="Arial"/>
          <w:color w:val="0000FF"/>
        </w:rPr>
        <w:t>XXX,XXX</w:t>
      </w:r>
      <w:r w:rsidRPr="009A2968">
        <w:rPr>
          <w:rFonts w:cs="Arial"/>
          <w:color w:val="0000FF"/>
        </w:rPr>
        <w:t xml:space="preserve"> </w:t>
      </w:r>
      <w:r w:rsidRPr="00993B55">
        <w:rPr>
          <w:rFonts w:cs="Arial"/>
        </w:rPr>
        <w:t>MMBtu/year</w:t>
      </w:r>
      <w:r w:rsidRPr="00993B55">
        <w:rPr>
          <w:rFonts w:cs="Arial"/>
        </w:rPr>
        <w:tab/>
        <w:t>20</w:t>
      </w:r>
      <w:r w:rsidR="00CF5E42">
        <w:rPr>
          <w:rFonts w:cs="Arial"/>
        </w:rPr>
        <w:t>21</w:t>
      </w:r>
      <w:r w:rsidRPr="00993B55">
        <w:rPr>
          <w:rFonts w:cs="Arial"/>
        </w:rPr>
        <w:t xml:space="preserve">: </w:t>
      </w:r>
      <w:r w:rsidR="00BE31EB">
        <w:rPr>
          <w:rFonts w:cs="Arial"/>
          <w:color w:val="0000FF"/>
        </w:rPr>
        <w:t>X.XXX</w:t>
      </w:r>
      <w:r w:rsidRPr="009A2968">
        <w:rPr>
          <w:rFonts w:cs="Arial"/>
          <w:color w:val="0000FF"/>
        </w:rPr>
        <w:t xml:space="preserve"> </w:t>
      </w:r>
      <w:r w:rsidRPr="00993B55">
        <w:rPr>
          <w:rFonts w:cs="Arial"/>
        </w:rPr>
        <w:t>lb</w:t>
      </w:r>
      <w:r w:rsidR="00047C89">
        <w:rPr>
          <w:rFonts w:cs="Arial"/>
        </w:rPr>
        <w:t>-</w:t>
      </w:r>
      <w:r w:rsidRPr="00993B55">
        <w:rPr>
          <w:rFonts w:cs="Arial"/>
        </w:rPr>
        <w:t>NO</w:t>
      </w:r>
      <w:r>
        <w:rPr>
          <w:rFonts w:cs="Arial"/>
        </w:rPr>
        <w:t>x</w:t>
      </w:r>
      <w:r w:rsidRPr="00993B55">
        <w:rPr>
          <w:rFonts w:cs="Arial"/>
        </w:rPr>
        <w:t>/MMBtu</w:t>
      </w:r>
    </w:p>
    <w:p w14:paraId="2BE38AAF" w14:textId="616633A3" w:rsidR="007666F8" w:rsidRPr="00993B55" w:rsidRDefault="007666F8" w:rsidP="007A60F3">
      <w:pPr>
        <w:widowControl w:val="0"/>
        <w:tabs>
          <w:tab w:val="left" w:pos="5310"/>
        </w:tabs>
        <w:ind w:left="1080"/>
        <w:rPr>
          <w:rFonts w:cs="Arial"/>
          <w:u w:val="single"/>
        </w:rPr>
      </w:pPr>
      <w:r w:rsidRPr="00B43C53">
        <w:rPr>
          <w:rFonts w:cs="Arial"/>
          <w:color w:val="0000FF"/>
        </w:rPr>
        <w:t>20</w:t>
      </w:r>
      <w:r w:rsidR="00CF5E42" w:rsidRPr="00B43C53">
        <w:rPr>
          <w:rFonts w:cs="Arial"/>
          <w:color w:val="0000FF"/>
        </w:rPr>
        <w:t>22</w:t>
      </w:r>
      <w:r w:rsidRPr="00993B55">
        <w:rPr>
          <w:rFonts w:cs="Arial"/>
        </w:rPr>
        <w:t xml:space="preserve">: </w:t>
      </w:r>
      <w:r w:rsidR="00BE31EB">
        <w:rPr>
          <w:rFonts w:cs="Arial"/>
          <w:color w:val="0000FF"/>
          <w:u w:val="single"/>
        </w:rPr>
        <w:t>XXX,XXX</w:t>
      </w:r>
      <w:r w:rsidRPr="009A2968">
        <w:rPr>
          <w:rFonts w:cs="Arial"/>
          <w:color w:val="0000FF"/>
          <w:u w:val="single"/>
        </w:rPr>
        <w:t xml:space="preserve"> </w:t>
      </w:r>
      <w:r w:rsidRPr="00993B55">
        <w:rPr>
          <w:rFonts w:cs="Arial"/>
          <w:u w:val="single"/>
        </w:rPr>
        <w:t>MMBtu/year</w:t>
      </w:r>
      <w:r w:rsidRPr="00993B55">
        <w:rPr>
          <w:rFonts w:cs="Arial"/>
        </w:rPr>
        <w:tab/>
      </w:r>
      <w:r w:rsidRPr="00993B55">
        <w:rPr>
          <w:rFonts w:cs="Arial"/>
          <w:u w:val="single"/>
        </w:rPr>
        <w:t>20</w:t>
      </w:r>
      <w:r w:rsidR="00CF5E42">
        <w:rPr>
          <w:rFonts w:cs="Arial"/>
          <w:u w:val="single"/>
        </w:rPr>
        <w:t>22</w:t>
      </w:r>
      <w:r w:rsidRPr="00993B55">
        <w:rPr>
          <w:rFonts w:cs="Arial"/>
          <w:u w:val="single"/>
        </w:rPr>
        <w:t xml:space="preserve">: </w:t>
      </w:r>
      <w:r w:rsidR="00BE31EB">
        <w:rPr>
          <w:rFonts w:cs="Arial"/>
          <w:color w:val="0000FF"/>
          <w:u w:val="single"/>
        </w:rPr>
        <w:t>X.XXX</w:t>
      </w:r>
      <w:r w:rsidRPr="009A2968">
        <w:rPr>
          <w:rFonts w:cs="Arial"/>
          <w:color w:val="0000FF"/>
          <w:u w:val="single"/>
        </w:rPr>
        <w:t xml:space="preserve"> </w:t>
      </w:r>
      <w:r w:rsidRPr="00993B55">
        <w:rPr>
          <w:rFonts w:cs="Arial"/>
          <w:u w:val="single"/>
        </w:rPr>
        <w:t>lb</w:t>
      </w:r>
      <w:r w:rsidR="00047C89">
        <w:rPr>
          <w:rFonts w:cs="Arial"/>
          <w:u w:val="single"/>
        </w:rPr>
        <w:t>-</w:t>
      </w:r>
      <w:r w:rsidRPr="00993B55">
        <w:rPr>
          <w:rFonts w:cs="Arial"/>
          <w:u w:val="single"/>
        </w:rPr>
        <w:t>NO</w:t>
      </w:r>
      <w:r>
        <w:rPr>
          <w:rFonts w:cs="Arial"/>
          <w:u w:val="single"/>
        </w:rPr>
        <w:t>x</w:t>
      </w:r>
      <w:r w:rsidRPr="00993B55">
        <w:rPr>
          <w:rFonts w:cs="Arial"/>
          <w:u w:val="single"/>
        </w:rPr>
        <w:t>/MMBtu</w:t>
      </w:r>
    </w:p>
    <w:p w14:paraId="534C22C1" w14:textId="522EDB89" w:rsidR="007666F8" w:rsidRPr="00993B55" w:rsidRDefault="007666F8" w:rsidP="007A60F3">
      <w:pPr>
        <w:widowControl w:val="0"/>
        <w:tabs>
          <w:tab w:val="left" w:pos="5310"/>
        </w:tabs>
        <w:ind w:left="1080"/>
        <w:rPr>
          <w:rFonts w:cs="Arial"/>
        </w:rPr>
      </w:pPr>
      <w:r w:rsidRPr="00993B55">
        <w:rPr>
          <w:rFonts w:cs="Arial"/>
        </w:rPr>
        <w:t xml:space="preserve">(avg): </w:t>
      </w:r>
      <w:r w:rsidR="00BE31EB">
        <w:rPr>
          <w:rFonts w:cs="Arial"/>
          <w:color w:val="0000FF"/>
        </w:rPr>
        <w:t>XXX,XXX</w:t>
      </w:r>
      <w:r w:rsidRPr="009A2968">
        <w:rPr>
          <w:rFonts w:cs="Arial"/>
          <w:color w:val="0000FF"/>
        </w:rPr>
        <w:t xml:space="preserve"> </w:t>
      </w:r>
      <w:r w:rsidRPr="00993B55">
        <w:rPr>
          <w:rFonts w:cs="Arial"/>
        </w:rPr>
        <w:t>MMBtu/year</w:t>
      </w:r>
      <w:r w:rsidRPr="00993B55">
        <w:rPr>
          <w:rFonts w:cs="Arial"/>
        </w:rPr>
        <w:tab/>
        <w:t xml:space="preserve">(avg): </w:t>
      </w:r>
      <w:r w:rsidR="00BE31EB">
        <w:rPr>
          <w:rFonts w:cs="Arial"/>
          <w:color w:val="0000FF"/>
        </w:rPr>
        <w:t>X.XXX</w:t>
      </w:r>
      <w:r w:rsidRPr="009A2968">
        <w:rPr>
          <w:rFonts w:cs="Arial"/>
          <w:color w:val="0000FF"/>
        </w:rPr>
        <w:t xml:space="preserve"> </w:t>
      </w:r>
      <w:r w:rsidRPr="00993B55">
        <w:rPr>
          <w:rFonts w:cs="Arial"/>
        </w:rPr>
        <w:t>lb</w:t>
      </w:r>
      <w:r w:rsidR="00047C89">
        <w:rPr>
          <w:rFonts w:cs="Arial"/>
        </w:rPr>
        <w:t>-</w:t>
      </w:r>
      <w:r w:rsidRPr="00993B55">
        <w:rPr>
          <w:rFonts w:cs="Arial"/>
        </w:rPr>
        <w:t>NO</w:t>
      </w:r>
      <w:r>
        <w:rPr>
          <w:rFonts w:cs="Arial"/>
        </w:rPr>
        <w:t>x</w:t>
      </w:r>
      <w:r w:rsidRPr="00993B55">
        <w:rPr>
          <w:rFonts w:cs="Arial"/>
        </w:rPr>
        <w:t>/MMBtu</w:t>
      </w:r>
    </w:p>
    <w:p w14:paraId="2ADE3562" w14:textId="77777777" w:rsidR="007666F8" w:rsidRPr="00993B55" w:rsidRDefault="007666F8" w:rsidP="007A60F3">
      <w:pPr>
        <w:widowControl w:val="0"/>
        <w:tabs>
          <w:tab w:val="left" w:pos="5310"/>
        </w:tabs>
        <w:ind w:left="1080"/>
        <w:rPr>
          <w:rFonts w:cs="Arial"/>
        </w:rPr>
      </w:pPr>
    </w:p>
    <w:p w14:paraId="29B2C054" w14:textId="00F491E8" w:rsidR="007666F8" w:rsidRPr="00993B55" w:rsidRDefault="007666F8" w:rsidP="007A60F3">
      <w:pPr>
        <w:widowControl w:val="0"/>
        <w:ind w:left="1080"/>
        <w:rPr>
          <w:rFonts w:cs="Arial"/>
          <w:color w:val="000000"/>
        </w:rPr>
      </w:pPr>
      <w:r w:rsidRPr="009A2968">
        <w:rPr>
          <w:rFonts w:cs="Arial"/>
          <w:color w:val="0000FF"/>
        </w:rPr>
        <w:t>20</w:t>
      </w:r>
      <w:r w:rsidR="00CF5E42" w:rsidRPr="009A2968">
        <w:rPr>
          <w:rFonts w:cs="Arial"/>
          <w:color w:val="0000FF"/>
        </w:rPr>
        <w:t>21</w:t>
      </w:r>
      <w:r w:rsidR="00070208">
        <w:rPr>
          <w:rFonts w:cs="Arial"/>
          <w:color w:val="000000"/>
        </w:rPr>
        <w:t xml:space="preserve"> </w:t>
      </w:r>
      <w:r w:rsidRPr="00993B55">
        <w:rPr>
          <w:rFonts w:cs="Arial"/>
          <w:color w:val="000000"/>
        </w:rPr>
        <w:t>AE</w:t>
      </w:r>
    </w:p>
    <w:p w14:paraId="4989142E" w14:textId="1EBEABE4" w:rsidR="007666F8" w:rsidRPr="00993B55" w:rsidRDefault="00BE31EB" w:rsidP="007A60F3">
      <w:pPr>
        <w:widowControl w:val="0"/>
        <w:ind w:left="1080"/>
        <w:rPr>
          <w:rFonts w:cs="Arial"/>
          <w:color w:val="000000"/>
        </w:rPr>
      </w:pPr>
      <w:r>
        <w:rPr>
          <w:rFonts w:cs="Arial"/>
          <w:color w:val="0000FF"/>
        </w:rPr>
        <w:t>XXX,XXX</w:t>
      </w:r>
      <w:r w:rsidR="007666F8" w:rsidRPr="00993B55">
        <w:rPr>
          <w:rFonts w:cs="Arial"/>
          <w:color w:val="000000"/>
        </w:rPr>
        <w:t xml:space="preserve"> MMBtu/year x </w:t>
      </w:r>
      <w:r>
        <w:rPr>
          <w:rFonts w:cs="Arial"/>
          <w:color w:val="0000FF"/>
        </w:rPr>
        <w:t>X.XXX</w:t>
      </w:r>
      <w:r w:rsidR="007666F8" w:rsidRPr="009A2968">
        <w:rPr>
          <w:rFonts w:cs="Arial"/>
          <w:color w:val="0000FF"/>
        </w:rPr>
        <w:t xml:space="preserve"> </w:t>
      </w:r>
      <w:r w:rsidR="007666F8" w:rsidRPr="00993B55">
        <w:rPr>
          <w:rFonts w:cs="Arial"/>
          <w:color w:val="000000"/>
        </w:rPr>
        <w:t>lb NO</w:t>
      </w:r>
      <w:r w:rsidR="007666F8">
        <w:rPr>
          <w:rFonts w:cs="Arial"/>
          <w:color w:val="000000"/>
        </w:rPr>
        <w:t>x</w:t>
      </w:r>
      <w:r w:rsidR="007666F8" w:rsidRPr="00993B55">
        <w:rPr>
          <w:rFonts w:cs="Arial"/>
          <w:color w:val="000000"/>
        </w:rPr>
        <w:t xml:space="preserve">/MMBtu = </w:t>
      </w:r>
      <w:r>
        <w:rPr>
          <w:rFonts w:cs="Arial"/>
          <w:color w:val="0000FF"/>
        </w:rPr>
        <w:t>X,XXX</w:t>
      </w:r>
      <w:r w:rsidR="007666F8" w:rsidRPr="009A2968">
        <w:rPr>
          <w:rFonts w:cs="Arial"/>
          <w:color w:val="0000FF"/>
        </w:rPr>
        <w:t xml:space="preserve"> </w:t>
      </w:r>
      <w:r w:rsidR="007666F8" w:rsidRPr="00993B55">
        <w:rPr>
          <w:rFonts w:cs="Arial"/>
          <w:color w:val="000000"/>
        </w:rPr>
        <w:t>lb</w:t>
      </w:r>
      <w:r w:rsidR="00047C89">
        <w:rPr>
          <w:rFonts w:cs="Arial"/>
          <w:color w:val="000000"/>
        </w:rPr>
        <w:t>-</w:t>
      </w:r>
      <w:r w:rsidR="007666F8" w:rsidRPr="00993B55">
        <w:rPr>
          <w:rFonts w:cs="Arial"/>
          <w:color w:val="000000"/>
        </w:rPr>
        <w:t xml:space="preserve">NOx/yr </w:t>
      </w:r>
    </w:p>
    <w:p w14:paraId="2AD8155C" w14:textId="77777777" w:rsidR="007666F8" w:rsidRPr="00993B55" w:rsidRDefault="007666F8" w:rsidP="007A60F3">
      <w:pPr>
        <w:widowControl w:val="0"/>
        <w:ind w:left="1080"/>
        <w:rPr>
          <w:rFonts w:cs="Arial"/>
          <w:color w:val="000000"/>
        </w:rPr>
      </w:pPr>
    </w:p>
    <w:p w14:paraId="3EB82C6F" w14:textId="383A529F" w:rsidR="007666F8" w:rsidRPr="00993B55" w:rsidRDefault="007666F8" w:rsidP="007A60F3">
      <w:pPr>
        <w:widowControl w:val="0"/>
        <w:ind w:left="1080"/>
        <w:rPr>
          <w:rFonts w:cs="Arial"/>
          <w:color w:val="000000"/>
        </w:rPr>
      </w:pPr>
      <w:r w:rsidRPr="009A2968">
        <w:rPr>
          <w:rFonts w:cs="Arial"/>
          <w:color w:val="0000FF"/>
        </w:rPr>
        <w:t>20</w:t>
      </w:r>
      <w:r w:rsidR="00CF5E42" w:rsidRPr="009A2968">
        <w:rPr>
          <w:rFonts w:cs="Arial"/>
          <w:color w:val="0000FF"/>
        </w:rPr>
        <w:t>22</w:t>
      </w:r>
      <w:r w:rsidR="00070208" w:rsidRPr="009A2968">
        <w:rPr>
          <w:rFonts w:cs="Arial"/>
          <w:color w:val="0000FF"/>
        </w:rPr>
        <w:t xml:space="preserve"> </w:t>
      </w:r>
      <w:r w:rsidRPr="00993B55">
        <w:rPr>
          <w:rFonts w:cs="Arial"/>
          <w:color w:val="000000"/>
        </w:rPr>
        <w:t>AE</w:t>
      </w:r>
    </w:p>
    <w:p w14:paraId="3A8D7923" w14:textId="25824386" w:rsidR="007666F8" w:rsidRPr="00993B55" w:rsidRDefault="00BE31EB" w:rsidP="007A60F3">
      <w:pPr>
        <w:widowControl w:val="0"/>
        <w:ind w:left="1080"/>
        <w:rPr>
          <w:rFonts w:cs="Arial"/>
          <w:color w:val="000000"/>
        </w:rPr>
      </w:pPr>
      <w:r>
        <w:rPr>
          <w:rFonts w:cs="Arial"/>
          <w:color w:val="0000FF"/>
        </w:rPr>
        <w:t>XXX,XXX</w:t>
      </w:r>
      <w:r w:rsidR="007666F8" w:rsidRPr="009A2968">
        <w:rPr>
          <w:rFonts w:cs="Arial"/>
          <w:color w:val="0000FF"/>
        </w:rPr>
        <w:t xml:space="preserve"> </w:t>
      </w:r>
      <w:r w:rsidR="007666F8" w:rsidRPr="00993B55">
        <w:rPr>
          <w:rFonts w:cs="Arial"/>
          <w:color w:val="000000"/>
        </w:rPr>
        <w:t xml:space="preserve">MMBtu/year x </w:t>
      </w:r>
      <w:r>
        <w:rPr>
          <w:rFonts w:cs="Arial"/>
          <w:color w:val="0000FF"/>
        </w:rPr>
        <w:t>X.XXX</w:t>
      </w:r>
      <w:r w:rsidR="007666F8" w:rsidRPr="009A2968">
        <w:rPr>
          <w:rFonts w:cs="Arial"/>
          <w:color w:val="0000FF"/>
        </w:rPr>
        <w:t xml:space="preserve"> </w:t>
      </w:r>
      <w:r w:rsidR="007666F8" w:rsidRPr="00993B55">
        <w:rPr>
          <w:rFonts w:cs="Arial"/>
          <w:color w:val="000000"/>
        </w:rPr>
        <w:t>lb NO</w:t>
      </w:r>
      <w:r w:rsidR="007666F8">
        <w:rPr>
          <w:rFonts w:cs="Arial"/>
          <w:color w:val="000000"/>
        </w:rPr>
        <w:t>x</w:t>
      </w:r>
      <w:r w:rsidR="007666F8" w:rsidRPr="00993B55">
        <w:rPr>
          <w:rFonts w:cs="Arial"/>
          <w:color w:val="000000"/>
        </w:rPr>
        <w:t xml:space="preserve">/MMBtu = </w:t>
      </w:r>
      <w:r>
        <w:rPr>
          <w:rFonts w:cs="Arial"/>
          <w:color w:val="0000FF"/>
        </w:rPr>
        <w:t>X,XXX</w:t>
      </w:r>
      <w:r w:rsidR="007666F8" w:rsidRPr="009A2968">
        <w:rPr>
          <w:rFonts w:cs="Arial"/>
          <w:color w:val="0000FF"/>
        </w:rPr>
        <w:t xml:space="preserve"> </w:t>
      </w:r>
      <w:r w:rsidR="007666F8" w:rsidRPr="00993B55">
        <w:rPr>
          <w:rFonts w:cs="Arial"/>
          <w:color w:val="000000"/>
        </w:rPr>
        <w:t>lb</w:t>
      </w:r>
      <w:r w:rsidR="00047C89">
        <w:rPr>
          <w:rFonts w:cs="Arial"/>
          <w:color w:val="000000"/>
        </w:rPr>
        <w:t>-</w:t>
      </w:r>
      <w:r w:rsidR="007666F8" w:rsidRPr="00993B55">
        <w:rPr>
          <w:rFonts w:cs="Arial"/>
          <w:color w:val="000000"/>
        </w:rPr>
        <w:t xml:space="preserve">NOx/yr </w:t>
      </w:r>
    </w:p>
    <w:p w14:paraId="606D133F" w14:textId="77777777" w:rsidR="007666F8" w:rsidRPr="00993B55" w:rsidRDefault="007666F8" w:rsidP="007A60F3">
      <w:pPr>
        <w:widowControl w:val="0"/>
        <w:ind w:left="1080"/>
        <w:rPr>
          <w:rFonts w:cs="Arial"/>
        </w:rPr>
      </w:pPr>
    </w:p>
    <w:p w14:paraId="5388486E" w14:textId="503CD44A" w:rsidR="007666F8" w:rsidRPr="00993B55" w:rsidRDefault="00070208" w:rsidP="007A60F3">
      <w:pPr>
        <w:widowControl w:val="0"/>
        <w:tabs>
          <w:tab w:val="left" w:pos="2430"/>
        </w:tabs>
        <w:ind w:left="1080"/>
        <w:rPr>
          <w:rFonts w:cs="Arial"/>
        </w:rPr>
      </w:pPr>
      <w:r>
        <w:rPr>
          <w:rFonts w:cs="Arial"/>
        </w:rPr>
        <w:t>Average AE</w:t>
      </w:r>
      <w:r>
        <w:rPr>
          <w:rFonts w:cs="Arial"/>
        </w:rPr>
        <w:tab/>
      </w:r>
      <w:r w:rsidR="007666F8" w:rsidRPr="00993B55">
        <w:rPr>
          <w:rFonts w:cs="Arial"/>
        </w:rPr>
        <w:t>= (</w:t>
      </w:r>
      <w:r w:rsidR="00BE31EB">
        <w:rPr>
          <w:rFonts w:cs="Arial"/>
          <w:color w:val="0000FF"/>
        </w:rPr>
        <w:t>X,XXX</w:t>
      </w:r>
      <w:r w:rsidR="007666F8" w:rsidRPr="009A2968">
        <w:rPr>
          <w:rFonts w:cs="Arial"/>
          <w:color w:val="0000FF"/>
        </w:rPr>
        <w:t xml:space="preserve"> </w:t>
      </w:r>
      <w:r w:rsidR="007666F8" w:rsidRPr="00993B55">
        <w:rPr>
          <w:rFonts w:cs="Arial"/>
        </w:rPr>
        <w:t xml:space="preserve">+ </w:t>
      </w:r>
      <w:r w:rsidR="00BE31EB">
        <w:rPr>
          <w:rFonts w:cs="Arial"/>
          <w:color w:val="0000FF"/>
        </w:rPr>
        <w:t>X,XXX</w:t>
      </w:r>
      <w:r w:rsidR="007666F8" w:rsidRPr="00993B55">
        <w:rPr>
          <w:rFonts w:cs="Arial"/>
        </w:rPr>
        <w:t>)/2</w:t>
      </w:r>
    </w:p>
    <w:p w14:paraId="2E4F770F" w14:textId="60FF3189" w:rsidR="007666F8" w:rsidRPr="00993B55" w:rsidRDefault="00070208" w:rsidP="007A60F3">
      <w:pPr>
        <w:widowControl w:val="0"/>
        <w:tabs>
          <w:tab w:val="left" w:pos="2430"/>
        </w:tabs>
        <w:ind w:left="1080"/>
        <w:rPr>
          <w:rFonts w:cs="Arial"/>
        </w:rPr>
      </w:pPr>
      <w:r>
        <w:rPr>
          <w:rFonts w:cs="Arial"/>
        </w:rPr>
        <w:tab/>
      </w:r>
      <w:r w:rsidR="007666F8" w:rsidRPr="00993B55">
        <w:rPr>
          <w:rFonts w:cs="Arial"/>
        </w:rPr>
        <w:t xml:space="preserve">= </w:t>
      </w:r>
      <w:r w:rsidR="00BE31EB">
        <w:rPr>
          <w:rFonts w:cs="Arial"/>
          <w:color w:val="0000FF"/>
        </w:rPr>
        <w:t>X,XXX</w:t>
      </w:r>
      <w:r w:rsidR="007666F8" w:rsidRPr="00993B55">
        <w:rPr>
          <w:rFonts w:cs="Arial"/>
        </w:rPr>
        <w:t xml:space="preserve"> lb</w:t>
      </w:r>
      <w:r w:rsidR="00047C89">
        <w:rPr>
          <w:rFonts w:cs="Arial"/>
        </w:rPr>
        <w:t>-</w:t>
      </w:r>
      <w:r w:rsidR="007666F8" w:rsidRPr="00993B55">
        <w:rPr>
          <w:rFonts w:cs="Arial"/>
        </w:rPr>
        <w:t>NOx/</w:t>
      </w:r>
      <w:r w:rsidR="002360CA">
        <w:rPr>
          <w:rFonts w:cs="Arial"/>
        </w:rPr>
        <w:t>y</w:t>
      </w:r>
      <w:r w:rsidR="007666F8" w:rsidRPr="00993B55">
        <w:rPr>
          <w:rFonts w:cs="Arial"/>
        </w:rPr>
        <w:t>r</w:t>
      </w:r>
    </w:p>
    <w:p w14:paraId="39973EC9" w14:textId="77777777" w:rsidR="007666F8" w:rsidRPr="00993B55" w:rsidRDefault="007666F8" w:rsidP="007A60F3">
      <w:pPr>
        <w:widowControl w:val="0"/>
        <w:ind w:left="1080"/>
        <w:rPr>
          <w:rFonts w:cs="Arial"/>
        </w:rPr>
      </w:pPr>
    </w:p>
    <w:p w14:paraId="24093ACC" w14:textId="4A3FF007" w:rsidR="008D7ED2" w:rsidRPr="008D7ED2" w:rsidRDefault="007666F8" w:rsidP="007A60F3">
      <w:pPr>
        <w:widowControl w:val="0"/>
        <w:ind w:left="1080"/>
        <w:rPr>
          <w:rFonts w:cs="Arial"/>
        </w:rPr>
      </w:pPr>
      <w:r w:rsidRPr="00993B55">
        <w:rPr>
          <w:rFonts w:cs="Arial"/>
        </w:rPr>
        <w:t xml:space="preserve">PE1 for this unit was </w:t>
      </w:r>
      <w:r w:rsidR="00BE31EB">
        <w:rPr>
          <w:color w:val="0000FF"/>
        </w:rPr>
        <w:t>X,XXX</w:t>
      </w:r>
      <w:r w:rsidRPr="009A2968">
        <w:rPr>
          <w:color w:val="0000FF"/>
        </w:rPr>
        <w:t xml:space="preserve"> </w:t>
      </w:r>
      <w:r w:rsidRPr="00993B55">
        <w:t>lb</w:t>
      </w:r>
      <w:r w:rsidR="00047C89">
        <w:t>-</w:t>
      </w:r>
      <w:r w:rsidRPr="00993B55">
        <w:t>NO</w:t>
      </w:r>
      <w:r>
        <w:t>x</w:t>
      </w:r>
      <w:r w:rsidRPr="00993B55">
        <w:t xml:space="preserve">/year, </w:t>
      </w:r>
      <w:r w:rsidRPr="00993B55">
        <w:rPr>
          <w:rFonts w:cs="Arial"/>
        </w:rPr>
        <w:t>calculated in Section VII.C.1 above.  The AE for NO</w:t>
      </w:r>
      <w:r>
        <w:rPr>
          <w:rFonts w:cs="Arial"/>
        </w:rPr>
        <w:t>x</w:t>
      </w:r>
      <w:r w:rsidRPr="00993B55">
        <w:rPr>
          <w:rFonts w:cs="Arial"/>
        </w:rPr>
        <w:t xml:space="preserve"> represents </w:t>
      </w:r>
      <w:r w:rsidR="00BE31EB">
        <w:rPr>
          <w:rFonts w:cs="Arial"/>
          <w:color w:val="0000FF"/>
        </w:rPr>
        <w:t>XX</w:t>
      </w:r>
      <w:r w:rsidRPr="00993B55">
        <w:rPr>
          <w:rFonts w:cs="Arial"/>
        </w:rPr>
        <w:t>% of the unit’s pre-project PE.  Therefore, this unit is considered as a Highly Utilized Emissions Unit for NO</w:t>
      </w:r>
      <w:r>
        <w:rPr>
          <w:rFonts w:cs="Arial"/>
        </w:rPr>
        <w:t>x</w:t>
      </w:r>
      <w:r w:rsidRPr="00993B55">
        <w:rPr>
          <w:rFonts w:cs="Arial"/>
        </w:rPr>
        <w:t xml:space="preserve"> emissions.</w:t>
      </w:r>
      <w:r w:rsidR="008D7ED2" w:rsidRPr="008D7ED2">
        <w:t xml:space="preserve"> </w:t>
      </w:r>
      <w:r w:rsidR="008D7ED2" w:rsidRPr="008D7ED2">
        <w:rPr>
          <w:rFonts w:cs="Arial"/>
        </w:rPr>
        <w:t xml:space="preserve">Therefore, </w:t>
      </w:r>
      <w:r w:rsidR="00C62D2F">
        <w:rPr>
          <w:rFonts w:cs="Arial"/>
        </w:rPr>
        <w:t>F</w:t>
      </w:r>
      <w:r w:rsidR="008D7ED2" w:rsidRPr="008D7ED2">
        <w:rPr>
          <w:rFonts w:cs="Arial"/>
        </w:rPr>
        <w:t>BE=PE1.</w:t>
      </w:r>
    </w:p>
    <w:p w14:paraId="112177F5" w14:textId="77777777" w:rsidR="008D7ED2" w:rsidRPr="008D7ED2" w:rsidRDefault="008D7ED2" w:rsidP="007A60F3">
      <w:pPr>
        <w:widowControl w:val="0"/>
        <w:ind w:left="1080"/>
        <w:rPr>
          <w:rFonts w:cs="Arial"/>
        </w:rPr>
      </w:pPr>
    </w:p>
    <w:p w14:paraId="7A5071AB" w14:textId="284B24FB" w:rsidR="007666F8" w:rsidRPr="00993B55" w:rsidRDefault="00C62D2F" w:rsidP="007A60F3">
      <w:pPr>
        <w:widowControl w:val="0"/>
        <w:ind w:left="1080"/>
        <w:rPr>
          <w:rFonts w:cs="Arial"/>
        </w:rPr>
      </w:pPr>
      <w:r>
        <w:rPr>
          <w:rFonts w:cs="Arial"/>
        </w:rPr>
        <w:t>F</w:t>
      </w:r>
      <w:r w:rsidR="008D7ED2" w:rsidRPr="008D7ED2">
        <w:rPr>
          <w:rFonts w:cs="Arial"/>
        </w:rPr>
        <w:t>BE = PE1</w:t>
      </w:r>
      <w:r w:rsidR="008D7ED2" w:rsidRPr="008D7ED2">
        <w:rPr>
          <w:rFonts w:cs="Arial"/>
        </w:rPr>
        <w:tab/>
        <w:t xml:space="preserve">= </w:t>
      </w:r>
      <w:r w:rsidR="00977AD9" w:rsidRPr="00977AD9">
        <w:rPr>
          <w:rFonts w:cs="Arial"/>
          <w:color w:val="0000FF"/>
        </w:rPr>
        <w:t>X,XXX</w:t>
      </w:r>
      <w:r w:rsidR="008D7ED2" w:rsidRPr="00977AD9">
        <w:rPr>
          <w:rFonts w:cs="Arial"/>
          <w:color w:val="0000FF"/>
        </w:rPr>
        <w:t xml:space="preserve"> </w:t>
      </w:r>
      <w:r w:rsidR="008D7ED2" w:rsidRPr="008D7ED2">
        <w:rPr>
          <w:rFonts w:cs="Arial"/>
        </w:rPr>
        <w:t>lb</w:t>
      </w:r>
      <w:r w:rsidR="00047C89">
        <w:rPr>
          <w:rFonts w:cs="Arial"/>
        </w:rPr>
        <w:t>-</w:t>
      </w:r>
      <w:r w:rsidR="008D7ED2" w:rsidRPr="008D7ED2">
        <w:rPr>
          <w:rFonts w:cs="Arial"/>
        </w:rPr>
        <w:t>NOx/year</w:t>
      </w:r>
    </w:p>
    <w:p w14:paraId="498FF7A8" w14:textId="77777777" w:rsidR="000813B6" w:rsidRPr="00432258" w:rsidRDefault="000813B6" w:rsidP="007A60F3">
      <w:pPr>
        <w:pStyle w:val="BodyText3"/>
        <w:widowControl w:val="0"/>
        <w:ind w:left="1080" w:right="-36"/>
        <w:rPr>
          <w:color w:val="FF0000"/>
          <w:highlight w:val="yellow"/>
        </w:rPr>
      </w:pPr>
    </w:p>
    <w:p w14:paraId="4BF51403" w14:textId="7799718E" w:rsidR="002578EE" w:rsidRPr="00993B55" w:rsidRDefault="002578EE" w:rsidP="007A60F3">
      <w:pPr>
        <w:pStyle w:val="BodyText3"/>
        <w:widowControl w:val="0"/>
        <w:ind w:left="1080" w:right="-36"/>
        <w:rPr>
          <w:color w:val="000000" w:themeColor="text1"/>
          <w:u w:val="single"/>
        </w:rPr>
      </w:pPr>
      <w:r w:rsidRPr="00993B55">
        <w:rPr>
          <w:color w:val="000000" w:themeColor="text1"/>
          <w:u w:val="single"/>
        </w:rPr>
        <w:t xml:space="preserve">Offset Ratio </w:t>
      </w:r>
    </w:p>
    <w:p w14:paraId="140D86E4" w14:textId="77777777" w:rsidR="002578EE" w:rsidRPr="00993B55" w:rsidRDefault="002578EE" w:rsidP="007A60F3">
      <w:pPr>
        <w:pStyle w:val="BodyText3"/>
        <w:widowControl w:val="0"/>
        <w:ind w:left="1080" w:right="-36"/>
        <w:rPr>
          <w:color w:val="000000" w:themeColor="text1"/>
        </w:rPr>
      </w:pPr>
    </w:p>
    <w:p w14:paraId="2731A065" w14:textId="0966B415" w:rsidR="002578EE" w:rsidRPr="00993B55" w:rsidRDefault="002578EE" w:rsidP="007A60F3">
      <w:pPr>
        <w:pStyle w:val="BodyText3"/>
        <w:widowControl w:val="0"/>
        <w:ind w:left="1080" w:right="-36"/>
        <w:rPr>
          <w:rFonts w:cs="Arial"/>
          <w:color w:val="000000" w:themeColor="text1"/>
        </w:rPr>
      </w:pPr>
      <w:r w:rsidRPr="00993B55">
        <w:rPr>
          <w:color w:val="000000" w:themeColor="text1"/>
        </w:rPr>
        <w:t xml:space="preserve">According the </w:t>
      </w:r>
      <w:r w:rsidR="004E5988">
        <w:rPr>
          <w:color w:val="000000" w:themeColor="text1"/>
        </w:rPr>
        <w:t>Section 4.9 of District Rule 2201</w:t>
      </w:r>
      <w:r w:rsidRPr="00993B55">
        <w:rPr>
          <w:color w:val="000000" w:themeColor="text1"/>
        </w:rPr>
        <w:t>, th</w:t>
      </w:r>
      <w:r w:rsidRPr="00993B55">
        <w:rPr>
          <w:rFonts w:cs="Arial"/>
          <w:color w:val="000000" w:themeColor="text1"/>
        </w:rPr>
        <w:t xml:space="preserve">e offset ratio for </w:t>
      </w:r>
      <w:r w:rsidR="008E1F8A">
        <w:rPr>
          <w:rFonts w:cs="Arial"/>
          <w:color w:val="000000" w:themeColor="text1"/>
        </w:rPr>
        <w:t xml:space="preserve">new major sources and federal major modifications for </w:t>
      </w:r>
      <w:r w:rsidRPr="00993B55">
        <w:rPr>
          <w:rFonts w:cs="Arial"/>
          <w:color w:val="000000" w:themeColor="text1"/>
        </w:rPr>
        <w:t>VOC and NOx is</w:t>
      </w:r>
      <w:r w:rsidR="008E1F8A">
        <w:rPr>
          <w:rFonts w:cs="Arial"/>
          <w:color w:val="000000" w:themeColor="text1"/>
        </w:rPr>
        <w:t xml:space="preserve"> 1.3 to 1 for internal emission reductions (i.e. </w:t>
      </w:r>
      <w:r w:rsidR="002373AA">
        <w:rPr>
          <w:rFonts w:cs="Arial"/>
          <w:color w:val="000000" w:themeColor="text1"/>
        </w:rPr>
        <w:t>onsite actual emissions reductions); otherwise, the offset ratio is</w:t>
      </w:r>
      <w:r w:rsidRPr="00993B55">
        <w:rPr>
          <w:rFonts w:cs="Arial"/>
          <w:color w:val="000000" w:themeColor="text1"/>
        </w:rPr>
        <w:t xml:space="preserve"> 1.5 to 1.  </w:t>
      </w:r>
      <w:r w:rsidR="00770E83">
        <w:rPr>
          <w:rFonts w:cs="Arial"/>
          <w:color w:val="000000" w:themeColor="text1"/>
        </w:rPr>
        <w:t>T</w:t>
      </w:r>
      <w:r w:rsidRPr="00993B55">
        <w:rPr>
          <w:rFonts w:cs="Arial"/>
          <w:color w:val="000000" w:themeColor="text1"/>
        </w:rPr>
        <w:t>he offset ratio for PM2.5, PM10, and SOx is 1.0 to 1.</w:t>
      </w:r>
    </w:p>
    <w:p w14:paraId="35E30514" w14:textId="77777777" w:rsidR="002578EE" w:rsidRPr="00993B55" w:rsidRDefault="002578EE" w:rsidP="001C2F0D">
      <w:pPr>
        <w:pStyle w:val="BodyText3"/>
        <w:widowControl w:val="0"/>
        <w:ind w:left="1080" w:right="-36"/>
        <w:rPr>
          <w:rFonts w:cs="Arial"/>
          <w:color w:val="000000" w:themeColor="text1"/>
        </w:rPr>
      </w:pPr>
    </w:p>
    <w:p w14:paraId="6146A78E" w14:textId="77777777" w:rsidR="002578EE" w:rsidRPr="00993B55" w:rsidRDefault="002578EE" w:rsidP="007A60F3">
      <w:pPr>
        <w:pStyle w:val="BodyText3"/>
        <w:widowControl w:val="0"/>
        <w:ind w:left="1080" w:right="-36"/>
        <w:rPr>
          <w:rFonts w:cs="Arial"/>
          <w:color w:val="000000" w:themeColor="text1"/>
          <w:u w:val="single"/>
        </w:rPr>
      </w:pPr>
      <w:r w:rsidRPr="00993B55">
        <w:rPr>
          <w:rFonts w:cs="Arial"/>
          <w:color w:val="000000" w:themeColor="text1"/>
          <w:u w:val="single"/>
        </w:rPr>
        <w:t>Federal Offset Quantity (FOQ)</w:t>
      </w:r>
    </w:p>
    <w:p w14:paraId="6E96E3E0" w14:textId="77777777" w:rsidR="002578EE" w:rsidRPr="00993B55" w:rsidRDefault="002578EE" w:rsidP="007A60F3">
      <w:pPr>
        <w:pStyle w:val="BodyText3"/>
        <w:widowControl w:val="0"/>
        <w:ind w:left="1080" w:right="-36"/>
        <w:rPr>
          <w:rFonts w:cs="Arial"/>
          <w:color w:val="000000" w:themeColor="text1"/>
        </w:rPr>
      </w:pPr>
    </w:p>
    <w:p w14:paraId="2DB0FACB" w14:textId="77777777" w:rsidR="002578EE" w:rsidRPr="00993B55" w:rsidRDefault="002578EE" w:rsidP="007A60F3">
      <w:pPr>
        <w:pStyle w:val="BodyText3"/>
        <w:widowControl w:val="0"/>
        <w:ind w:left="1080" w:right="-36"/>
        <w:rPr>
          <w:b/>
          <w:color w:val="FF0000"/>
        </w:rPr>
      </w:pPr>
      <w:r w:rsidRPr="00993B55">
        <w:rPr>
          <w:b/>
          <w:color w:val="FF0000"/>
        </w:rPr>
        <w:t>New Unit(s) only</w:t>
      </w:r>
    </w:p>
    <w:p w14:paraId="7991FF4E" w14:textId="7C8E9090" w:rsidR="002578EE" w:rsidRPr="00993B55" w:rsidRDefault="002578EE" w:rsidP="007A60F3">
      <w:pPr>
        <w:pStyle w:val="BodyText3"/>
        <w:widowControl w:val="0"/>
        <w:ind w:left="1080" w:right="-36"/>
        <w:rPr>
          <w:color w:val="000000" w:themeColor="text1"/>
        </w:rPr>
      </w:pPr>
      <w:r w:rsidRPr="00993B55">
        <w:rPr>
          <w:color w:val="auto"/>
        </w:rPr>
        <w:t>Since this project only include</w:t>
      </w:r>
      <w:r w:rsidR="004D432F">
        <w:rPr>
          <w:color w:val="auto"/>
        </w:rPr>
        <w:t>s</w:t>
      </w:r>
      <w:r w:rsidRPr="00993B55">
        <w:rPr>
          <w:color w:val="auto"/>
        </w:rPr>
        <w:t xml:space="preserve"> new unit(s)</w:t>
      </w:r>
      <w:r w:rsidR="00E94CC2">
        <w:rPr>
          <w:color w:val="auto"/>
        </w:rPr>
        <w:t>,</w:t>
      </w:r>
    </w:p>
    <w:p w14:paraId="70FC5110" w14:textId="77777777" w:rsidR="002578EE" w:rsidRPr="00993B55" w:rsidRDefault="002578EE" w:rsidP="007A60F3">
      <w:pPr>
        <w:pStyle w:val="BodyText3"/>
        <w:widowControl w:val="0"/>
        <w:ind w:left="1080" w:right="-36"/>
        <w:rPr>
          <w:color w:val="000000" w:themeColor="text1"/>
        </w:rPr>
      </w:pPr>
    </w:p>
    <w:p w14:paraId="1ABECB3A" w14:textId="4EC39D64" w:rsidR="002578EE" w:rsidRPr="00993B55" w:rsidRDefault="002578EE" w:rsidP="007A60F3">
      <w:pPr>
        <w:pStyle w:val="BodyText3"/>
        <w:widowControl w:val="0"/>
        <w:ind w:left="1080" w:right="-36"/>
        <w:rPr>
          <w:color w:val="000000" w:themeColor="text1"/>
        </w:rPr>
      </w:pPr>
      <w:r w:rsidRPr="00993B55">
        <w:rPr>
          <w:color w:val="000000" w:themeColor="text1"/>
        </w:rPr>
        <w:t>FOQ = PE2 x offset ratio</w:t>
      </w:r>
    </w:p>
    <w:p w14:paraId="24871FA7" w14:textId="77777777" w:rsidR="002578EE" w:rsidRPr="00993B55" w:rsidRDefault="002578EE" w:rsidP="007A60F3">
      <w:pPr>
        <w:pStyle w:val="BodyText3"/>
        <w:widowControl w:val="0"/>
        <w:ind w:left="1080" w:right="-36"/>
        <w:rPr>
          <w:rFonts w:cs="Arial"/>
          <w:color w:val="000000" w:themeColor="text1"/>
        </w:rPr>
      </w:pPr>
    </w:p>
    <w:p w14:paraId="6ED60A41" w14:textId="77777777" w:rsidR="002578EE" w:rsidRPr="00993B55" w:rsidRDefault="002578EE" w:rsidP="007A60F3">
      <w:pPr>
        <w:pStyle w:val="BodyText3"/>
        <w:widowControl w:val="0"/>
        <w:ind w:left="1080" w:right="-36"/>
        <w:rPr>
          <w:b/>
          <w:color w:val="FF0000"/>
        </w:rPr>
      </w:pPr>
      <w:r w:rsidRPr="00993B55">
        <w:rPr>
          <w:b/>
          <w:color w:val="FF0000"/>
        </w:rPr>
        <w:t>New and Modified Unit(s) – NO SLC</w:t>
      </w:r>
    </w:p>
    <w:p w14:paraId="24544F7C" w14:textId="77777777" w:rsidR="002578EE" w:rsidRPr="00993B55" w:rsidRDefault="002578EE" w:rsidP="007A60F3">
      <w:pPr>
        <w:pStyle w:val="BodyText3"/>
        <w:widowControl w:val="0"/>
        <w:ind w:left="1080" w:right="-36"/>
        <w:rPr>
          <w:color w:val="auto"/>
        </w:rPr>
      </w:pPr>
      <w:r w:rsidRPr="00993B55">
        <w:rPr>
          <w:color w:val="FF0000"/>
        </w:rPr>
        <w:t xml:space="preserve">Note:  If an SLC permit condition is </w:t>
      </w:r>
      <w:r w:rsidRPr="00993B55">
        <w:rPr>
          <w:color w:val="FF0000"/>
          <w:u w:val="single"/>
        </w:rPr>
        <w:t>not</w:t>
      </w:r>
      <w:r w:rsidRPr="00993B55">
        <w:rPr>
          <w:color w:val="FF0000"/>
        </w:rPr>
        <w:t xml:space="preserve"> considered federally enforceable (see below), then the FOQ calculation procedure is the same as if there was no SLC</w:t>
      </w:r>
    </w:p>
    <w:p w14:paraId="517A02DD" w14:textId="77777777" w:rsidR="002578EE" w:rsidRPr="00993B55" w:rsidRDefault="002578EE" w:rsidP="007A60F3">
      <w:pPr>
        <w:pStyle w:val="BodyText3"/>
        <w:widowControl w:val="0"/>
        <w:ind w:left="1080" w:right="-36"/>
        <w:rPr>
          <w:color w:val="000000" w:themeColor="text1"/>
        </w:rPr>
      </w:pPr>
    </w:p>
    <w:p w14:paraId="50CCC8AD" w14:textId="77777777" w:rsidR="002578EE" w:rsidRPr="00993B55" w:rsidRDefault="002578EE" w:rsidP="007A60F3">
      <w:pPr>
        <w:pStyle w:val="BodyText3"/>
        <w:widowControl w:val="0"/>
        <w:ind w:left="1080" w:right="-36"/>
        <w:rPr>
          <w:color w:val="000000" w:themeColor="text1"/>
        </w:rPr>
      </w:pPr>
      <w:r w:rsidRPr="00993B55">
        <w:rPr>
          <w:color w:val="000000" w:themeColor="text1"/>
        </w:rPr>
        <w:t>This project includes new and modified units:</w:t>
      </w:r>
    </w:p>
    <w:p w14:paraId="5B3B805E" w14:textId="77777777" w:rsidR="002578EE" w:rsidRPr="00993B55" w:rsidRDefault="002578EE" w:rsidP="007A60F3">
      <w:pPr>
        <w:pStyle w:val="BodyText3"/>
        <w:widowControl w:val="0"/>
        <w:ind w:left="1080" w:right="-36"/>
        <w:rPr>
          <w:color w:val="000000" w:themeColor="text1"/>
        </w:rPr>
      </w:pPr>
    </w:p>
    <w:p w14:paraId="14B88917" w14:textId="7EF41DF1" w:rsidR="002578EE" w:rsidRPr="00993B55" w:rsidRDefault="002578EE" w:rsidP="007A60F3">
      <w:pPr>
        <w:pStyle w:val="BodyText3"/>
        <w:widowControl w:val="0"/>
        <w:ind w:left="1080" w:right="-36"/>
        <w:rPr>
          <w:color w:val="000000" w:themeColor="text1"/>
        </w:rPr>
      </w:pPr>
      <w:r w:rsidRPr="00993B55">
        <w:rPr>
          <w:color w:val="000000" w:themeColor="text1"/>
        </w:rPr>
        <w:t xml:space="preserve">FOQ = </w:t>
      </w:r>
      <w:r w:rsidRPr="00993B55">
        <w:rPr>
          <w:rFonts w:ascii="AauxPro OT Regular" w:hAnsi="AauxPro OT Regular"/>
          <w:color w:val="000000" w:themeColor="text1"/>
        </w:rPr>
        <w:t>∑</w:t>
      </w:r>
      <w:r w:rsidRPr="00993B55">
        <w:rPr>
          <w:color w:val="000000" w:themeColor="text1"/>
        </w:rPr>
        <w:t xml:space="preserve">(PE2 – </w:t>
      </w:r>
      <w:r w:rsidR="00930AF2">
        <w:rPr>
          <w:color w:val="000000" w:themeColor="text1"/>
        </w:rPr>
        <w:t>FB</w:t>
      </w:r>
      <w:r w:rsidRPr="00993B55">
        <w:rPr>
          <w:color w:val="000000" w:themeColor="text1"/>
        </w:rPr>
        <w:t>E)</w:t>
      </w:r>
      <w:r w:rsidRPr="00993B55">
        <w:rPr>
          <w:color w:val="000000" w:themeColor="text1"/>
          <w:vertAlign w:val="subscript"/>
        </w:rPr>
        <w:t>All New and Modified Units</w:t>
      </w:r>
      <w:r w:rsidRPr="00993B55">
        <w:rPr>
          <w:color w:val="000000" w:themeColor="text1"/>
        </w:rPr>
        <w:t xml:space="preserve"> x offset ratio</w:t>
      </w:r>
    </w:p>
    <w:p w14:paraId="06700343" w14:textId="77777777" w:rsidR="002578EE" w:rsidRPr="00993B55" w:rsidRDefault="002578EE" w:rsidP="007A60F3">
      <w:pPr>
        <w:pStyle w:val="BodyText3"/>
        <w:widowControl w:val="0"/>
        <w:ind w:left="1080" w:right="-36"/>
        <w:rPr>
          <w:rFonts w:cs="Arial"/>
          <w:color w:val="000000" w:themeColor="text1"/>
        </w:rPr>
      </w:pPr>
    </w:p>
    <w:p w14:paraId="1239D4E5" w14:textId="762D9285" w:rsidR="002578EE" w:rsidRPr="00993B55" w:rsidRDefault="002578EE" w:rsidP="007A60F3">
      <w:pPr>
        <w:pStyle w:val="BodyText3"/>
        <w:widowControl w:val="0"/>
        <w:ind w:left="1080" w:right="-36"/>
        <w:rPr>
          <w:rFonts w:cs="Arial"/>
          <w:color w:val="000000" w:themeColor="text1"/>
        </w:rPr>
      </w:pPr>
      <w:r w:rsidRPr="00993B55">
        <w:rPr>
          <w:rFonts w:cs="Arial"/>
          <w:color w:val="000000" w:themeColor="text1"/>
        </w:rPr>
        <w:t xml:space="preserve">For new units, </w:t>
      </w:r>
      <w:r w:rsidR="00930AF2">
        <w:rPr>
          <w:rFonts w:cs="Arial"/>
          <w:color w:val="000000" w:themeColor="text1"/>
        </w:rPr>
        <w:t>FB</w:t>
      </w:r>
      <w:r w:rsidRPr="00993B55">
        <w:rPr>
          <w:rFonts w:cs="Arial"/>
          <w:color w:val="000000" w:themeColor="text1"/>
        </w:rPr>
        <w:t>E = 0</w:t>
      </w:r>
    </w:p>
    <w:p w14:paraId="441B64AD" w14:textId="77777777" w:rsidR="00DD6CDD" w:rsidRDefault="00DD6CDD" w:rsidP="007A60F3">
      <w:pPr>
        <w:pStyle w:val="BodyText3"/>
        <w:widowControl w:val="0"/>
        <w:ind w:left="1080" w:right="-36"/>
        <w:rPr>
          <w:rFonts w:cs="Arial"/>
          <w:color w:val="000000" w:themeColor="text1"/>
        </w:rPr>
      </w:pPr>
    </w:p>
    <w:p w14:paraId="22905BDD" w14:textId="05BD2404" w:rsidR="002578EE" w:rsidRPr="00993B55" w:rsidRDefault="002578EE" w:rsidP="007A60F3">
      <w:pPr>
        <w:pStyle w:val="BodyText3"/>
        <w:widowControl w:val="0"/>
        <w:ind w:left="1080" w:right="-36"/>
        <w:rPr>
          <w:rFonts w:cs="Arial"/>
          <w:color w:val="000000" w:themeColor="text1"/>
        </w:rPr>
      </w:pPr>
      <w:r w:rsidRPr="00993B55">
        <w:rPr>
          <w:rFonts w:cs="Arial"/>
          <w:color w:val="000000" w:themeColor="text1"/>
        </w:rPr>
        <w:t xml:space="preserve">Therefore, </w:t>
      </w:r>
    </w:p>
    <w:p w14:paraId="1720FBE3" w14:textId="77777777" w:rsidR="002578EE" w:rsidRPr="00993B55" w:rsidRDefault="002578EE" w:rsidP="007A60F3">
      <w:pPr>
        <w:pStyle w:val="BodyText3"/>
        <w:widowControl w:val="0"/>
        <w:ind w:left="1080" w:right="-36"/>
        <w:rPr>
          <w:rFonts w:cs="Arial"/>
          <w:color w:val="000000" w:themeColor="text1"/>
        </w:rPr>
      </w:pPr>
    </w:p>
    <w:p w14:paraId="676BFBB2" w14:textId="348728E0" w:rsidR="002578EE" w:rsidRPr="00993B55" w:rsidRDefault="002578EE" w:rsidP="007A60F3">
      <w:pPr>
        <w:pStyle w:val="BodyText3"/>
        <w:widowControl w:val="0"/>
        <w:ind w:left="1080" w:right="-36"/>
        <w:rPr>
          <w:color w:val="000000" w:themeColor="text1"/>
        </w:rPr>
      </w:pPr>
      <w:r w:rsidRPr="00993B55">
        <w:rPr>
          <w:color w:val="000000" w:themeColor="text1"/>
        </w:rPr>
        <w:t xml:space="preserve">FOQ = [ </w:t>
      </w:r>
      <w:r w:rsidRPr="00993B55">
        <w:rPr>
          <w:rFonts w:ascii="AauxPro OT Regular" w:hAnsi="AauxPro OT Regular"/>
          <w:color w:val="000000" w:themeColor="text1"/>
        </w:rPr>
        <w:t>∑</w:t>
      </w:r>
      <w:r w:rsidRPr="00993B55">
        <w:rPr>
          <w:color w:val="000000" w:themeColor="text1"/>
        </w:rPr>
        <w:t>PE2</w:t>
      </w:r>
      <w:r w:rsidRPr="00993B55">
        <w:rPr>
          <w:color w:val="000000" w:themeColor="text1"/>
          <w:vertAlign w:val="subscript"/>
        </w:rPr>
        <w:t>All New Units</w:t>
      </w:r>
      <w:r w:rsidRPr="00993B55">
        <w:rPr>
          <w:color w:val="000000" w:themeColor="text1"/>
        </w:rPr>
        <w:t xml:space="preserve"> + </w:t>
      </w:r>
      <w:r w:rsidRPr="00993B55">
        <w:rPr>
          <w:rFonts w:ascii="AauxPro OT Regular" w:hAnsi="AauxPro OT Regular"/>
          <w:color w:val="000000" w:themeColor="text1"/>
        </w:rPr>
        <w:t>∑</w:t>
      </w:r>
      <w:r w:rsidRPr="00993B55">
        <w:rPr>
          <w:color w:val="000000" w:themeColor="text1"/>
        </w:rPr>
        <w:t xml:space="preserve">(PE2 – </w:t>
      </w:r>
      <w:r w:rsidR="00930AF2">
        <w:rPr>
          <w:color w:val="000000" w:themeColor="text1"/>
        </w:rPr>
        <w:t>FB</w:t>
      </w:r>
      <w:r w:rsidRPr="00993B55">
        <w:rPr>
          <w:color w:val="000000" w:themeColor="text1"/>
        </w:rPr>
        <w:t>E)</w:t>
      </w:r>
      <w:r w:rsidRPr="00993B55">
        <w:rPr>
          <w:color w:val="000000" w:themeColor="text1"/>
          <w:vertAlign w:val="subscript"/>
        </w:rPr>
        <w:t>All Modified Units</w:t>
      </w:r>
      <w:r w:rsidRPr="00993B55">
        <w:rPr>
          <w:color w:val="000000" w:themeColor="text1"/>
        </w:rPr>
        <w:t xml:space="preserve"> ] x offset ratio</w:t>
      </w:r>
    </w:p>
    <w:p w14:paraId="34A3B966" w14:textId="77777777" w:rsidR="002578EE" w:rsidRPr="00993B55" w:rsidRDefault="002578EE" w:rsidP="007A60F3">
      <w:pPr>
        <w:pStyle w:val="BodyText3"/>
        <w:widowControl w:val="0"/>
        <w:ind w:left="1080" w:right="-36"/>
        <w:rPr>
          <w:rFonts w:cs="Arial"/>
          <w:color w:val="000000" w:themeColor="text1"/>
        </w:rPr>
      </w:pPr>
    </w:p>
    <w:p w14:paraId="5DEACE79" w14:textId="0336A1C3" w:rsidR="002578EE" w:rsidRPr="00993B55" w:rsidRDefault="002578EE" w:rsidP="007A60F3">
      <w:pPr>
        <w:pStyle w:val="BodyText3"/>
        <w:widowControl w:val="0"/>
        <w:ind w:left="1080" w:right="-36"/>
        <w:rPr>
          <w:color w:val="FF0000"/>
        </w:rPr>
      </w:pPr>
      <w:r w:rsidRPr="00993B55">
        <w:rPr>
          <w:b/>
          <w:color w:val="FF0000"/>
        </w:rPr>
        <w:t xml:space="preserve">New and Modified Unit(s) – SLC </w:t>
      </w:r>
      <w:r w:rsidRPr="00993B55">
        <w:rPr>
          <w:b/>
          <w:color w:val="FF0000"/>
          <w:u w:val="single"/>
        </w:rPr>
        <w:t>With Federally enforceable condition</w:t>
      </w:r>
      <w:r w:rsidRPr="00993B55">
        <w:rPr>
          <w:color w:val="FF0000"/>
        </w:rPr>
        <w:t>, meaning at least:</w:t>
      </w:r>
    </w:p>
    <w:p w14:paraId="13FFD9AB" w14:textId="54D1A2FD" w:rsidR="002578EE" w:rsidRPr="00993B55" w:rsidRDefault="002578EE" w:rsidP="007A60F3">
      <w:pPr>
        <w:pStyle w:val="BodyText3"/>
        <w:widowControl w:val="0"/>
        <w:numPr>
          <w:ilvl w:val="0"/>
          <w:numId w:val="40"/>
        </w:numPr>
        <w:ind w:left="1440" w:right="-36"/>
        <w:rPr>
          <w:color w:val="FF0000"/>
        </w:rPr>
      </w:pPr>
      <w:r w:rsidRPr="00993B55">
        <w:rPr>
          <w:color w:val="FF0000"/>
        </w:rPr>
        <w:t>Throughput limit, fuel limit,  or</w:t>
      </w:r>
    </w:p>
    <w:p w14:paraId="594E2333" w14:textId="77777777" w:rsidR="002578EE" w:rsidRPr="00993B55" w:rsidRDefault="002578EE" w:rsidP="007A60F3">
      <w:pPr>
        <w:pStyle w:val="BodyText3"/>
        <w:widowControl w:val="0"/>
        <w:numPr>
          <w:ilvl w:val="0"/>
          <w:numId w:val="40"/>
        </w:numPr>
        <w:ind w:left="1440" w:right="-36"/>
        <w:rPr>
          <w:color w:val="FF0000"/>
        </w:rPr>
      </w:pPr>
      <w:r w:rsidRPr="00993B55">
        <w:rPr>
          <w:color w:val="FF0000"/>
        </w:rPr>
        <w:t>Limit to less than xx lb-VOC/year with the equation on how to calculate VOC/month</w:t>
      </w:r>
    </w:p>
    <w:p w14:paraId="25A95091" w14:textId="77777777" w:rsidR="002578EE" w:rsidRPr="00993B55" w:rsidRDefault="002578EE" w:rsidP="007A60F3">
      <w:pPr>
        <w:pStyle w:val="BodyText3"/>
        <w:widowControl w:val="0"/>
        <w:numPr>
          <w:ilvl w:val="0"/>
          <w:numId w:val="40"/>
        </w:numPr>
        <w:ind w:left="1440" w:right="-36"/>
        <w:rPr>
          <w:color w:val="FF0000"/>
          <w:u w:val="single"/>
        </w:rPr>
      </w:pPr>
      <w:r w:rsidRPr="00993B55">
        <w:rPr>
          <w:color w:val="FF0000"/>
          <w:u w:val="single"/>
        </w:rPr>
        <w:t>and</w:t>
      </w:r>
    </w:p>
    <w:p w14:paraId="6B8499DF" w14:textId="77777777" w:rsidR="002578EE" w:rsidRPr="00993B55" w:rsidRDefault="002578EE" w:rsidP="007A60F3">
      <w:pPr>
        <w:pStyle w:val="BodyText3"/>
        <w:widowControl w:val="0"/>
        <w:numPr>
          <w:ilvl w:val="0"/>
          <w:numId w:val="40"/>
        </w:numPr>
        <w:ind w:left="1440" w:right="-36"/>
        <w:rPr>
          <w:color w:val="FF0000"/>
        </w:rPr>
      </w:pPr>
      <w:r w:rsidRPr="00993B55">
        <w:rPr>
          <w:color w:val="FF0000"/>
        </w:rPr>
        <w:t>Limit on a rolling 12-month, and</w:t>
      </w:r>
    </w:p>
    <w:p w14:paraId="590FFFFD" w14:textId="77777777" w:rsidR="002578EE" w:rsidRPr="00993B55" w:rsidRDefault="002578EE" w:rsidP="007A60F3">
      <w:pPr>
        <w:pStyle w:val="BodyText3"/>
        <w:widowControl w:val="0"/>
        <w:numPr>
          <w:ilvl w:val="0"/>
          <w:numId w:val="40"/>
        </w:numPr>
        <w:ind w:left="1440" w:right="-36"/>
        <w:rPr>
          <w:color w:val="FF0000"/>
        </w:rPr>
      </w:pPr>
      <w:r w:rsidRPr="00993B55">
        <w:rPr>
          <w:color w:val="FF0000"/>
        </w:rPr>
        <w:t>Record keeping requirement</w:t>
      </w:r>
    </w:p>
    <w:p w14:paraId="55DC700A" w14:textId="77777777" w:rsidR="002578EE" w:rsidRPr="00993B55" w:rsidRDefault="002578EE" w:rsidP="001C2F0D">
      <w:pPr>
        <w:pStyle w:val="BodyText3"/>
        <w:widowControl w:val="0"/>
        <w:ind w:left="1080" w:right="-36"/>
        <w:rPr>
          <w:rFonts w:cs="Arial"/>
          <w:color w:val="000000" w:themeColor="text1"/>
        </w:rPr>
      </w:pPr>
    </w:p>
    <w:p w14:paraId="04C31564" w14:textId="77777777" w:rsidR="002578EE" w:rsidRPr="00993B55" w:rsidRDefault="002578EE" w:rsidP="007A60F3">
      <w:pPr>
        <w:pStyle w:val="BodyText3"/>
        <w:widowControl w:val="0"/>
        <w:ind w:left="1080" w:right="-36"/>
        <w:rPr>
          <w:color w:val="FF0000"/>
        </w:rPr>
      </w:pPr>
      <w:r w:rsidRPr="00993B55">
        <w:rPr>
          <w:color w:val="FF0000"/>
        </w:rPr>
        <w:t xml:space="preserve">A condition “simply” limiting to less than xx lb-NOx/year is </w:t>
      </w:r>
      <w:r w:rsidRPr="00993B55">
        <w:rPr>
          <w:b/>
          <w:color w:val="FF0000"/>
          <w:u w:val="single"/>
        </w:rPr>
        <w:t>not</w:t>
      </w:r>
      <w:r w:rsidRPr="00993B55">
        <w:rPr>
          <w:color w:val="FF0000"/>
        </w:rPr>
        <w:t xml:space="preserve"> considered as an SLC federally enforceable permit condition. </w:t>
      </w:r>
    </w:p>
    <w:p w14:paraId="4B184411" w14:textId="77777777" w:rsidR="002578EE" w:rsidRPr="00993B55" w:rsidRDefault="002578EE" w:rsidP="007A60F3">
      <w:pPr>
        <w:widowControl w:val="0"/>
        <w:ind w:left="1080"/>
        <w:rPr>
          <w:color w:val="FF0000"/>
        </w:rPr>
      </w:pPr>
    </w:p>
    <w:p w14:paraId="7CF8167D" w14:textId="77777777" w:rsidR="002578EE" w:rsidRPr="00993B55" w:rsidRDefault="002578EE" w:rsidP="007A60F3">
      <w:pPr>
        <w:pStyle w:val="BodyText3"/>
        <w:widowControl w:val="0"/>
        <w:ind w:left="1080" w:right="-36"/>
        <w:rPr>
          <w:color w:val="FF0000"/>
        </w:rPr>
      </w:pPr>
      <w:r w:rsidRPr="00993B55">
        <w:rPr>
          <w:b/>
          <w:color w:val="FF0000"/>
          <w:u w:val="single"/>
        </w:rPr>
        <w:t>Note</w:t>
      </w:r>
      <w:r w:rsidRPr="00993B55">
        <w:rPr>
          <w:color w:val="FF0000"/>
        </w:rPr>
        <w:t>:  If an SLC permit condition is not considered federally enforceable, then the FOQ calculation procedure is the same as if there was no SLC, meaning</w:t>
      </w:r>
    </w:p>
    <w:p w14:paraId="5483C334" w14:textId="3E40ADBB" w:rsidR="002578EE" w:rsidRPr="00993B55" w:rsidRDefault="002578EE" w:rsidP="007A60F3">
      <w:pPr>
        <w:pStyle w:val="BodyText3"/>
        <w:widowControl w:val="0"/>
        <w:ind w:left="1080" w:right="-36"/>
        <w:rPr>
          <w:color w:val="FF0000"/>
        </w:rPr>
      </w:pPr>
      <w:r w:rsidRPr="00993B55">
        <w:rPr>
          <w:color w:val="FF0000"/>
        </w:rPr>
        <w:t xml:space="preserve">FOQ = </w:t>
      </w:r>
      <w:r w:rsidRPr="00993B55">
        <w:rPr>
          <w:rFonts w:ascii="AauxPro OT Regular" w:hAnsi="AauxPro OT Regular"/>
          <w:color w:val="FF0000"/>
        </w:rPr>
        <w:t>∑</w:t>
      </w:r>
      <w:r w:rsidRPr="00993B55">
        <w:rPr>
          <w:color w:val="FF0000"/>
        </w:rPr>
        <w:t xml:space="preserve">(PE2 – </w:t>
      </w:r>
      <w:r w:rsidR="006F42DF">
        <w:rPr>
          <w:color w:val="FF0000"/>
        </w:rPr>
        <w:t>FB</w:t>
      </w:r>
      <w:r w:rsidRPr="00993B55">
        <w:rPr>
          <w:color w:val="FF0000"/>
        </w:rPr>
        <w:t>E) x offset ratio</w:t>
      </w:r>
    </w:p>
    <w:p w14:paraId="5DE47D3A" w14:textId="77777777" w:rsidR="002578EE" w:rsidRPr="00993B55" w:rsidRDefault="002578EE" w:rsidP="007A60F3">
      <w:pPr>
        <w:widowControl w:val="0"/>
        <w:ind w:left="1080"/>
      </w:pPr>
    </w:p>
    <w:p w14:paraId="21A50405" w14:textId="77777777" w:rsidR="002578EE" w:rsidRPr="00993B55" w:rsidRDefault="002578EE" w:rsidP="007A60F3">
      <w:pPr>
        <w:pStyle w:val="BodyText3"/>
        <w:widowControl w:val="0"/>
        <w:ind w:left="1080" w:right="-36"/>
        <w:rPr>
          <w:szCs w:val="24"/>
        </w:rPr>
      </w:pPr>
      <w:r w:rsidRPr="00993B55">
        <w:rPr>
          <w:szCs w:val="24"/>
        </w:rPr>
        <w:t>The VOC emissions from the 2 new units and 3 existing modified units are subject to a federally enforceable permit condition limiting facility-wide VOC emissions to less than xxx lb-VOC/year.</w:t>
      </w:r>
    </w:p>
    <w:p w14:paraId="52980783" w14:textId="77777777" w:rsidR="002578EE" w:rsidRPr="00993B55" w:rsidRDefault="002578EE" w:rsidP="007A60F3">
      <w:pPr>
        <w:pStyle w:val="BodyText3"/>
        <w:widowControl w:val="0"/>
        <w:ind w:left="1080" w:right="-36"/>
        <w:rPr>
          <w:color w:val="auto"/>
          <w:szCs w:val="24"/>
        </w:rPr>
      </w:pPr>
    </w:p>
    <w:p w14:paraId="2D65024F" w14:textId="120C571D" w:rsidR="002578EE" w:rsidRPr="00993B55" w:rsidRDefault="002578EE" w:rsidP="007A60F3">
      <w:pPr>
        <w:pStyle w:val="BodyText3"/>
        <w:widowControl w:val="0"/>
        <w:ind w:left="1080" w:right="-36"/>
        <w:rPr>
          <w:color w:val="auto"/>
          <w:szCs w:val="24"/>
        </w:rPr>
      </w:pPr>
      <w:r w:rsidRPr="00993B55">
        <w:rPr>
          <w:color w:val="auto"/>
          <w:szCs w:val="24"/>
        </w:rPr>
        <w:t>Therefore</w:t>
      </w:r>
      <w:r w:rsidR="00AB4B04">
        <w:rPr>
          <w:color w:val="auto"/>
          <w:szCs w:val="24"/>
        </w:rPr>
        <w:t>,</w:t>
      </w:r>
    </w:p>
    <w:p w14:paraId="171662C0" w14:textId="77777777" w:rsidR="002578EE" w:rsidRPr="00993B55" w:rsidRDefault="002578EE" w:rsidP="007A60F3">
      <w:pPr>
        <w:pStyle w:val="BodyText3"/>
        <w:widowControl w:val="0"/>
        <w:ind w:left="1080" w:right="-36"/>
        <w:rPr>
          <w:color w:val="auto"/>
          <w:szCs w:val="24"/>
        </w:rPr>
      </w:pPr>
    </w:p>
    <w:p w14:paraId="50D70F41" w14:textId="3B2E91AA" w:rsidR="002578EE" w:rsidRPr="00993B55" w:rsidRDefault="002578EE" w:rsidP="007A60F3">
      <w:pPr>
        <w:pStyle w:val="BodyText3"/>
        <w:widowControl w:val="0"/>
        <w:ind w:left="1080" w:right="-36"/>
        <w:rPr>
          <w:color w:val="auto"/>
          <w:szCs w:val="24"/>
        </w:rPr>
      </w:pPr>
      <w:r w:rsidRPr="00993B55">
        <w:rPr>
          <w:color w:val="auto"/>
          <w:szCs w:val="24"/>
        </w:rPr>
        <w:t xml:space="preserve">FOQ = [ </w:t>
      </w:r>
      <w:r w:rsidRPr="00993B55">
        <w:rPr>
          <w:rFonts w:ascii="AauxPro OT Regular" w:hAnsi="AauxPro OT Regular"/>
          <w:color w:val="auto"/>
          <w:szCs w:val="24"/>
        </w:rPr>
        <w:t>∑</w:t>
      </w:r>
      <w:r w:rsidRPr="00993B55">
        <w:rPr>
          <w:color w:val="auto"/>
          <w:szCs w:val="24"/>
        </w:rPr>
        <w:t xml:space="preserve">(PE2 – </w:t>
      </w:r>
      <w:r w:rsidR="006F42DF">
        <w:rPr>
          <w:color w:val="auto"/>
          <w:szCs w:val="24"/>
        </w:rPr>
        <w:t>FB</w:t>
      </w:r>
      <w:r w:rsidRPr="00993B55">
        <w:rPr>
          <w:color w:val="auto"/>
          <w:szCs w:val="24"/>
        </w:rPr>
        <w:t>E)</w:t>
      </w:r>
      <w:r w:rsidRPr="00993B55">
        <w:rPr>
          <w:color w:val="auto"/>
          <w:szCs w:val="24"/>
          <w:vertAlign w:val="subscript"/>
        </w:rPr>
        <w:t>All new and modified units under the SLC</w:t>
      </w:r>
      <w:r w:rsidRPr="00993B55">
        <w:rPr>
          <w:color w:val="auto"/>
          <w:szCs w:val="24"/>
        </w:rPr>
        <w:t xml:space="preserve"> ] x offset ratio</w:t>
      </w:r>
    </w:p>
    <w:p w14:paraId="65711098" w14:textId="77777777" w:rsidR="002578EE" w:rsidRPr="00993B55" w:rsidRDefault="002578EE" w:rsidP="007A60F3">
      <w:pPr>
        <w:pStyle w:val="BodyText3"/>
        <w:widowControl w:val="0"/>
        <w:ind w:left="1080" w:right="-36"/>
        <w:rPr>
          <w:color w:val="auto"/>
          <w:szCs w:val="24"/>
        </w:rPr>
      </w:pPr>
    </w:p>
    <w:p w14:paraId="3D968B35" w14:textId="7597B859" w:rsidR="002578EE" w:rsidRPr="00993B55" w:rsidRDefault="002578EE" w:rsidP="007A60F3">
      <w:pPr>
        <w:pStyle w:val="BodyText3"/>
        <w:widowControl w:val="0"/>
        <w:ind w:left="1080" w:right="-36"/>
        <w:rPr>
          <w:color w:val="auto"/>
          <w:szCs w:val="24"/>
        </w:rPr>
      </w:pPr>
      <w:r w:rsidRPr="00993B55">
        <w:rPr>
          <w:color w:val="auto"/>
          <w:szCs w:val="24"/>
        </w:rPr>
        <w:t xml:space="preserve">FOQ = [ SLC – </w:t>
      </w:r>
      <w:r w:rsidRPr="00993B55">
        <w:rPr>
          <w:rFonts w:ascii="AauxPro OT Regular" w:hAnsi="AauxPro OT Regular"/>
          <w:color w:val="auto"/>
          <w:szCs w:val="24"/>
        </w:rPr>
        <w:t>∑</w:t>
      </w:r>
      <w:r w:rsidR="00BC7734" w:rsidRPr="00AC5150">
        <w:rPr>
          <w:rFonts w:cs="Arial"/>
          <w:color w:val="auto"/>
          <w:szCs w:val="24"/>
        </w:rPr>
        <w:t>FB</w:t>
      </w:r>
      <w:r w:rsidRPr="00993B55">
        <w:rPr>
          <w:color w:val="auto"/>
          <w:szCs w:val="24"/>
        </w:rPr>
        <w:t>E</w:t>
      </w:r>
      <w:r w:rsidRPr="00993B55">
        <w:rPr>
          <w:color w:val="auto"/>
          <w:szCs w:val="24"/>
          <w:vertAlign w:val="subscript"/>
        </w:rPr>
        <w:t>All new and modified units under the SLC</w:t>
      </w:r>
      <w:r w:rsidRPr="00993B55">
        <w:rPr>
          <w:color w:val="auto"/>
          <w:szCs w:val="24"/>
        </w:rPr>
        <w:t xml:space="preserve"> ] x offset ratio</w:t>
      </w:r>
    </w:p>
    <w:p w14:paraId="3D9AC07E" w14:textId="77777777" w:rsidR="002578EE" w:rsidRPr="00993B55" w:rsidRDefault="002578EE" w:rsidP="007A60F3">
      <w:pPr>
        <w:pStyle w:val="BodyText3"/>
        <w:widowControl w:val="0"/>
        <w:ind w:left="1080" w:right="-36"/>
        <w:rPr>
          <w:rFonts w:cs="Arial"/>
          <w:color w:val="000000" w:themeColor="text1"/>
        </w:rPr>
      </w:pPr>
    </w:p>
    <w:p w14:paraId="74D77FA8" w14:textId="5F7281E1" w:rsidR="002578EE" w:rsidRPr="00993B55" w:rsidRDefault="002578EE" w:rsidP="007A60F3">
      <w:pPr>
        <w:widowControl w:val="0"/>
        <w:ind w:left="1080"/>
        <w:rPr>
          <w:color w:val="FF0000"/>
        </w:rPr>
      </w:pPr>
      <w:r w:rsidRPr="00993B55">
        <w:rPr>
          <w:color w:val="FF0000"/>
        </w:rPr>
        <w:t>Only list pollutants for which the project is a Federal Major Modification and delete other pollutants.  The calculated Federal Offset Quantity is entered into the Major Modification tracking spreadsheet under the heading “Federal Offset Quantity</w:t>
      </w:r>
      <w:r w:rsidR="005744C8">
        <w:rPr>
          <w:color w:val="FF0000"/>
        </w:rPr>
        <w:t>.</w:t>
      </w:r>
      <w:r w:rsidRPr="00993B55">
        <w:rPr>
          <w:color w:val="FF0000"/>
        </w:rPr>
        <w:t>”</w:t>
      </w:r>
    </w:p>
    <w:p w14:paraId="3744DA3D" w14:textId="77777777" w:rsidR="002578EE" w:rsidRPr="00993B55" w:rsidRDefault="002578EE" w:rsidP="001C2F0D">
      <w:pPr>
        <w:pStyle w:val="BodyText3"/>
        <w:widowControl w:val="0"/>
        <w:ind w:left="1080" w:right="-36"/>
        <w:jc w:val="left"/>
        <w:rPr>
          <w:rFonts w:cs="Arial"/>
          <w:bCs/>
          <w:color w:val="auto"/>
        </w:rPr>
      </w:pPr>
    </w:p>
    <w:tbl>
      <w:tblPr>
        <w:tblW w:w="10275" w:type="dxa"/>
        <w:tblCellMar>
          <w:left w:w="0" w:type="dxa"/>
          <w:right w:w="0" w:type="dxa"/>
        </w:tblCellMar>
        <w:tblLook w:val="0000" w:firstRow="0" w:lastRow="0" w:firstColumn="0" w:lastColumn="0" w:noHBand="0" w:noVBand="0"/>
      </w:tblPr>
      <w:tblGrid>
        <w:gridCol w:w="1995"/>
        <w:gridCol w:w="3045"/>
        <w:gridCol w:w="2985"/>
        <w:gridCol w:w="2250"/>
      </w:tblGrid>
      <w:tr w:rsidR="002578EE" w:rsidRPr="00993B55" w14:paraId="37913E35" w14:textId="77777777" w:rsidTr="00D112BB">
        <w:trPr>
          <w:trHeight w:val="255"/>
        </w:trPr>
        <w:tc>
          <w:tcPr>
            <w:tcW w:w="1995" w:type="dxa"/>
            <w:tcBorders>
              <w:top w:val="nil"/>
              <w:left w:val="nil"/>
              <w:bottom w:val="single" w:sz="4" w:space="0" w:color="auto"/>
              <w:right w:val="nil"/>
            </w:tcBorders>
            <w:noWrap/>
            <w:tcMar>
              <w:top w:w="15" w:type="dxa"/>
              <w:left w:w="15" w:type="dxa"/>
              <w:bottom w:w="0" w:type="dxa"/>
              <w:right w:w="15" w:type="dxa"/>
            </w:tcMar>
            <w:vAlign w:val="center"/>
          </w:tcPr>
          <w:p w14:paraId="6775389D" w14:textId="77777777" w:rsidR="002578EE" w:rsidRPr="00993B55" w:rsidRDefault="002578EE" w:rsidP="008F5EAD">
            <w:pPr>
              <w:widowControl w:val="0"/>
              <w:rPr>
                <w:rFonts w:eastAsia="Arial Unicode MS" w:cs="Arial"/>
                <w:b/>
                <w:bCs/>
                <w:sz w:val="22"/>
                <w:szCs w:val="18"/>
              </w:rPr>
            </w:pPr>
            <w:r w:rsidRPr="00993B55">
              <w:rPr>
                <w:rFonts w:cs="Arial"/>
                <w:b/>
                <w:bCs/>
                <w:sz w:val="22"/>
                <w:szCs w:val="18"/>
              </w:rPr>
              <w:t>NOx</w:t>
            </w:r>
          </w:p>
        </w:tc>
        <w:tc>
          <w:tcPr>
            <w:tcW w:w="3045" w:type="dxa"/>
            <w:tcBorders>
              <w:top w:val="nil"/>
              <w:left w:val="nil"/>
              <w:bottom w:val="single" w:sz="4" w:space="0" w:color="auto"/>
              <w:right w:val="nil"/>
            </w:tcBorders>
            <w:noWrap/>
            <w:tcMar>
              <w:top w:w="15" w:type="dxa"/>
              <w:left w:w="15" w:type="dxa"/>
              <w:bottom w:w="0" w:type="dxa"/>
              <w:right w:w="15" w:type="dxa"/>
            </w:tcMar>
            <w:vAlign w:val="center"/>
          </w:tcPr>
          <w:p w14:paraId="1709D2CD" w14:textId="77777777" w:rsidR="002578EE" w:rsidRPr="00993B55" w:rsidRDefault="002578EE" w:rsidP="008F5EAD">
            <w:pPr>
              <w:widowControl w:val="0"/>
              <w:jc w:val="center"/>
              <w:rPr>
                <w:rFonts w:eastAsia="Arial Unicode MS" w:cs="Arial"/>
                <w:sz w:val="22"/>
                <w:szCs w:val="18"/>
              </w:rPr>
            </w:pPr>
          </w:p>
        </w:tc>
        <w:tc>
          <w:tcPr>
            <w:tcW w:w="2985" w:type="dxa"/>
            <w:tcBorders>
              <w:top w:val="nil"/>
              <w:left w:val="nil"/>
              <w:bottom w:val="single" w:sz="4" w:space="0" w:color="auto"/>
              <w:right w:val="nil"/>
            </w:tcBorders>
            <w:noWrap/>
            <w:tcMar>
              <w:top w:w="15" w:type="dxa"/>
              <w:left w:w="15" w:type="dxa"/>
              <w:bottom w:w="0" w:type="dxa"/>
              <w:right w:w="15" w:type="dxa"/>
            </w:tcMar>
            <w:vAlign w:val="center"/>
          </w:tcPr>
          <w:p w14:paraId="6EE8CE4C" w14:textId="43114346" w:rsidR="002578EE" w:rsidRPr="00993B55" w:rsidRDefault="002578EE" w:rsidP="008F5EAD">
            <w:pPr>
              <w:widowControl w:val="0"/>
              <w:jc w:val="right"/>
              <w:rPr>
                <w:rFonts w:eastAsia="Arial Unicode MS" w:cs="Arial"/>
                <w:b/>
                <w:bCs/>
                <w:sz w:val="22"/>
                <w:szCs w:val="18"/>
              </w:rPr>
            </w:pPr>
            <w:r w:rsidRPr="00993B55">
              <w:rPr>
                <w:rFonts w:cs="Arial"/>
                <w:b/>
                <w:bCs/>
                <w:sz w:val="22"/>
                <w:szCs w:val="18"/>
              </w:rPr>
              <w:t>Offset Ratio</w:t>
            </w:r>
          </w:p>
        </w:tc>
        <w:tc>
          <w:tcPr>
            <w:tcW w:w="2250" w:type="dxa"/>
            <w:tcBorders>
              <w:top w:val="nil"/>
              <w:left w:val="nil"/>
              <w:bottom w:val="single" w:sz="4" w:space="0" w:color="auto"/>
              <w:right w:val="nil"/>
            </w:tcBorders>
            <w:noWrap/>
            <w:tcMar>
              <w:top w:w="15" w:type="dxa"/>
              <w:left w:w="15" w:type="dxa"/>
              <w:bottom w:w="0" w:type="dxa"/>
              <w:right w:w="15" w:type="dxa"/>
            </w:tcMar>
            <w:vAlign w:val="center"/>
          </w:tcPr>
          <w:p w14:paraId="743F32EA" w14:textId="77777777" w:rsidR="002578EE" w:rsidRPr="00993B55" w:rsidRDefault="002578EE" w:rsidP="008F5EAD">
            <w:pPr>
              <w:widowControl w:val="0"/>
              <w:jc w:val="center"/>
              <w:rPr>
                <w:rFonts w:eastAsia="Arial Unicode MS" w:cs="Arial"/>
                <w:b/>
                <w:bCs/>
                <w:sz w:val="22"/>
                <w:szCs w:val="18"/>
              </w:rPr>
            </w:pPr>
            <w:r w:rsidRPr="00CD3658">
              <w:rPr>
                <w:rFonts w:cs="Arial"/>
                <w:b/>
                <w:bCs/>
                <w:color w:val="0000FF"/>
                <w:sz w:val="22"/>
                <w:szCs w:val="18"/>
              </w:rPr>
              <w:t>1.5</w:t>
            </w:r>
          </w:p>
        </w:tc>
      </w:tr>
      <w:tr w:rsidR="002578EE" w:rsidRPr="00993B55" w14:paraId="37B726DC" w14:textId="77777777" w:rsidTr="00505E9F">
        <w:trPr>
          <w:trHeight w:val="830"/>
        </w:trPr>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5A0C5331" w14:textId="77777777" w:rsidR="002578EE" w:rsidRPr="00993B55" w:rsidRDefault="002578EE" w:rsidP="008F5EAD">
            <w:pPr>
              <w:widowControl w:val="0"/>
              <w:jc w:val="center"/>
              <w:rPr>
                <w:rFonts w:eastAsia="Arial Unicode MS" w:cs="Arial"/>
                <w:b/>
                <w:bCs/>
                <w:sz w:val="22"/>
                <w:szCs w:val="18"/>
              </w:rPr>
            </w:pPr>
            <w:r w:rsidRPr="00993B55">
              <w:rPr>
                <w:rFonts w:cs="Arial"/>
                <w:b/>
                <w:bCs/>
                <w:sz w:val="22"/>
                <w:szCs w:val="18"/>
              </w:rPr>
              <w:t>Permit No.</w:t>
            </w:r>
          </w:p>
        </w:tc>
        <w:tc>
          <w:tcPr>
            <w:tcW w:w="3045" w:type="dxa"/>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25E053C5" w14:textId="77777777" w:rsidR="002578EE" w:rsidRPr="00993B55" w:rsidRDefault="002578EE" w:rsidP="008F5EAD">
            <w:pPr>
              <w:widowControl w:val="0"/>
              <w:jc w:val="center"/>
              <w:rPr>
                <w:rFonts w:cs="Arial"/>
                <w:b/>
                <w:bCs/>
                <w:sz w:val="22"/>
                <w:szCs w:val="18"/>
              </w:rPr>
            </w:pPr>
            <w:r w:rsidRPr="00993B55">
              <w:rPr>
                <w:rFonts w:cs="Arial"/>
                <w:b/>
                <w:bCs/>
                <w:sz w:val="22"/>
                <w:szCs w:val="18"/>
              </w:rPr>
              <w:t xml:space="preserve">Post-Project </w:t>
            </w:r>
          </w:p>
          <w:p w14:paraId="29FA85A8" w14:textId="77777777" w:rsidR="002578EE" w:rsidRPr="00993B55" w:rsidRDefault="002578EE" w:rsidP="008F5EAD">
            <w:pPr>
              <w:widowControl w:val="0"/>
              <w:jc w:val="center"/>
              <w:rPr>
                <w:rFonts w:cs="Arial"/>
                <w:b/>
                <w:bCs/>
                <w:sz w:val="22"/>
                <w:szCs w:val="18"/>
              </w:rPr>
            </w:pPr>
            <w:r w:rsidRPr="00993B55">
              <w:rPr>
                <w:rFonts w:cs="Arial"/>
                <w:b/>
                <w:bCs/>
                <w:sz w:val="22"/>
                <w:szCs w:val="18"/>
              </w:rPr>
              <w:t>Potential to Emit (PE2)</w:t>
            </w:r>
          </w:p>
          <w:p w14:paraId="0AE656C0" w14:textId="77777777" w:rsidR="002578EE" w:rsidRPr="00993B55" w:rsidRDefault="002578EE" w:rsidP="008F5EAD">
            <w:pPr>
              <w:widowControl w:val="0"/>
              <w:jc w:val="center"/>
              <w:rPr>
                <w:rFonts w:eastAsia="Arial Unicode MS" w:cs="Arial"/>
                <w:b/>
                <w:bCs/>
                <w:sz w:val="22"/>
                <w:szCs w:val="18"/>
              </w:rPr>
            </w:pPr>
            <w:r w:rsidRPr="00993B55">
              <w:rPr>
                <w:rFonts w:cs="Arial"/>
                <w:b/>
                <w:bCs/>
                <w:sz w:val="22"/>
                <w:szCs w:val="18"/>
              </w:rPr>
              <w:t>(lb/year)</w:t>
            </w:r>
          </w:p>
        </w:tc>
        <w:tc>
          <w:tcPr>
            <w:tcW w:w="2985" w:type="dxa"/>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419AB9A0" w14:textId="084EB59E" w:rsidR="002578EE" w:rsidRPr="00993B55" w:rsidRDefault="00BC7734" w:rsidP="008F5EAD">
            <w:pPr>
              <w:widowControl w:val="0"/>
              <w:ind w:left="76"/>
              <w:jc w:val="center"/>
              <w:rPr>
                <w:rFonts w:cs="Arial"/>
                <w:b/>
                <w:bCs/>
                <w:sz w:val="22"/>
                <w:szCs w:val="18"/>
              </w:rPr>
            </w:pPr>
            <w:r>
              <w:rPr>
                <w:rFonts w:cs="Arial"/>
                <w:b/>
                <w:bCs/>
                <w:sz w:val="22"/>
                <w:szCs w:val="18"/>
              </w:rPr>
              <w:t>Federal Baseline</w:t>
            </w:r>
            <w:r w:rsidR="002578EE" w:rsidRPr="00993B55">
              <w:rPr>
                <w:rFonts w:cs="Arial"/>
                <w:b/>
                <w:bCs/>
                <w:sz w:val="22"/>
                <w:szCs w:val="18"/>
              </w:rPr>
              <w:t xml:space="preserve"> Emissions </w:t>
            </w:r>
          </w:p>
          <w:p w14:paraId="67CFF99A" w14:textId="77777777" w:rsidR="002578EE" w:rsidRPr="00993B55" w:rsidRDefault="002578EE" w:rsidP="008F5EAD">
            <w:pPr>
              <w:widowControl w:val="0"/>
              <w:jc w:val="center"/>
              <w:rPr>
                <w:rFonts w:eastAsia="Arial Unicode MS" w:cs="Arial"/>
                <w:b/>
                <w:bCs/>
                <w:sz w:val="22"/>
                <w:szCs w:val="18"/>
              </w:rPr>
            </w:pPr>
            <w:r w:rsidRPr="00993B55">
              <w:rPr>
                <w:rFonts w:cs="Arial"/>
                <w:b/>
                <w:bCs/>
                <w:sz w:val="22"/>
                <w:szCs w:val="18"/>
              </w:rPr>
              <w:t>(lb/year)</w:t>
            </w:r>
          </w:p>
        </w:tc>
        <w:tc>
          <w:tcPr>
            <w:tcW w:w="2250" w:type="dxa"/>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30A777EA" w14:textId="77777777" w:rsidR="002578EE" w:rsidRPr="00993B55" w:rsidRDefault="002578EE" w:rsidP="008F5EAD">
            <w:pPr>
              <w:widowControl w:val="0"/>
              <w:jc w:val="center"/>
              <w:rPr>
                <w:rFonts w:cs="Arial"/>
                <w:b/>
                <w:bCs/>
                <w:sz w:val="22"/>
                <w:szCs w:val="18"/>
              </w:rPr>
            </w:pPr>
            <w:r w:rsidRPr="00993B55">
              <w:rPr>
                <w:rFonts w:cs="Arial"/>
                <w:b/>
                <w:bCs/>
                <w:sz w:val="22"/>
                <w:szCs w:val="18"/>
              </w:rPr>
              <w:t xml:space="preserve">Emissions Change </w:t>
            </w:r>
          </w:p>
          <w:p w14:paraId="23B02639" w14:textId="5822A811" w:rsidR="002578EE" w:rsidRPr="00993B55" w:rsidRDefault="002578EE" w:rsidP="008F5EAD">
            <w:pPr>
              <w:widowControl w:val="0"/>
              <w:jc w:val="center"/>
              <w:rPr>
                <w:rFonts w:eastAsia="Arial Unicode MS" w:cs="Arial"/>
                <w:b/>
                <w:bCs/>
                <w:sz w:val="22"/>
                <w:szCs w:val="18"/>
              </w:rPr>
            </w:pPr>
            <w:r w:rsidRPr="00993B55">
              <w:rPr>
                <w:rFonts w:cs="Arial"/>
                <w:b/>
                <w:bCs/>
                <w:sz w:val="22"/>
                <w:szCs w:val="18"/>
              </w:rPr>
              <w:t>(lb/y</w:t>
            </w:r>
            <w:r w:rsidR="00DB1CC3">
              <w:rPr>
                <w:rFonts w:cs="Arial"/>
                <w:b/>
                <w:bCs/>
                <w:sz w:val="22"/>
                <w:szCs w:val="18"/>
              </w:rPr>
              <w:t>ea</w:t>
            </w:r>
            <w:r w:rsidRPr="00993B55">
              <w:rPr>
                <w:rFonts w:cs="Arial"/>
                <w:b/>
                <w:bCs/>
                <w:sz w:val="22"/>
                <w:szCs w:val="18"/>
              </w:rPr>
              <w:t>r)</w:t>
            </w:r>
          </w:p>
        </w:tc>
      </w:tr>
      <w:tr w:rsidR="00DB1CC3" w:rsidRPr="00993B55" w14:paraId="43EBCB36" w14:textId="77777777" w:rsidTr="00DB1CC3">
        <w:trPr>
          <w:trHeight w:val="345"/>
        </w:trPr>
        <w:tc>
          <w:tcPr>
            <w:tcW w:w="19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5A8AB6" w14:textId="33049036" w:rsidR="00DB1CC3" w:rsidRPr="00993B55" w:rsidRDefault="00DB1CC3" w:rsidP="008F5EAD">
            <w:pPr>
              <w:widowControl w:val="0"/>
              <w:jc w:val="center"/>
            </w:pPr>
            <w:r>
              <w:rPr>
                <w:rFonts w:cs="Arial"/>
                <w:color w:val="0000FF"/>
                <w:sz w:val="22"/>
                <w:szCs w:val="22"/>
              </w:rPr>
              <w:t>X</w:t>
            </w:r>
            <w:r w:rsidRPr="00C808A6">
              <w:rPr>
                <w:rFonts w:cs="Arial"/>
                <w:color w:val="0000FF"/>
                <w:sz w:val="22"/>
                <w:szCs w:val="22"/>
              </w:rPr>
              <w:t>-</w:t>
            </w:r>
            <w:r>
              <w:rPr>
                <w:rFonts w:cs="Arial"/>
                <w:color w:val="0000FF"/>
                <w:sz w:val="22"/>
                <w:szCs w:val="22"/>
              </w:rPr>
              <w:t>XXXX</w:t>
            </w:r>
            <w:r w:rsidRPr="00C808A6">
              <w:rPr>
                <w:rFonts w:cs="Arial"/>
                <w:color w:val="0000FF"/>
                <w:sz w:val="22"/>
                <w:szCs w:val="22"/>
              </w:rPr>
              <w:t>-</w:t>
            </w:r>
            <w:r>
              <w:rPr>
                <w:rFonts w:cs="Arial"/>
                <w:color w:val="0000FF"/>
                <w:sz w:val="22"/>
                <w:szCs w:val="22"/>
              </w:rPr>
              <w:t>X</w:t>
            </w:r>
            <w:r w:rsidRPr="00C808A6">
              <w:rPr>
                <w:rFonts w:cs="Arial"/>
                <w:color w:val="0000FF"/>
                <w:sz w:val="22"/>
                <w:szCs w:val="22"/>
              </w:rPr>
              <w:t>-</w:t>
            </w:r>
            <w:r>
              <w:rPr>
                <w:rFonts w:cs="Arial"/>
                <w:color w:val="0000FF"/>
                <w:sz w:val="22"/>
                <w:szCs w:val="22"/>
              </w:rPr>
              <w:t>X</w:t>
            </w:r>
          </w:p>
        </w:tc>
        <w:tc>
          <w:tcPr>
            <w:tcW w:w="304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48811DB" w14:textId="2D9735FD" w:rsidR="00DB1CC3" w:rsidRPr="00993B55" w:rsidRDefault="00DB1CC3" w:rsidP="008F5EAD">
            <w:pPr>
              <w:widowControl w:val="0"/>
              <w:jc w:val="center"/>
              <w:rPr>
                <w:rFonts w:eastAsia="Arial Unicode MS" w:cs="Arial"/>
                <w:bCs/>
                <w:color w:val="0000FF"/>
                <w:sz w:val="22"/>
                <w:szCs w:val="18"/>
              </w:rPr>
            </w:pPr>
            <w:r w:rsidRPr="00744B3F">
              <w:rPr>
                <w:rFonts w:eastAsia="Arial Unicode MS" w:cs="Arial"/>
                <w:bCs/>
                <w:color w:val="0000FF"/>
                <w:sz w:val="22"/>
                <w:szCs w:val="18"/>
              </w:rPr>
              <w:t>X,XXX</w:t>
            </w:r>
          </w:p>
        </w:tc>
        <w:tc>
          <w:tcPr>
            <w:tcW w:w="298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321B8B4" w14:textId="00329F0F" w:rsidR="00DB1CC3" w:rsidRPr="00993B55" w:rsidRDefault="00DB1CC3" w:rsidP="008F5EAD">
            <w:pPr>
              <w:widowControl w:val="0"/>
              <w:jc w:val="center"/>
              <w:rPr>
                <w:color w:val="0000FF"/>
                <w:sz w:val="22"/>
                <w:szCs w:val="22"/>
              </w:rPr>
            </w:pPr>
            <w:r w:rsidRPr="00744B3F">
              <w:rPr>
                <w:rFonts w:eastAsia="Arial Unicode MS" w:cs="Arial"/>
                <w:bCs/>
                <w:color w:val="0000FF"/>
                <w:sz w:val="22"/>
                <w:szCs w:val="18"/>
              </w:rPr>
              <w:t>X,XXX</w:t>
            </w:r>
          </w:p>
        </w:tc>
        <w:tc>
          <w:tcPr>
            <w:tcW w:w="225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FB7A96E" w14:textId="42CE7F4A" w:rsidR="00DB1CC3" w:rsidRPr="00993B55" w:rsidRDefault="00DB1CC3" w:rsidP="008F5EAD">
            <w:pPr>
              <w:widowControl w:val="0"/>
              <w:jc w:val="center"/>
              <w:rPr>
                <w:color w:val="0000FF"/>
                <w:sz w:val="22"/>
                <w:szCs w:val="22"/>
              </w:rPr>
            </w:pPr>
            <w:r w:rsidRPr="00AB67FC">
              <w:rPr>
                <w:rFonts w:eastAsia="Arial Unicode MS" w:cs="Arial"/>
                <w:bCs/>
                <w:color w:val="0000FF"/>
                <w:sz w:val="22"/>
                <w:szCs w:val="18"/>
              </w:rPr>
              <w:t>X,XXX</w:t>
            </w:r>
          </w:p>
        </w:tc>
      </w:tr>
      <w:tr w:rsidR="00DB1CC3" w:rsidRPr="00993B55" w14:paraId="5CD95C09" w14:textId="77777777" w:rsidTr="00DB1CC3">
        <w:trPr>
          <w:trHeight w:val="345"/>
        </w:trPr>
        <w:tc>
          <w:tcPr>
            <w:tcW w:w="19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DF9FF9" w14:textId="66FDFE5C" w:rsidR="00DB1CC3" w:rsidRPr="00993B55" w:rsidRDefault="00DB1CC3" w:rsidP="008F5EAD">
            <w:pPr>
              <w:widowControl w:val="0"/>
              <w:jc w:val="center"/>
            </w:pPr>
            <w:r>
              <w:rPr>
                <w:rFonts w:cs="Arial"/>
                <w:color w:val="0000FF"/>
                <w:sz w:val="22"/>
                <w:szCs w:val="22"/>
              </w:rPr>
              <w:t>X</w:t>
            </w:r>
            <w:r w:rsidRPr="00C808A6">
              <w:rPr>
                <w:rFonts w:cs="Arial"/>
                <w:color w:val="0000FF"/>
                <w:sz w:val="22"/>
                <w:szCs w:val="22"/>
              </w:rPr>
              <w:t>-</w:t>
            </w:r>
            <w:r>
              <w:rPr>
                <w:rFonts w:cs="Arial"/>
                <w:color w:val="0000FF"/>
                <w:sz w:val="22"/>
                <w:szCs w:val="22"/>
              </w:rPr>
              <w:t>XXXX</w:t>
            </w:r>
            <w:r w:rsidRPr="00C808A6">
              <w:rPr>
                <w:rFonts w:cs="Arial"/>
                <w:color w:val="0000FF"/>
                <w:sz w:val="22"/>
                <w:szCs w:val="22"/>
              </w:rPr>
              <w:t>-</w:t>
            </w:r>
            <w:r>
              <w:rPr>
                <w:rFonts w:cs="Arial"/>
                <w:color w:val="0000FF"/>
                <w:sz w:val="22"/>
                <w:szCs w:val="22"/>
              </w:rPr>
              <w:t>X</w:t>
            </w:r>
            <w:r w:rsidRPr="00C808A6">
              <w:rPr>
                <w:rFonts w:cs="Arial"/>
                <w:color w:val="0000FF"/>
                <w:sz w:val="22"/>
                <w:szCs w:val="22"/>
              </w:rPr>
              <w:t>-</w:t>
            </w:r>
            <w:r>
              <w:rPr>
                <w:rFonts w:cs="Arial"/>
                <w:color w:val="0000FF"/>
                <w:sz w:val="22"/>
                <w:szCs w:val="22"/>
              </w:rPr>
              <w:t>X</w:t>
            </w:r>
          </w:p>
        </w:tc>
        <w:tc>
          <w:tcPr>
            <w:tcW w:w="304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908E6A0" w14:textId="7CE4DCC0" w:rsidR="00DB1CC3" w:rsidRPr="00993B55" w:rsidRDefault="00DB1CC3" w:rsidP="008F5EAD">
            <w:pPr>
              <w:widowControl w:val="0"/>
              <w:jc w:val="center"/>
              <w:rPr>
                <w:rFonts w:eastAsia="Arial Unicode MS" w:cs="Arial"/>
                <w:bCs/>
                <w:color w:val="0000FF"/>
                <w:sz w:val="22"/>
                <w:szCs w:val="18"/>
              </w:rPr>
            </w:pPr>
            <w:r w:rsidRPr="00744B3F">
              <w:rPr>
                <w:rFonts w:eastAsia="Arial Unicode MS" w:cs="Arial"/>
                <w:bCs/>
                <w:color w:val="0000FF"/>
                <w:sz w:val="22"/>
                <w:szCs w:val="18"/>
              </w:rPr>
              <w:t>X,XXX</w:t>
            </w:r>
          </w:p>
        </w:tc>
        <w:tc>
          <w:tcPr>
            <w:tcW w:w="298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58479CB" w14:textId="4D0B7508" w:rsidR="00DB1CC3" w:rsidRPr="00993B55" w:rsidRDefault="00DB1CC3" w:rsidP="008F5EAD">
            <w:pPr>
              <w:widowControl w:val="0"/>
              <w:jc w:val="center"/>
              <w:rPr>
                <w:color w:val="0000FF"/>
                <w:sz w:val="22"/>
                <w:szCs w:val="22"/>
              </w:rPr>
            </w:pPr>
            <w:r w:rsidRPr="00744B3F">
              <w:rPr>
                <w:rFonts w:eastAsia="Arial Unicode MS" w:cs="Arial"/>
                <w:bCs/>
                <w:color w:val="0000FF"/>
                <w:sz w:val="22"/>
                <w:szCs w:val="18"/>
              </w:rPr>
              <w:t>X,XXX</w:t>
            </w:r>
          </w:p>
        </w:tc>
        <w:tc>
          <w:tcPr>
            <w:tcW w:w="225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6412948" w14:textId="2776C7DE" w:rsidR="00DB1CC3" w:rsidRPr="00993B55" w:rsidRDefault="00DB1CC3" w:rsidP="008F5EAD">
            <w:pPr>
              <w:widowControl w:val="0"/>
              <w:jc w:val="center"/>
              <w:rPr>
                <w:color w:val="0000FF"/>
                <w:sz w:val="22"/>
                <w:szCs w:val="22"/>
              </w:rPr>
            </w:pPr>
            <w:r w:rsidRPr="00AB67FC">
              <w:rPr>
                <w:rFonts w:eastAsia="Arial Unicode MS" w:cs="Arial"/>
                <w:bCs/>
                <w:color w:val="0000FF"/>
                <w:sz w:val="22"/>
                <w:szCs w:val="18"/>
              </w:rPr>
              <w:t>X,XXX</w:t>
            </w:r>
          </w:p>
        </w:tc>
      </w:tr>
      <w:tr w:rsidR="00DB1CC3" w:rsidRPr="00993B55" w14:paraId="40003D37" w14:textId="77777777" w:rsidTr="00DB1CC3">
        <w:trPr>
          <w:trHeight w:val="345"/>
        </w:trPr>
        <w:tc>
          <w:tcPr>
            <w:tcW w:w="19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ACBDE8" w14:textId="4EFEFD72" w:rsidR="00DB1CC3" w:rsidRPr="00993B55" w:rsidRDefault="00DB1CC3" w:rsidP="008F5EAD">
            <w:pPr>
              <w:widowControl w:val="0"/>
              <w:jc w:val="center"/>
            </w:pPr>
            <w:r>
              <w:rPr>
                <w:rFonts w:cs="Arial"/>
                <w:color w:val="0000FF"/>
                <w:sz w:val="22"/>
                <w:szCs w:val="22"/>
              </w:rPr>
              <w:t>X</w:t>
            </w:r>
            <w:r w:rsidRPr="00C808A6">
              <w:rPr>
                <w:rFonts w:cs="Arial"/>
                <w:color w:val="0000FF"/>
                <w:sz w:val="22"/>
                <w:szCs w:val="22"/>
              </w:rPr>
              <w:t>-</w:t>
            </w:r>
            <w:r>
              <w:rPr>
                <w:rFonts w:cs="Arial"/>
                <w:color w:val="0000FF"/>
                <w:sz w:val="22"/>
                <w:szCs w:val="22"/>
              </w:rPr>
              <w:t>XXXX</w:t>
            </w:r>
            <w:r w:rsidRPr="00C808A6">
              <w:rPr>
                <w:rFonts w:cs="Arial"/>
                <w:color w:val="0000FF"/>
                <w:sz w:val="22"/>
                <w:szCs w:val="22"/>
              </w:rPr>
              <w:t>-</w:t>
            </w:r>
            <w:r>
              <w:rPr>
                <w:rFonts w:cs="Arial"/>
                <w:color w:val="0000FF"/>
                <w:sz w:val="22"/>
                <w:szCs w:val="22"/>
              </w:rPr>
              <w:t>X</w:t>
            </w:r>
            <w:r w:rsidRPr="00C808A6">
              <w:rPr>
                <w:rFonts w:cs="Arial"/>
                <w:color w:val="0000FF"/>
                <w:sz w:val="22"/>
                <w:szCs w:val="22"/>
              </w:rPr>
              <w:t>-</w:t>
            </w:r>
            <w:r>
              <w:rPr>
                <w:rFonts w:cs="Arial"/>
                <w:color w:val="0000FF"/>
                <w:sz w:val="22"/>
                <w:szCs w:val="22"/>
              </w:rPr>
              <w:t>X</w:t>
            </w:r>
          </w:p>
        </w:tc>
        <w:tc>
          <w:tcPr>
            <w:tcW w:w="304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FE31B2" w14:textId="532C5841" w:rsidR="00DB1CC3" w:rsidRPr="00993B55" w:rsidRDefault="00DB1CC3" w:rsidP="008F5EAD">
            <w:pPr>
              <w:widowControl w:val="0"/>
              <w:jc w:val="center"/>
              <w:rPr>
                <w:rFonts w:eastAsia="Arial Unicode MS" w:cs="Arial"/>
                <w:bCs/>
                <w:color w:val="0000FF"/>
                <w:sz w:val="22"/>
                <w:szCs w:val="18"/>
              </w:rPr>
            </w:pPr>
            <w:r w:rsidRPr="00744B3F">
              <w:rPr>
                <w:rFonts w:eastAsia="Arial Unicode MS" w:cs="Arial"/>
                <w:bCs/>
                <w:color w:val="0000FF"/>
                <w:sz w:val="22"/>
                <w:szCs w:val="18"/>
              </w:rPr>
              <w:t>X,XXX</w:t>
            </w:r>
          </w:p>
        </w:tc>
        <w:tc>
          <w:tcPr>
            <w:tcW w:w="298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CC526EC" w14:textId="464B88F3" w:rsidR="00DB1CC3" w:rsidRPr="00993B55" w:rsidRDefault="00DB1CC3" w:rsidP="008F5EAD">
            <w:pPr>
              <w:widowControl w:val="0"/>
              <w:jc w:val="center"/>
              <w:rPr>
                <w:color w:val="0000FF"/>
                <w:sz w:val="22"/>
                <w:szCs w:val="22"/>
              </w:rPr>
            </w:pPr>
            <w:r w:rsidRPr="00744B3F">
              <w:rPr>
                <w:rFonts w:eastAsia="Arial Unicode MS" w:cs="Arial"/>
                <w:bCs/>
                <w:color w:val="0000FF"/>
                <w:sz w:val="22"/>
                <w:szCs w:val="18"/>
              </w:rPr>
              <w:t>X,XXX</w:t>
            </w:r>
          </w:p>
        </w:tc>
        <w:tc>
          <w:tcPr>
            <w:tcW w:w="225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272FA7B" w14:textId="7531E3BD" w:rsidR="00DB1CC3" w:rsidRPr="00993B55" w:rsidRDefault="00DB1CC3" w:rsidP="008F5EAD">
            <w:pPr>
              <w:widowControl w:val="0"/>
              <w:jc w:val="center"/>
              <w:rPr>
                <w:color w:val="0000FF"/>
                <w:sz w:val="22"/>
                <w:szCs w:val="22"/>
              </w:rPr>
            </w:pPr>
            <w:r w:rsidRPr="00AB67FC">
              <w:rPr>
                <w:rFonts w:eastAsia="Arial Unicode MS" w:cs="Arial"/>
                <w:bCs/>
                <w:color w:val="0000FF"/>
                <w:sz w:val="22"/>
                <w:szCs w:val="18"/>
              </w:rPr>
              <w:t>X,XXX</w:t>
            </w:r>
          </w:p>
        </w:tc>
      </w:tr>
      <w:tr w:rsidR="00DB1CC3" w:rsidRPr="00993B55" w14:paraId="1254045A" w14:textId="77777777" w:rsidTr="00DB1CC3">
        <w:trPr>
          <w:trHeight w:val="345"/>
        </w:trPr>
        <w:tc>
          <w:tcPr>
            <w:tcW w:w="1995" w:type="dxa"/>
            <w:tcBorders>
              <w:top w:val="nil"/>
              <w:left w:val="nil"/>
              <w:bottom w:val="nil"/>
              <w:right w:val="nil"/>
            </w:tcBorders>
            <w:shd w:val="clear" w:color="auto" w:fill="auto"/>
            <w:noWrap/>
            <w:tcMar>
              <w:top w:w="15" w:type="dxa"/>
              <w:left w:w="15" w:type="dxa"/>
              <w:bottom w:w="0" w:type="dxa"/>
              <w:right w:w="15" w:type="dxa"/>
            </w:tcMar>
            <w:vAlign w:val="center"/>
          </w:tcPr>
          <w:p w14:paraId="64393C9F" w14:textId="77777777" w:rsidR="00DB1CC3" w:rsidRPr="00993B55" w:rsidRDefault="00DB1CC3" w:rsidP="008F5EAD">
            <w:pPr>
              <w:widowControl w:val="0"/>
              <w:jc w:val="center"/>
              <w:rPr>
                <w:rFonts w:eastAsia="Arial Unicode MS" w:cs="Arial"/>
                <w:b/>
                <w:bCs/>
                <w:sz w:val="22"/>
                <w:szCs w:val="18"/>
              </w:rPr>
            </w:pPr>
          </w:p>
        </w:tc>
        <w:tc>
          <w:tcPr>
            <w:tcW w:w="6030"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02D79135" w14:textId="4E9A1210" w:rsidR="00DB1CC3" w:rsidRPr="00993B55" w:rsidRDefault="00DB1CC3" w:rsidP="008F5EAD">
            <w:pPr>
              <w:widowControl w:val="0"/>
              <w:jc w:val="right"/>
              <w:rPr>
                <w:rFonts w:eastAsia="Arial Unicode MS" w:cs="Arial"/>
                <w:b/>
                <w:bCs/>
                <w:sz w:val="22"/>
                <w:szCs w:val="18"/>
              </w:rPr>
            </w:pPr>
            <w:r w:rsidRPr="00993B55">
              <w:rPr>
                <w:rFonts w:ascii="AauxPro OT Regular" w:hAnsi="AauxPro OT Regular"/>
                <w:b/>
                <w:color w:val="000000" w:themeColor="text1"/>
                <w:szCs w:val="24"/>
              </w:rPr>
              <w:t>∑</w:t>
            </w:r>
            <w:r w:rsidRPr="00993B55">
              <w:rPr>
                <w:rFonts w:cs="Arial"/>
                <w:b/>
                <w:bCs/>
                <w:sz w:val="22"/>
                <w:szCs w:val="18"/>
              </w:rPr>
              <w:t xml:space="preserve">(PE2 – </w:t>
            </w:r>
            <w:r>
              <w:rPr>
                <w:rFonts w:cs="Arial"/>
                <w:b/>
                <w:bCs/>
                <w:sz w:val="22"/>
                <w:szCs w:val="18"/>
              </w:rPr>
              <w:t>FB</w:t>
            </w:r>
            <w:r w:rsidRPr="00993B55">
              <w:rPr>
                <w:rFonts w:cs="Arial"/>
                <w:b/>
                <w:bCs/>
                <w:sz w:val="22"/>
                <w:szCs w:val="18"/>
              </w:rPr>
              <w:t>E) (lb/year):</w:t>
            </w:r>
          </w:p>
        </w:tc>
        <w:tc>
          <w:tcPr>
            <w:tcW w:w="22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2EA51E2" w14:textId="3F419197" w:rsidR="00DB1CC3" w:rsidRPr="00DB1CC3" w:rsidRDefault="00DB1CC3" w:rsidP="008F5EAD">
            <w:pPr>
              <w:widowControl w:val="0"/>
              <w:jc w:val="center"/>
              <w:rPr>
                <w:rFonts w:eastAsia="Arial Unicode MS" w:cs="Arial"/>
                <w:b/>
                <w:color w:val="0000FF"/>
                <w:sz w:val="22"/>
                <w:szCs w:val="18"/>
              </w:rPr>
            </w:pPr>
            <w:r w:rsidRPr="00DB1CC3">
              <w:rPr>
                <w:rFonts w:eastAsia="Arial Unicode MS" w:cs="Arial"/>
                <w:b/>
                <w:color w:val="0000FF"/>
                <w:sz w:val="22"/>
                <w:szCs w:val="18"/>
              </w:rPr>
              <w:t>X,XXX</w:t>
            </w:r>
          </w:p>
        </w:tc>
      </w:tr>
      <w:tr w:rsidR="00DB1CC3" w:rsidRPr="00993B55" w14:paraId="51B9A730" w14:textId="77777777" w:rsidTr="00DB1CC3">
        <w:trPr>
          <w:trHeight w:val="345"/>
        </w:trPr>
        <w:tc>
          <w:tcPr>
            <w:tcW w:w="1995" w:type="dxa"/>
            <w:tcBorders>
              <w:top w:val="nil"/>
              <w:left w:val="nil"/>
              <w:bottom w:val="nil"/>
              <w:right w:val="nil"/>
            </w:tcBorders>
            <w:shd w:val="clear" w:color="auto" w:fill="auto"/>
            <w:noWrap/>
            <w:tcMar>
              <w:top w:w="15" w:type="dxa"/>
              <w:left w:w="15" w:type="dxa"/>
              <w:bottom w:w="0" w:type="dxa"/>
              <w:right w:w="15" w:type="dxa"/>
            </w:tcMar>
            <w:vAlign w:val="center"/>
          </w:tcPr>
          <w:p w14:paraId="3C37B27C" w14:textId="77777777" w:rsidR="00DB1CC3" w:rsidRPr="00993B55" w:rsidRDefault="00DB1CC3" w:rsidP="008F5EAD">
            <w:pPr>
              <w:widowControl w:val="0"/>
              <w:jc w:val="center"/>
              <w:rPr>
                <w:rFonts w:eastAsia="Arial Unicode MS" w:cs="Arial"/>
                <w:b/>
                <w:bCs/>
                <w:sz w:val="22"/>
                <w:szCs w:val="18"/>
              </w:rPr>
            </w:pPr>
          </w:p>
        </w:tc>
        <w:tc>
          <w:tcPr>
            <w:tcW w:w="6030"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3FC704F5" w14:textId="07B3DB57" w:rsidR="00DB1CC3" w:rsidRPr="00993B55" w:rsidRDefault="00DB1CC3" w:rsidP="008F5EAD">
            <w:pPr>
              <w:widowControl w:val="0"/>
              <w:jc w:val="right"/>
              <w:rPr>
                <w:rFonts w:eastAsia="Arial Unicode MS" w:cs="Arial"/>
                <w:b/>
                <w:bCs/>
                <w:sz w:val="22"/>
                <w:szCs w:val="18"/>
              </w:rPr>
            </w:pPr>
            <w:r w:rsidRPr="00993B55">
              <w:rPr>
                <w:rFonts w:cs="Arial"/>
                <w:b/>
                <w:bCs/>
                <w:sz w:val="22"/>
                <w:szCs w:val="18"/>
              </w:rPr>
              <w:t xml:space="preserve">Federal Offset Quantity (lb/year): </w:t>
            </w:r>
            <w:r w:rsidRPr="00993B55">
              <w:rPr>
                <w:rFonts w:ascii="AauxPro OT Regular" w:hAnsi="AauxPro OT Regular"/>
                <w:b/>
                <w:color w:val="000000" w:themeColor="text1"/>
                <w:szCs w:val="24"/>
              </w:rPr>
              <w:t>∑</w:t>
            </w:r>
            <w:r w:rsidRPr="00993B55">
              <w:rPr>
                <w:rFonts w:cs="Arial"/>
                <w:b/>
                <w:bCs/>
                <w:sz w:val="22"/>
                <w:szCs w:val="18"/>
              </w:rPr>
              <w:t xml:space="preserve">(PE2 – </w:t>
            </w:r>
            <w:r>
              <w:rPr>
                <w:rFonts w:cs="Arial"/>
                <w:b/>
                <w:bCs/>
                <w:sz w:val="22"/>
                <w:szCs w:val="18"/>
              </w:rPr>
              <w:t>FB</w:t>
            </w:r>
            <w:r w:rsidRPr="00993B55">
              <w:rPr>
                <w:rFonts w:cs="Arial"/>
                <w:b/>
                <w:bCs/>
                <w:sz w:val="22"/>
                <w:szCs w:val="18"/>
              </w:rPr>
              <w:t xml:space="preserve">E) x </w:t>
            </w:r>
            <w:r w:rsidRPr="00CD3658">
              <w:rPr>
                <w:rFonts w:cs="Arial"/>
                <w:b/>
                <w:bCs/>
                <w:color w:val="0000FF"/>
                <w:sz w:val="22"/>
                <w:szCs w:val="18"/>
              </w:rPr>
              <w:t>1.5</w:t>
            </w:r>
          </w:p>
        </w:tc>
        <w:tc>
          <w:tcPr>
            <w:tcW w:w="2250" w:type="dxa"/>
            <w:tcBorders>
              <w:top w:val="nil"/>
              <w:left w:val="single" w:sz="4" w:space="0" w:color="auto"/>
              <w:bottom w:val="nil"/>
              <w:right w:val="single" w:sz="4" w:space="0" w:color="auto"/>
            </w:tcBorders>
            <w:noWrap/>
            <w:tcMar>
              <w:top w:w="15" w:type="dxa"/>
              <w:left w:w="15" w:type="dxa"/>
              <w:bottom w:w="0" w:type="dxa"/>
              <w:right w:w="15" w:type="dxa"/>
            </w:tcMar>
            <w:vAlign w:val="center"/>
          </w:tcPr>
          <w:p w14:paraId="5115F089" w14:textId="7E2A2F44" w:rsidR="00DB1CC3" w:rsidRPr="00DB1CC3" w:rsidRDefault="00DB1CC3" w:rsidP="008F5EAD">
            <w:pPr>
              <w:widowControl w:val="0"/>
              <w:jc w:val="center"/>
              <w:rPr>
                <w:rFonts w:eastAsia="Arial Unicode MS" w:cs="Arial"/>
                <w:b/>
                <w:color w:val="0000FF"/>
                <w:sz w:val="22"/>
                <w:szCs w:val="18"/>
              </w:rPr>
            </w:pPr>
            <w:r w:rsidRPr="00DB1CC3">
              <w:rPr>
                <w:rFonts w:eastAsia="Arial Unicode MS" w:cs="Arial"/>
                <w:b/>
                <w:color w:val="0000FF"/>
                <w:sz w:val="22"/>
                <w:szCs w:val="18"/>
              </w:rPr>
              <w:t>X,XXX</w:t>
            </w:r>
          </w:p>
        </w:tc>
      </w:tr>
      <w:tr w:rsidR="00DB1CC3" w:rsidRPr="00993B55" w14:paraId="71FD2E0B" w14:textId="77777777" w:rsidTr="00DB1CC3">
        <w:trPr>
          <w:trHeight w:val="345"/>
        </w:trPr>
        <w:tc>
          <w:tcPr>
            <w:tcW w:w="8025" w:type="dxa"/>
            <w:gridSpan w:val="3"/>
            <w:tcBorders>
              <w:top w:val="nil"/>
              <w:left w:val="nil"/>
              <w:bottom w:val="nil"/>
              <w:right w:val="nil"/>
            </w:tcBorders>
            <w:shd w:val="clear" w:color="auto" w:fill="auto"/>
            <w:noWrap/>
            <w:tcMar>
              <w:top w:w="15" w:type="dxa"/>
              <w:left w:w="15" w:type="dxa"/>
              <w:bottom w:w="0" w:type="dxa"/>
              <w:right w:w="15" w:type="dxa"/>
            </w:tcMar>
            <w:vAlign w:val="center"/>
          </w:tcPr>
          <w:p w14:paraId="5A4FBA19" w14:textId="19F23ED2" w:rsidR="00DB1CC3" w:rsidRPr="00993B55" w:rsidRDefault="00DB1CC3" w:rsidP="008F5EAD">
            <w:pPr>
              <w:widowControl w:val="0"/>
              <w:jc w:val="right"/>
              <w:rPr>
                <w:rFonts w:cs="Arial"/>
                <w:b/>
                <w:bCs/>
                <w:sz w:val="22"/>
                <w:szCs w:val="18"/>
              </w:rPr>
            </w:pPr>
            <w:r w:rsidRPr="00993B55">
              <w:rPr>
                <w:rFonts w:cs="Arial"/>
                <w:b/>
                <w:bCs/>
                <w:sz w:val="22"/>
                <w:szCs w:val="18"/>
              </w:rPr>
              <w:t xml:space="preserve">Federal Offset Quantity (tons/year): </w:t>
            </w:r>
            <w:r w:rsidRPr="00993B55">
              <w:rPr>
                <w:rFonts w:ascii="AauxPro OT Regular" w:hAnsi="AauxPro OT Regular"/>
                <w:b/>
                <w:color w:val="000000" w:themeColor="text1"/>
                <w:szCs w:val="24"/>
              </w:rPr>
              <w:t>∑</w:t>
            </w:r>
            <w:r w:rsidRPr="00993B55">
              <w:rPr>
                <w:rFonts w:cs="Arial"/>
                <w:b/>
                <w:bCs/>
                <w:sz w:val="22"/>
                <w:szCs w:val="18"/>
              </w:rPr>
              <w:t xml:space="preserve">(PE2 – </w:t>
            </w:r>
            <w:r>
              <w:rPr>
                <w:rFonts w:cs="Arial"/>
                <w:b/>
                <w:bCs/>
                <w:sz w:val="22"/>
                <w:szCs w:val="18"/>
              </w:rPr>
              <w:t>FB</w:t>
            </w:r>
            <w:r w:rsidRPr="00993B55">
              <w:rPr>
                <w:rFonts w:cs="Arial"/>
                <w:b/>
                <w:bCs/>
                <w:sz w:val="22"/>
                <w:szCs w:val="18"/>
              </w:rPr>
              <w:t xml:space="preserve">E) x </w:t>
            </w:r>
            <w:r w:rsidRPr="00CD3658">
              <w:rPr>
                <w:rFonts w:cs="Arial"/>
                <w:b/>
                <w:bCs/>
                <w:color w:val="0000FF"/>
                <w:sz w:val="22"/>
                <w:szCs w:val="18"/>
              </w:rPr>
              <w:t xml:space="preserve">1.5 </w:t>
            </w:r>
            <w:r w:rsidRPr="00993B55">
              <w:rPr>
                <w:rFonts w:cs="Arial"/>
                <w:b/>
                <w:bCs/>
                <w:sz w:val="22"/>
                <w:szCs w:val="18"/>
              </w:rPr>
              <w:t>÷ 2,000</w:t>
            </w:r>
          </w:p>
        </w:tc>
        <w:tc>
          <w:tcPr>
            <w:tcW w:w="22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FA32CDF" w14:textId="26186947" w:rsidR="00DB1CC3" w:rsidRPr="00DB1CC3" w:rsidRDefault="00DB1CC3" w:rsidP="008F5EAD">
            <w:pPr>
              <w:widowControl w:val="0"/>
              <w:jc w:val="center"/>
              <w:rPr>
                <w:rFonts w:cs="Arial"/>
                <w:b/>
                <w:color w:val="0000FF"/>
                <w:sz w:val="22"/>
                <w:szCs w:val="18"/>
              </w:rPr>
            </w:pPr>
            <w:r w:rsidRPr="00DB1CC3">
              <w:rPr>
                <w:rFonts w:eastAsia="Arial Unicode MS" w:cs="Arial"/>
                <w:b/>
                <w:color w:val="0000FF"/>
                <w:sz w:val="22"/>
                <w:szCs w:val="18"/>
              </w:rPr>
              <w:t>X,XXX</w:t>
            </w:r>
          </w:p>
        </w:tc>
      </w:tr>
    </w:tbl>
    <w:p w14:paraId="18DC3D55" w14:textId="71529967" w:rsidR="002578EE" w:rsidRDefault="002578EE" w:rsidP="007A60F3">
      <w:pPr>
        <w:widowControl w:val="0"/>
        <w:ind w:left="540"/>
      </w:pPr>
    </w:p>
    <w:p w14:paraId="08D3FC28" w14:textId="477D4832" w:rsidR="00461BE9" w:rsidRDefault="00461BE9" w:rsidP="007A60F3">
      <w:pPr>
        <w:widowControl w:val="0"/>
        <w:ind w:left="540"/>
      </w:pPr>
    </w:p>
    <w:p w14:paraId="2C4792D0" w14:textId="77777777" w:rsidR="00461BE9" w:rsidRPr="00993B55" w:rsidRDefault="00461BE9" w:rsidP="007A60F3">
      <w:pPr>
        <w:widowControl w:val="0"/>
        <w:ind w:left="540"/>
      </w:pPr>
    </w:p>
    <w:p w14:paraId="7AF8528B" w14:textId="77777777" w:rsidR="00DD6CDD" w:rsidRPr="00993B55" w:rsidRDefault="00DD6CDD" w:rsidP="007A60F3">
      <w:pPr>
        <w:widowControl w:val="0"/>
        <w:ind w:left="540"/>
      </w:pPr>
    </w:p>
    <w:tbl>
      <w:tblPr>
        <w:tblW w:w="11618" w:type="dxa"/>
        <w:tblCellMar>
          <w:left w:w="0" w:type="dxa"/>
          <w:right w:w="0" w:type="dxa"/>
        </w:tblCellMar>
        <w:tblLook w:val="0000" w:firstRow="0" w:lastRow="0" w:firstColumn="0" w:lastColumn="0" w:noHBand="0" w:noVBand="0"/>
      </w:tblPr>
      <w:tblGrid>
        <w:gridCol w:w="1995"/>
        <w:gridCol w:w="3045"/>
        <w:gridCol w:w="2985"/>
        <w:gridCol w:w="2250"/>
        <w:gridCol w:w="1343"/>
      </w:tblGrid>
      <w:tr w:rsidR="002578EE" w:rsidRPr="00993B55" w14:paraId="61C17C7F" w14:textId="77777777" w:rsidTr="00D112BB">
        <w:trPr>
          <w:gridAfter w:val="1"/>
          <w:wAfter w:w="1343" w:type="dxa"/>
          <w:trHeight w:val="255"/>
        </w:trPr>
        <w:tc>
          <w:tcPr>
            <w:tcW w:w="1995" w:type="dxa"/>
            <w:tcBorders>
              <w:top w:val="nil"/>
              <w:left w:val="nil"/>
              <w:bottom w:val="single" w:sz="4" w:space="0" w:color="auto"/>
              <w:right w:val="nil"/>
            </w:tcBorders>
            <w:noWrap/>
            <w:tcMar>
              <w:top w:w="15" w:type="dxa"/>
              <w:left w:w="15" w:type="dxa"/>
              <w:bottom w:w="0" w:type="dxa"/>
              <w:right w:w="15" w:type="dxa"/>
            </w:tcMar>
            <w:vAlign w:val="center"/>
          </w:tcPr>
          <w:p w14:paraId="5AA80CD5" w14:textId="77777777" w:rsidR="002578EE" w:rsidRPr="00993B55" w:rsidRDefault="002578EE" w:rsidP="007A60F3">
            <w:pPr>
              <w:widowControl w:val="0"/>
              <w:rPr>
                <w:rFonts w:eastAsia="Arial Unicode MS" w:cs="Arial"/>
                <w:b/>
                <w:bCs/>
                <w:sz w:val="22"/>
                <w:szCs w:val="18"/>
              </w:rPr>
            </w:pPr>
            <w:r w:rsidRPr="00993B55">
              <w:rPr>
                <w:rFonts w:cs="Arial"/>
                <w:b/>
                <w:bCs/>
                <w:sz w:val="22"/>
                <w:szCs w:val="18"/>
              </w:rPr>
              <w:lastRenderedPageBreak/>
              <w:t>SO</w:t>
            </w:r>
            <w:r>
              <w:rPr>
                <w:rFonts w:cs="Arial"/>
                <w:b/>
                <w:bCs/>
                <w:sz w:val="22"/>
                <w:szCs w:val="18"/>
              </w:rPr>
              <w:t>x</w:t>
            </w:r>
          </w:p>
        </w:tc>
        <w:tc>
          <w:tcPr>
            <w:tcW w:w="3045" w:type="dxa"/>
            <w:tcBorders>
              <w:top w:val="nil"/>
              <w:left w:val="nil"/>
              <w:bottom w:val="single" w:sz="4" w:space="0" w:color="auto"/>
              <w:right w:val="nil"/>
            </w:tcBorders>
            <w:noWrap/>
            <w:tcMar>
              <w:top w:w="15" w:type="dxa"/>
              <w:left w:w="15" w:type="dxa"/>
              <w:bottom w:w="0" w:type="dxa"/>
              <w:right w:w="15" w:type="dxa"/>
            </w:tcMar>
            <w:vAlign w:val="center"/>
          </w:tcPr>
          <w:p w14:paraId="7C0136F2" w14:textId="77777777" w:rsidR="002578EE" w:rsidRPr="00993B55" w:rsidRDefault="002578EE" w:rsidP="007A60F3">
            <w:pPr>
              <w:widowControl w:val="0"/>
              <w:jc w:val="center"/>
              <w:rPr>
                <w:rFonts w:eastAsia="Arial Unicode MS" w:cs="Arial"/>
                <w:sz w:val="22"/>
                <w:szCs w:val="18"/>
              </w:rPr>
            </w:pPr>
          </w:p>
        </w:tc>
        <w:tc>
          <w:tcPr>
            <w:tcW w:w="2985" w:type="dxa"/>
            <w:tcBorders>
              <w:top w:val="nil"/>
              <w:left w:val="nil"/>
              <w:bottom w:val="single" w:sz="4" w:space="0" w:color="auto"/>
              <w:right w:val="nil"/>
            </w:tcBorders>
            <w:noWrap/>
            <w:tcMar>
              <w:top w:w="15" w:type="dxa"/>
              <w:left w:w="15" w:type="dxa"/>
              <w:bottom w:w="0" w:type="dxa"/>
              <w:right w:w="15" w:type="dxa"/>
            </w:tcMar>
            <w:vAlign w:val="center"/>
          </w:tcPr>
          <w:p w14:paraId="55A5CD83" w14:textId="7D60CA30" w:rsidR="002578EE" w:rsidRPr="00993B55" w:rsidRDefault="002578EE" w:rsidP="007A60F3">
            <w:pPr>
              <w:widowControl w:val="0"/>
              <w:jc w:val="right"/>
              <w:rPr>
                <w:rFonts w:eastAsia="Arial Unicode MS" w:cs="Arial"/>
                <w:b/>
                <w:bCs/>
                <w:sz w:val="22"/>
                <w:szCs w:val="18"/>
              </w:rPr>
            </w:pPr>
            <w:r w:rsidRPr="00993B55">
              <w:rPr>
                <w:rFonts w:cs="Arial"/>
                <w:b/>
                <w:bCs/>
                <w:sz w:val="22"/>
                <w:szCs w:val="18"/>
              </w:rPr>
              <w:t>Offset Ratio</w:t>
            </w:r>
          </w:p>
        </w:tc>
        <w:tc>
          <w:tcPr>
            <w:tcW w:w="2250" w:type="dxa"/>
            <w:tcBorders>
              <w:top w:val="nil"/>
              <w:left w:val="nil"/>
              <w:bottom w:val="single" w:sz="4" w:space="0" w:color="auto"/>
              <w:right w:val="nil"/>
            </w:tcBorders>
            <w:noWrap/>
            <w:tcMar>
              <w:top w:w="15" w:type="dxa"/>
              <w:left w:w="15" w:type="dxa"/>
              <w:bottom w:w="0" w:type="dxa"/>
              <w:right w:w="15" w:type="dxa"/>
            </w:tcMar>
            <w:vAlign w:val="center"/>
          </w:tcPr>
          <w:p w14:paraId="54C9EE22" w14:textId="77777777" w:rsidR="002578EE" w:rsidRPr="00993B55" w:rsidRDefault="002578EE" w:rsidP="007A60F3">
            <w:pPr>
              <w:widowControl w:val="0"/>
              <w:jc w:val="center"/>
              <w:rPr>
                <w:rFonts w:eastAsia="Arial Unicode MS" w:cs="Arial"/>
                <w:b/>
                <w:bCs/>
                <w:sz w:val="22"/>
                <w:szCs w:val="18"/>
              </w:rPr>
            </w:pPr>
            <w:r w:rsidRPr="00CD3658">
              <w:rPr>
                <w:rFonts w:cs="Arial"/>
                <w:b/>
                <w:bCs/>
                <w:color w:val="0000FF"/>
                <w:sz w:val="22"/>
                <w:szCs w:val="18"/>
              </w:rPr>
              <w:t>1.0</w:t>
            </w:r>
          </w:p>
        </w:tc>
      </w:tr>
      <w:tr w:rsidR="002578EE" w:rsidRPr="00993B55" w14:paraId="3177EFC3" w14:textId="77777777" w:rsidTr="00505E9F">
        <w:trPr>
          <w:gridAfter w:val="1"/>
          <w:wAfter w:w="1343" w:type="dxa"/>
          <w:trHeight w:val="857"/>
        </w:trPr>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56D1EE6D" w14:textId="77777777" w:rsidR="002578EE" w:rsidRPr="00993B55" w:rsidRDefault="002578EE" w:rsidP="007A60F3">
            <w:pPr>
              <w:widowControl w:val="0"/>
              <w:jc w:val="center"/>
              <w:rPr>
                <w:rFonts w:eastAsia="Arial Unicode MS" w:cs="Arial"/>
                <w:b/>
                <w:bCs/>
                <w:sz w:val="22"/>
                <w:szCs w:val="18"/>
              </w:rPr>
            </w:pPr>
            <w:r w:rsidRPr="00993B55">
              <w:rPr>
                <w:rFonts w:cs="Arial"/>
                <w:b/>
                <w:bCs/>
                <w:sz w:val="22"/>
                <w:szCs w:val="18"/>
              </w:rPr>
              <w:t>Permit No.</w:t>
            </w:r>
          </w:p>
        </w:tc>
        <w:tc>
          <w:tcPr>
            <w:tcW w:w="3045" w:type="dxa"/>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4EB4A0B7" w14:textId="77777777" w:rsidR="002578EE" w:rsidRPr="00993B55" w:rsidRDefault="002578EE" w:rsidP="007A60F3">
            <w:pPr>
              <w:widowControl w:val="0"/>
              <w:jc w:val="center"/>
              <w:rPr>
                <w:rFonts w:cs="Arial"/>
                <w:b/>
                <w:bCs/>
                <w:sz w:val="22"/>
                <w:szCs w:val="18"/>
              </w:rPr>
            </w:pPr>
            <w:r w:rsidRPr="00993B55">
              <w:rPr>
                <w:rFonts w:cs="Arial"/>
                <w:b/>
                <w:bCs/>
                <w:sz w:val="22"/>
                <w:szCs w:val="18"/>
              </w:rPr>
              <w:t xml:space="preserve">Post-Project </w:t>
            </w:r>
          </w:p>
          <w:p w14:paraId="02867383" w14:textId="77777777" w:rsidR="002578EE" w:rsidRPr="00993B55" w:rsidRDefault="002578EE" w:rsidP="007A60F3">
            <w:pPr>
              <w:widowControl w:val="0"/>
              <w:jc w:val="center"/>
              <w:rPr>
                <w:rFonts w:cs="Arial"/>
                <w:b/>
                <w:bCs/>
                <w:sz w:val="22"/>
                <w:szCs w:val="18"/>
              </w:rPr>
            </w:pPr>
            <w:r w:rsidRPr="00993B55">
              <w:rPr>
                <w:rFonts w:cs="Arial"/>
                <w:b/>
                <w:bCs/>
                <w:sz w:val="22"/>
                <w:szCs w:val="18"/>
              </w:rPr>
              <w:t>Potential to Emit (PE2)</w:t>
            </w:r>
          </w:p>
          <w:p w14:paraId="7B0A12B2" w14:textId="77777777" w:rsidR="002578EE" w:rsidRPr="00993B55" w:rsidRDefault="002578EE" w:rsidP="007A60F3">
            <w:pPr>
              <w:widowControl w:val="0"/>
              <w:jc w:val="center"/>
              <w:rPr>
                <w:rFonts w:eastAsia="Arial Unicode MS" w:cs="Arial"/>
                <w:b/>
                <w:bCs/>
                <w:sz w:val="22"/>
                <w:szCs w:val="18"/>
              </w:rPr>
            </w:pPr>
            <w:r w:rsidRPr="00993B55">
              <w:rPr>
                <w:rFonts w:cs="Arial"/>
                <w:b/>
                <w:bCs/>
                <w:sz w:val="22"/>
                <w:szCs w:val="18"/>
              </w:rPr>
              <w:t>(lb/year)</w:t>
            </w:r>
          </w:p>
        </w:tc>
        <w:tc>
          <w:tcPr>
            <w:tcW w:w="2985" w:type="dxa"/>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4C7C3A04" w14:textId="053993B8" w:rsidR="002578EE" w:rsidRPr="00993B55" w:rsidRDefault="009D5A23" w:rsidP="007A60F3">
            <w:pPr>
              <w:widowControl w:val="0"/>
              <w:ind w:left="76"/>
              <w:jc w:val="center"/>
              <w:rPr>
                <w:rFonts w:cs="Arial"/>
                <w:b/>
                <w:bCs/>
                <w:sz w:val="22"/>
                <w:szCs w:val="18"/>
              </w:rPr>
            </w:pPr>
            <w:r>
              <w:rPr>
                <w:rFonts w:cs="Arial"/>
                <w:b/>
                <w:bCs/>
                <w:sz w:val="22"/>
                <w:szCs w:val="18"/>
              </w:rPr>
              <w:t>Federal Baseline</w:t>
            </w:r>
            <w:r w:rsidRPr="00993B55">
              <w:rPr>
                <w:rFonts w:cs="Arial"/>
                <w:b/>
                <w:bCs/>
                <w:sz w:val="22"/>
                <w:szCs w:val="18"/>
              </w:rPr>
              <w:t xml:space="preserve"> </w:t>
            </w:r>
            <w:r w:rsidR="002578EE" w:rsidRPr="00993B55">
              <w:rPr>
                <w:rFonts w:cs="Arial"/>
                <w:b/>
                <w:bCs/>
                <w:sz w:val="22"/>
                <w:szCs w:val="18"/>
              </w:rPr>
              <w:t xml:space="preserve">Emissions </w:t>
            </w:r>
          </w:p>
          <w:p w14:paraId="54CA85E4" w14:textId="77777777" w:rsidR="002578EE" w:rsidRPr="00993B55" w:rsidRDefault="002578EE" w:rsidP="007A60F3">
            <w:pPr>
              <w:widowControl w:val="0"/>
              <w:jc w:val="center"/>
              <w:rPr>
                <w:rFonts w:eastAsia="Arial Unicode MS" w:cs="Arial"/>
                <w:b/>
                <w:bCs/>
                <w:sz w:val="22"/>
                <w:szCs w:val="18"/>
              </w:rPr>
            </w:pPr>
            <w:r w:rsidRPr="00993B55">
              <w:rPr>
                <w:rFonts w:cs="Arial"/>
                <w:b/>
                <w:bCs/>
                <w:sz w:val="22"/>
                <w:szCs w:val="18"/>
              </w:rPr>
              <w:t>(lb/year)</w:t>
            </w:r>
          </w:p>
        </w:tc>
        <w:tc>
          <w:tcPr>
            <w:tcW w:w="2250" w:type="dxa"/>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787F5EE1" w14:textId="77777777" w:rsidR="002578EE" w:rsidRPr="00993B55" w:rsidRDefault="002578EE" w:rsidP="007A60F3">
            <w:pPr>
              <w:widowControl w:val="0"/>
              <w:jc w:val="center"/>
              <w:rPr>
                <w:rFonts w:cs="Arial"/>
                <w:b/>
                <w:bCs/>
                <w:sz w:val="22"/>
                <w:szCs w:val="18"/>
              </w:rPr>
            </w:pPr>
            <w:r w:rsidRPr="00993B55">
              <w:rPr>
                <w:rFonts w:cs="Arial"/>
                <w:b/>
                <w:bCs/>
                <w:sz w:val="22"/>
                <w:szCs w:val="18"/>
              </w:rPr>
              <w:t xml:space="preserve">Emissions Change </w:t>
            </w:r>
          </w:p>
          <w:p w14:paraId="4967E2E3" w14:textId="5E40307F" w:rsidR="002578EE" w:rsidRPr="00993B55" w:rsidRDefault="002578EE" w:rsidP="007A60F3">
            <w:pPr>
              <w:widowControl w:val="0"/>
              <w:jc w:val="center"/>
              <w:rPr>
                <w:rFonts w:eastAsia="Arial Unicode MS" w:cs="Arial"/>
                <w:b/>
                <w:bCs/>
                <w:sz w:val="22"/>
                <w:szCs w:val="18"/>
              </w:rPr>
            </w:pPr>
            <w:r w:rsidRPr="00993B55">
              <w:rPr>
                <w:rFonts w:cs="Arial"/>
                <w:b/>
                <w:bCs/>
                <w:sz w:val="22"/>
                <w:szCs w:val="18"/>
              </w:rPr>
              <w:t>(lb/y</w:t>
            </w:r>
            <w:r w:rsidR="00DB1CC3">
              <w:rPr>
                <w:rFonts w:cs="Arial"/>
                <w:b/>
                <w:bCs/>
                <w:sz w:val="22"/>
                <w:szCs w:val="18"/>
              </w:rPr>
              <w:t>ea</w:t>
            </w:r>
            <w:r w:rsidRPr="00993B55">
              <w:rPr>
                <w:rFonts w:cs="Arial"/>
                <w:b/>
                <w:bCs/>
                <w:sz w:val="22"/>
                <w:szCs w:val="18"/>
              </w:rPr>
              <w:t>r)</w:t>
            </w:r>
          </w:p>
        </w:tc>
      </w:tr>
      <w:tr w:rsidR="00DB1CC3" w:rsidRPr="00993B55" w14:paraId="194611A0" w14:textId="77777777" w:rsidTr="00DB1CC3">
        <w:trPr>
          <w:gridAfter w:val="1"/>
          <w:wAfter w:w="1343" w:type="dxa"/>
          <w:trHeight w:val="345"/>
        </w:trPr>
        <w:tc>
          <w:tcPr>
            <w:tcW w:w="19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135E8C0" w14:textId="730049AB" w:rsidR="00DB1CC3" w:rsidRPr="00993B55" w:rsidRDefault="00DB1CC3" w:rsidP="00DB1CC3">
            <w:pPr>
              <w:widowControl w:val="0"/>
              <w:jc w:val="center"/>
            </w:pPr>
            <w:r>
              <w:rPr>
                <w:rFonts w:cs="Arial"/>
                <w:color w:val="0000FF"/>
                <w:sz w:val="22"/>
                <w:szCs w:val="22"/>
              </w:rPr>
              <w:t>X</w:t>
            </w:r>
            <w:r w:rsidRPr="00C808A6">
              <w:rPr>
                <w:rFonts w:cs="Arial"/>
                <w:color w:val="0000FF"/>
                <w:sz w:val="22"/>
                <w:szCs w:val="22"/>
              </w:rPr>
              <w:t>-</w:t>
            </w:r>
            <w:r>
              <w:rPr>
                <w:rFonts w:cs="Arial"/>
                <w:color w:val="0000FF"/>
                <w:sz w:val="22"/>
                <w:szCs w:val="22"/>
              </w:rPr>
              <w:t>XXXX</w:t>
            </w:r>
            <w:r w:rsidRPr="00C808A6">
              <w:rPr>
                <w:rFonts w:cs="Arial"/>
                <w:color w:val="0000FF"/>
                <w:sz w:val="22"/>
                <w:szCs w:val="22"/>
              </w:rPr>
              <w:t>-</w:t>
            </w:r>
            <w:r>
              <w:rPr>
                <w:rFonts w:cs="Arial"/>
                <w:color w:val="0000FF"/>
                <w:sz w:val="22"/>
                <w:szCs w:val="22"/>
              </w:rPr>
              <w:t>X</w:t>
            </w:r>
            <w:r w:rsidRPr="00C808A6">
              <w:rPr>
                <w:rFonts w:cs="Arial"/>
                <w:color w:val="0000FF"/>
                <w:sz w:val="22"/>
                <w:szCs w:val="22"/>
              </w:rPr>
              <w:t>-</w:t>
            </w:r>
            <w:r>
              <w:rPr>
                <w:rFonts w:cs="Arial"/>
                <w:color w:val="0000FF"/>
                <w:sz w:val="22"/>
                <w:szCs w:val="22"/>
              </w:rPr>
              <w:t>X</w:t>
            </w:r>
          </w:p>
        </w:tc>
        <w:tc>
          <w:tcPr>
            <w:tcW w:w="304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C2EF094" w14:textId="55A0F173" w:rsidR="00DB1CC3" w:rsidRPr="00993B55" w:rsidRDefault="00DB1CC3" w:rsidP="00DB1CC3">
            <w:pPr>
              <w:widowControl w:val="0"/>
              <w:jc w:val="center"/>
              <w:rPr>
                <w:rFonts w:eastAsia="Arial Unicode MS" w:cs="Arial"/>
                <w:bCs/>
                <w:color w:val="0000FF"/>
                <w:sz w:val="22"/>
                <w:szCs w:val="18"/>
              </w:rPr>
            </w:pPr>
            <w:r w:rsidRPr="00E83341">
              <w:rPr>
                <w:rFonts w:eastAsia="Arial Unicode MS" w:cs="Arial"/>
                <w:bCs/>
                <w:color w:val="0000FF"/>
                <w:sz w:val="22"/>
                <w:szCs w:val="18"/>
              </w:rPr>
              <w:t>X,XXX</w:t>
            </w:r>
          </w:p>
        </w:tc>
        <w:tc>
          <w:tcPr>
            <w:tcW w:w="298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FD04E02" w14:textId="09002659" w:rsidR="00DB1CC3" w:rsidRPr="00993B55" w:rsidRDefault="00DB1CC3" w:rsidP="00DB1CC3">
            <w:pPr>
              <w:widowControl w:val="0"/>
              <w:jc w:val="center"/>
              <w:rPr>
                <w:color w:val="0000FF"/>
                <w:sz w:val="22"/>
                <w:szCs w:val="22"/>
              </w:rPr>
            </w:pPr>
            <w:r w:rsidRPr="00E83341">
              <w:rPr>
                <w:rFonts w:eastAsia="Arial Unicode MS" w:cs="Arial"/>
                <w:bCs/>
                <w:color w:val="0000FF"/>
                <w:sz w:val="22"/>
                <w:szCs w:val="18"/>
              </w:rPr>
              <w:t>X,XXX</w:t>
            </w:r>
          </w:p>
        </w:tc>
        <w:tc>
          <w:tcPr>
            <w:tcW w:w="225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54D8076" w14:textId="5AC717C9" w:rsidR="00DB1CC3" w:rsidRPr="00993B55" w:rsidRDefault="00DB1CC3" w:rsidP="00DB1CC3">
            <w:pPr>
              <w:widowControl w:val="0"/>
              <w:jc w:val="center"/>
              <w:rPr>
                <w:color w:val="0000FF"/>
                <w:sz w:val="22"/>
                <w:szCs w:val="22"/>
              </w:rPr>
            </w:pPr>
            <w:r w:rsidRPr="00E83341">
              <w:rPr>
                <w:rFonts w:eastAsia="Arial Unicode MS" w:cs="Arial"/>
                <w:bCs/>
                <w:color w:val="0000FF"/>
                <w:sz w:val="22"/>
                <w:szCs w:val="18"/>
              </w:rPr>
              <w:t>X,XXX</w:t>
            </w:r>
          </w:p>
        </w:tc>
      </w:tr>
      <w:tr w:rsidR="00DB1CC3" w:rsidRPr="00993B55" w14:paraId="39260A70" w14:textId="77777777" w:rsidTr="00DB1CC3">
        <w:trPr>
          <w:gridAfter w:val="1"/>
          <w:wAfter w:w="1343" w:type="dxa"/>
          <w:trHeight w:val="345"/>
        </w:trPr>
        <w:tc>
          <w:tcPr>
            <w:tcW w:w="19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1EEA0A" w14:textId="287BFB74" w:rsidR="00DB1CC3" w:rsidRPr="00993B55" w:rsidRDefault="00DB1CC3" w:rsidP="00DB1CC3">
            <w:pPr>
              <w:widowControl w:val="0"/>
              <w:jc w:val="center"/>
            </w:pPr>
            <w:r>
              <w:rPr>
                <w:rFonts w:cs="Arial"/>
                <w:color w:val="0000FF"/>
                <w:sz w:val="22"/>
                <w:szCs w:val="22"/>
              </w:rPr>
              <w:t>X</w:t>
            </w:r>
            <w:r w:rsidRPr="00C808A6">
              <w:rPr>
                <w:rFonts w:cs="Arial"/>
                <w:color w:val="0000FF"/>
                <w:sz w:val="22"/>
                <w:szCs w:val="22"/>
              </w:rPr>
              <w:t>-</w:t>
            </w:r>
            <w:r>
              <w:rPr>
                <w:rFonts w:cs="Arial"/>
                <w:color w:val="0000FF"/>
                <w:sz w:val="22"/>
                <w:szCs w:val="22"/>
              </w:rPr>
              <w:t>XXXX</w:t>
            </w:r>
            <w:r w:rsidRPr="00C808A6">
              <w:rPr>
                <w:rFonts w:cs="Arial"/>
                <w:color w:val="0000FF"/>
                <w:sz w:val="22"/>
                <w:szCs w:val="22"/>
              </w:rPr>
              <w:t>-</w:t>
            </w:r>
            <w:r>
              <w:rPr>
                <w:rFonts w:cs="Arial"/>
                <w:color w:val="0000FF"/>
                <w:sz w:val="22"/>
                <w:szCs w:val="22"/>
              </w:rPr>
              <w:t>X</w:t>
            </w:r>
            <w:r w:rsidRPr="00C808A6">
              <w:rPr>
                <w:rFonts w:cs="Arial"/>
                <w:color w:val="0000FF"/>
                <w:sz w:val="22"/>
                <w:szCs w:val="22"/>
              </w:rPr>
              <w:t>-</w:t>
            </w:r>
            <w:r>
              <w:rPr>
                <w:rFonts w:cs="Arial"/>
                <w:color w:val="0000FF"/>
                <w:sz w:val="22"/>
                <w:szCs w:val="22"/>
              </w:rPr>
              <w:t>X</w:t>
            </w:r>
          </w:p>
        </w:tc>
        <w:tc>
          <w:tcPr>
            <w:tcW w:w="304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D053CFA" w14:textId="489717C7" w:rsidR="00DB1CC3" w:rsidRPr="00993B55" w:rsidRDefault="00DB1CC3" w:rsidP="00DB1CC3">
            <w:pPr>
              <w:widowControl w:val="0"/>
              <w:jc w:val="center"/>
              <w:rPr>
                <w:rFonts w:eastAsia="Arial Unicode MS" w:cs="Arial"/>
                <w:bCs/>
                <w:color w:val="0000FF"/>
                <w:sz w:val="22"/>
                <w:szCs w:val="18"/>
              </w:rPr>
            </w:pPr>
            <w:r w:rsidRPr="00E83341">
              <w:rPr>
                <w:rFonts w:eastAsia="Arial Unicode MS" w:cs="Arial"/>
                <w:bCs/>
                <w:color w:val="0000FF"/>
                <w:sz w:val="22"/>
                <w:szCs w:val="18"/>
              </w:rPr>
              <w:t>X,XXX</w:t>
            </w:r>
          </w:p>
        </w:tc>
        <w:tc>
          <w:tcPr>
            <w:tcW w:w="298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D011744" w14:textId="59B27FE5" w:rsidR="00DB1CC3" w:rsidRPr="00993B55" w:rsidRDefault="00DB1CC3" w:rsidP="00DB1CC3">
            <w:pPr>
              <w:widowControl w:val="0"/>
              <w:jc w:val="center"/>
              <w:rPr>
                <w:color w:val="0000FF"/>
                <w:sz w:val="22"/>
                <w:szCs w:val="22"/>
              </w:rPr>
            </w:pPr>
            <w:r w:rsidRPr="00E83341">
              <w:rPr>
                <w:rFonts w:eastAsia="Arial Unicode MS" w:cs="Arial"/>
                <w:bCs/>
                <w:color w:val="0000FF"/>
                <w:sz w:val="22"/>
                <w:szCs w:val="18"/>
              </w:rPr>
              <w:t>X,XXX</w:t>
            </w:r>
          </w:p>
        </w:tc>
        <w:tc>
          <w:tcPr>
            <w:tcW w:w="225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DE65A60" w14:textId="47D17A7B" w:rsidR="00DB1CC3" w:rsidRPr="00993B55" w:rsidRDefault="00DB1CC3" w:rsidP="00DB1CC3">
            <w:pPr>
              <w:widowControl w:val="0"/>
              <w:jc w:val="center"/>
              <w:rPr>
                <w:color w:val="0000FF"/>
                <w:sz w:val="22"/>
                <w:szCs w:val="22"/>
              </w:rPr>
            </w:pPr>
            <w:r w:rsidRPr="00E83341">
              <w:rPr>
                <w:rFonts w:eastAsia="Arial Unicode MS" w:cs="Arial"/>
                <w:bCs/>
                <w:color w:val="0000FF"/>
                <w:sz w:val="22"/>
                <w:szCs w:val="18"/>
              </w:rPr>
              <w:t>X,XXX</w:t>
            </w:r>
          </w:p>
        </w:tc>
      </w:tr>
      <w:tr w:rsidR="00DB1CC3" w:rsidRPr="00993B55" w14:paraId="0297E32E" w14:textId="77777777" w:rsidTr="00DB1CC3">
        <w:trPr>
          <w:gridAfter w:val="1"/>
          <w:wAfter w:w="1343" w:type="dxa"/>
          <w:trHeight w:val="345"/>
        </w:trPr>
        <w:tc>
          <w:tcPr>
            <w:tcW w:w="19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6B4461" w14:textId="08747269" w:rsidR="00DB1CC3" w:rsidRPr="00993B55" w:rsidRDefault="00DB1CC3" w:rsidP="00DB1CC3">
            <w:pPr>
              <w:widowControl w:val="0"/>
              <w:jc w:val="center"/>
            </w:pPr>
            <w:r>
              <w:rPr>
                <w:rFonts w:cs="Arial"/>
                <w:color w:val="0000FF"/>
                <w:sz w:val="22"/>
                <w:szCs w:val="22"/>
              </w:rPr>
              <w:t>X</w:t>
            </w:r>
            <w:r w:rsidRPr="00C808A6">
              <w:rPr>
                <w:rFonts w:cs="Arial"/>
                <w:color w:val="0000FF"/>
                <w:sz w:val="22"/>
                <w:szCs w:val="22"/>
              </w:rPr>
              <w:t>-</w:t>
            </w:r>
            <w:r>
              <w:rPr>
                <w:rFonts w:cs="Arial"/>
                <w:color w:val="0000FF"/>
                <w:sz w:val="22"/>
                <w:szCs w:val="22"/>
              </w:rPr>
              <w:t>XXXX</w:t>
            </w:r>
            <w:r w:rsidRPr="00C808A6">
              <w:rPr>
                <w:rFonts w:cs="Arial"/>
                <w:color w:val="0000FF"/>
                <w:sz w:val="22"/>
                <w:szCs w:val="22"/>
              </w:rPr>
              <w:t>-</w:t>
            </w:r>
            <w:r>
              <w:rPr>
                <w:rFonts w:cs="Arial"/>
                <w:color w:val="0000FF"/>
                <w:sz w:val="22"/>
                <w:szCs w:val="22"/>
              </w:rPr>
              <w:t>X</w:t>
            </w:r>
            <w:r w:rsidRPr="00C808A6">
              <w:rPr>
                <w:rFonts w:cs="Arial"/>
                <w:color w:val="0000FF"/>
                <w:sz w:val="22"/>
                <w:szCs w:val="22"/>
              </w:rPr>
              <w:t>-</w:t>
            </w:r>
            <w:r>
              <w:rPr>
                <w:rFonts w:cs="Arial"/>
                <w:color w:val="0000FF"/>
                <w:sz w:val="22"/>
                <w:szCs w:val="22"/>
              </w:rPr>
              <w:t>X</w:t>
            </w:r>
          </w:p>
        </w:tc>
        <w:tc>
          <w:tcPr>
            <w:tcW w:w="304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52B00F9" w14:textId="0237FAB8" w:rsidR="00DB1CC3" w:rsidRPr="00993B55" w:rsidRDefault="00DB1CC3" w:rsidP="00DB1CC3">
            <w:pPr>
              <w:widowControl w:val="0"/>
              <w:jc w:val="center"/>
              <w:rPr>
                <w:rFonts w:eastAsia="Arial Unicode MS" w:cs="Arial"/>
                <w:bCs/>
                <w:color w:val="0000FF"/>
                <w:sz w:val="22"/>
                <w:szCs w:val="18"/>
              </w:rPr>
            </w:pPr>
            <w:r w:rsidRPr="00E83341">
              <w:rPr>
                <w:rFonts w:eastAsia="Arial Unicode MS" w:cs="Arial"/>
                <w:bCs/>
                <w:color w:val="0000FF"/>
                <w:sz w:val="22"/>
                <w:szCs w:val="18"/>
              </w:rPr>
              <w:t>X,XXX</w:t>
            </w:r>
          </w:p>
        </w:tc>
        <w:tc>
          <w:tcPr>
            <w:tcW w:w="298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DD13217" w14:textId="71CEB6D3" w:rsidR="00DB1CC3" w:rsidRPr="00993B55" w:rsidRDefault="00DB1CC3" w:rsidP="00DB1CC3">
            <w:pPr>
              <w:widowControl w:val="0"/>
              <w:jc w:val="center"/>
              <w:rPr>
                <w:color w:val="0000FF"/>
                <w:sz w:val="22"/>
                <w:szCs w:val="22"/>
              </w:rPr>
            </w:pPr>
            <w:r w:rsidRPr="00E83341">
              <w:rPr>
                <w:rFonts w:eastAsia="Arial Unicode MS" w:cs="Arial"/>
                <w:bCs/>
                <w:color w:val="0000FF"/>
                <w:sz w:val="22"/>
                <w:szCs w:val="18"/>
              </w:rPr>
              <w:t>X,XXX</w:t>
            </w:r>
          </w:p>
        </w:tc>
        <w:tc>
          <w:tcPr>
            <w:tcW w:w="225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D7B69D4" w14:textId="28885192" w:rsidR="00DB1CC3" w:rsidRPr="00993B55" w:rsidRDefault="00DB1CC3" w:rsidP="00DB1CC3">
            <w:pPr>
              <w:widowControl w:val="0"/>
              <w:jc w:val="center"/>
              <w:rPr>
                <w:color w:val="0000FF"/>
                <w:sz w:val="22"/>
                <w:szCs w:val="22"/>
              </w:rPr>
            </w:pPr>
            <w:r w:rsidRPr="00E83341">
              <w:rPr>
                <w:rFonts w:eastAsia="Arial Unicode MS" w:cs="Arial"/>
                <w:bCs/>
                <w:color w:val="0000FF"/>
                <w:sz w:val="22"/>
                <w:szCs w:val="18"/>
              </w:rPr>
              <w:t>X,XXX</w:t>
            </w:r>
          </w:p>
        </w:tc>
      </w:tr>
      <w:tr w:rsidR="00CD3658" w:rsidRPr="00993B55" w14:paraId="6D962D85" w14:textId="77777777" w:rsidTr="00D112BB">
        <w:trPr>
          <w:trHeight w:val="345"/>
        </w:trPr>
        <w:tc>
          <w:tcPr>
            <w:tcW w:w="1995" w:type="dxa"/>
            <w:tcBorders>
              <w:top w:val="nil"/>
              <w:left w:val="nil"/>
              <w:bottom w:val="nil"/>
              <w:right w:val="nil"/>
            </w:tcBorders>
            <w:shd w:val="clear" w:color="auto" w:fill="auto"/>
            <w:noWrap/>
            <w:tcMar>
              <w:top w:w="15" w:type="dxa"/>
              <w:left w:w="15" w:type="dxa"/>
              <w:bottom w:w="0" w:type="dxa"/>
              <w:right w:w="15" w:type="dxa"/>
            </w:tcMar>
            <w:vAlign w:val="center"/>
          </w:tcPr>
          <w:p w14:paraId="17F30440" w14:textId="77777777" w:rsidR="00CD3658" w:rsidRPr="00993B55" w:rsidRDefault="00CD3658" w:rsidP="00CD3658">
            <w:pPr>
              <w:widowControl w:val="0"/>
              <w:jc w:val="center"/>
              <w:rPr>
                <w:rFonts w:eastAsia="Arial Unicode MS" w:cs="Arial"/>
                <w:b/>
                <w:bCs/>
                <w:sz w:val="22"/>
                <w:szCs w:val="18"/>
              </w:rPr>
            </w:pPr>
          </w:p>
        </w:tc>
        <w:tc>
          <w:tcPr>
            <w:tcW w:w="6030"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60F6C8FE" w14:textId="0CE4AC20" w:rsidR="00CD3658" w:rsidRPr="00993B55" w:rsidRDefault="00CD3658" w:rsidP="00CD3658">
            <w:pPr>
              <w:widowControl w:val="0"/>
              <w:jc w:val="right"/>
              <w:rPr>
                <w:rFonts w:eastAsia="Arial Unicode MS" w:cs="Arial"/>
                <w:b/>
                <w:bCs/>
                <w:sz w:val="22"/>
                <w:szCs w:val="18"/>
              </w:rPr>
            </w:pPr>
            <w:r w:rsidRPr="00993B55">
              <w:rPr>
                <w:rFonts w:ascii="AauxPro OT Regular" w:hAnsi="AauxPro OT Regular"/>
                <w:b/>
                <w:color w:val="000000" w:themeColor="text1"/>
                <w:szCs w:val="24"/>
              </w:rPr>
              <w:t>∑</w:t>
            </w:r>
            <w:r w:rsidRPr="00993B55">
              <w:rPr>
                <w:rFonts w:cs="Arial"/>
                <w:b/>
                <w:bCs/>
                <w:sz w:val="22"/>
                <w:szCs w:val="18"/>
              </w:rPr>
              <w:t xml:space="preserve">(PE2 – </w:t>
            </w:r>
            <w:r>
              <w:rPr>
                <w:rFonts w:cs="Arial"/>
                <w:b/>
                <w:bCs/>
                <w:sz w:val="22"/>
                <w:szCs w:val="18"/>
              </w:rPr>
              <w:t>FB</w:t>
            </w:r>
            <w:r w:rsidRPr="00993B55">
              <w:rPr>
                <w:rFonts w:cs="Arial"/>
                <w:b/>
                <w:bCs/>
                <w:sz w:val="22"/>
                <w:szCs w:val="18"/>
              </w:rPr>
              <w:t>E) (lb/year):</w:t>
            </w:r>
          </w:p>
        </w:tc>
        <w:tc>
          <w:tcPr>
            <w:tcW w:w="22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6899C86" w14:textId="27FC03A0" w:rsidR="00CD3658" w:rsidRPr="00993B55" w:rsidRDefault="00CD3658" w:rsidP="00CD3658">
            <w:pPr>
              <w:widowControl w:val="0"/>
              <w:jc w:val="center"/>
            </w:pPr>
            <w:r w:rsidRPr="00DB1CC3">
              <w:rPr>
                <w:rFonts w:eastAsia="Arial Unicode MS" w:cs="Arial"/>
                <w:b/>
                <w:color w:val="0000FF"/>
                <w:sz w:val="22"/>
                <w:szCs w:val="18"/>
              </w:rPr>
              <w:t>X,XXX</w:t>
            </w:r>
          </w:p>
        </w:tc>
        <w:tc>
          <w:tcPr>
            <w:tcW w:w="1343" w:type="dxa"/>
            <w:vAlign w:val="center"/>
          </w:tcPr>
          <w:p w14:paraId="1846C23C" w14:textId="77777777" w:rsidR="00CD3658" w:rsidRPr="00993B55" w:rsidRDefault="00CD3658" w:rsidP="00CD3658">
            <w:pPr>
              <w:widowControl w:val="0"/>
            </w:pPr>
          </w:p>
        </w:tc>
      </w:tr>
      <w:tr w:rsidR="00CD3658" w:rsidRPr="00993B55" w14:paraId="65F009EA" w14:textId="77777777" w:rsidTr="00D112BB">
        <w:trPr>
          <w:gridAfter w:val="1"/>
          <w:wAfter w:w="1343" w:type="dxa"/>
          <w:trHeight w:val="345"/>
        </w:trPr>
        <w:tc>
          <w:tcPr>
            <w:tcW w:w="1995" w:type="dxa"/>
            <w:tcBorders>
              <w:top w:val="nil"/>
              <w:left w:val="nil"/>
              <w:bottom w:val="nil"/>
              <w:right w:val="nil"/>
            </w:tcBorders>
            <w:shd w:val="clear" w:color="auto" w:fill="auto"/>
            <w:noWrap/>
            <w:tcMar>
              <w:top w:w="15" w:type="dxa"/>
              <w:left w:w="15" w:type="dxa"/>
              <w:bottom w:w="0" w:type="dxa"/>
              <w:right w:w="15" w:type="dxa"/>
            </w:tcMar>
            <w:vAlign w:val="center"/>
          </w:tcPr>
          <w:p w14:paraId="355D2A39" w14:textId="77777777" w:rsidR="00CD3658" w:rsidRPr="00993B55" w:rsidRDefault="00CD3658" w:rsidP="00CD3658">
            <w:pPr>
              <w:widowControl w:val="0"/>
              <w:jc w:val="center"/>
              <w:rPr>
                <w:rFonts w:eastAsia="Arial Unicode MS" w:cs="Arial"/>
                <w:b/>
                <w:bCs/>
                <w:sz w:val="22"/>
                <w:szCs w:val="18"/>
              </w:rPr>
            </w:pPr>
          </w:p>
        </w:tc>
        <w:tc>
          <w:tcPr>
            <w:tcW w:w="6030"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52299D8E" w14:textId="3BABF688" w:rsidR="00CD3658" w:rsidRPr="00993B55" w:rsidRDefault="00CD3658" w:rsidP="00CD3658">
            <w:pPr>
              <w:widowControl w:val="0"/>
              <w:jc w:val="right"/>
              <w:rPr>
                <w:rFonts w:eastAsia="Arial Unicode MS" w:cs="Arial"/>
                <w:b/>
                <w:bCs/>
                <w:sz w:val="22"/>
                <w:szCs w:val="18"/>
              </w:rPr>
            </w:pPr>
            <w:r w:rsidRPr="00993B55">
              <w:rPr>
                <w:rFonts w:cs="Arial"/>
                <w:b/>
                <w:bCs/>
                <w:sz w:val="22"/>
                <w:szCs w:val="18"/>
              </w:rPr>
              <w:t xml:space="preserve">Federal Offset Quantity (lb/year): </w:t>
            </w:r>
            <w:r w:rsidRPr="00993B55">
              <w:rPr>
                <w:rFonts w:ascii="AauxPro OT Regular" w:hAnsi="AauxPro OT Regular"/>
                <w:b/>
                <w:color w:val="000000" w:themeColor="text1"/>
                <w:szCs w:val="24"/>
              </w:rPr>
              <w:t>∑</w:t>
            </w:r>
            <w:r w:rsidRPr="00993B55">
              <w:rPr>
                <w:rFonts w:cs="Arial"/>
                <w:b/>
                <w:bCs/>
                <w:sz w:val="22"/>
                <w:szCs w:val="18"/>
              </w:rPr>
              <w:t xml:space="preserve">(PE2 – </w:t>
            </w:r>
            <w:r>
              <w:rPr>
                <w:rFonts w:cs="Arial"/>
                <w:b/>
                <w:bCs/>
                <w:sz w:val="22"/>
                <w:szCs w:val="18"/>
              </w:rPr>
              <w:t>FB</w:t>
            </w:r>
            <w:r w:rsidRPr="00993B55">
              <w:rPr>
                <w:rFonts w:cs="Arial"/>
                <w:b/>
                <w:bCs/>
                <w:sz w:val="22"/>
                <w:szCs w:val="18"/>
              </w:rPr>
              <w:t xml:space="preserve">E) x </w:t>
            </w:r>
            <w:r w:rsidRPr="00CD3658">
              <w:rPr>
                <w:rFonts w:cs="Arial"/>
                <w:b/>
                <w:bCs/>
                <w:color w:val="0000FF"/>
                <w:sz w:val="22"/>
                <w:szCs w:val="18"/>
              </w:rPr>
              <w:t>1.0</w:t>
            </w:r>
          </w:p>
        </w:tc>
        <w:tc>
          <w:tcPr>
            <w:tcW w:w="2250" w:type="dxa"/>
            <w:tcBorders>
              <w:top w:val="nil"/>
              <w:left w:val="single" w:sz="4" w:space="0" w:color="auto"/>
              <w:bottom w:val="nil"/>
              <w:right w:val="single" w:sz="4" w:space="0" w:color="auto"/>
            </w:tcBorders>
            <w:noWrap/>
            <w:tcMar>
              <w:top w:w="15" w:type="dxa"/>
              <w:left w:w="15" w:type="dxa"/>
              <w:bottom w:w="0" w:type="dxa"/>
              <w:right w:w="15" w:type="dxa"/>
            </w:tcMar>
            <w:vAlign w:val="center"/>
          </w:tcPr>
          <w:p w14:paraId="218E2A0D" w14:textId="1CBAF145" w:rsidR="00CD3658" w:rsidRPr="00993B55" w:rsidRDefault="00CD3658" w:rsidP="00CD3658">
            <w:pPr>
              <w:widowControl w:val="0"/>
              <w:jc w:val="center"/>
            </w:pPr>
            <w:r w:rsidRPr="00DB1CC3">
              <w:rPr>
                <w:rFonts w:eastAsia="Arial Unicode MS" w:cs="Arial"/>
                <w:b/>
                <w:color w:val="0000FF"/>
                <w:sz w:val="22"/>
                <w:szCs w:val="18"/>
              </w:rPr>
              <w:t>X,XXX</w:t>
            </w:r>
          </w:p>
        </w:tc>
      </w:tr>
      <w:tr w:rsidR="00CD3658" w:rsidRPr="00993B55" w14:paraId="537297D7" w14:textId="77777777" w:rsidTr="00D112BB">
        <w:trPr>
          <w:gridAfter w:val="1"/>
          <w:wAfter w:w="1343" w:type="dxa"/>
          <w:trHeight w:val="345"/>
        </w:trPr>
        <w:tc>
          <w:tcPr>
            <w:tcW w:w="8025" w:type="dxa"/>
            <w:gridSpan w:val="3"/>
            <w:tcBorders>
              <w:top w:val="nil"/>
              <w:left w:val="nil"/>
              <w:bottom w:val="nil"/>
              <w:right w:val="nil"/>
            </w:tcBorders>
            <w:shd w:val="clear" w:color="auto" w:fill="auto"/>
            <w:noWrap/>
            <w:tcMar>
              <w:top w:w="15" w:type="dxa"/>
              <w:left w:w="15" w:type="dxa"/>
              <w:bottom w:w="0" w:type="dxa"/>
              <w:right w:w="15" w:type="dxa"/>
            </w:tcMar>
            <w:vAlign w:val="center"/>
          </w:tcPr>
          <w:p w14:paraId="44B94401" w14:textId="4F1D8E01" w:rsidR="00CD3658" w:rsidRPr="00993B55" w:rsidRDefault="00CD3658" w:rsidP="00CD3658">
            <w:pPr>
              <w:widowControl w:val="0"/>
              <w:jc w:val="right"/>
              <w:rPr>
                <w:rFonts w:cs="Arial"/>
                <w:b/>
                <w:bCs/>
                <w:sz w:val="22"/>
                <w:szCs w:val="18"/>
              </w:rPr>
            </w:pPr>
            <w:r w:rsidRPr="00993B55">
              <w:rPr>
                <w:rFonts w:cs="Arial"/>
                <w:b/>
                <w:bCs/>
                <w:sz w:val="22"/>
                <w:szCs w:val="18"/>
              </w:rPr>
              <w:t xml:space="preserve">Federal Offset Quantity (tons/year): </w:t>
            </w:r>
            <w:r w:rsidRPr="00993B55">
              <w:rPr>
                <w:rFonts w:ascii="AauxPro OT Regular" w:hAnsi="AauxPro OT Regular"/>
                <w:b/>
                <w:color w:val="000000" w:themeColor="text1"/>
                <w:szCs w:val="24"/>
              </w:rPr>
              <w:t>∑</w:t>
            </w:r>
            <w:r w:rsidRPr="00993B55">
              <w:rPr>
                <w:rFonts w:cs="Arial"/>
                <w:b/>
                <w:bCs/>
                <w:sz w:val="22"/>
                <w:szCs w:val="18"/>
              </w:rPr>
              <w:t xml:space="preserve">(PE2 – </w:t>
            </w:r>
            <w:r>
              <w:rPr>
                <w:rFonts w:cs="Arial"/>
                <w:b/>
                <w:bCs/>
                <w:sz w:val="22"/>
                <w:szCs w:val="18"/>
              </w:rPr>
              <w:t>FB</w:t>
            </w:r>
            <w:r w:rsidRPr="00993B55">
              <w:rPr>
                <w:rFonts w:cs="Arial"/>
                <w:b/>
                <w:bCs/>
                <w:sz w:val="22"/>
                <w:szCs w:val="18"/>
              </w:rPr>
              <w:t xml:space="preserve">E) x </w:t>
            </w:r>
            <w:r w:rsidRPr="00CD3658">
              <w:rPr>
                <w:rFonts w:cs="Arial"/>
                <w:b/>
                <w:bCs/>
                <w:color w:val="0000FF"/>
                <w:sz w:val="22"/>
                <w:szCs w:val="18"/>
              </w:rPr>
              <w:t xml:space="preserve">1.0 </w:t>
            </w:r>
            <w:r w:rsidRPr="00993B55">
              <w:rPr>
                <w:rFonts w:cs="Arial"/>
                <w:b/>
                <w:bCs/>
                <w:sz w:val="22"/>
                <w:szCs w:val="18"/>
              </w:rPr>
              <w:t>÷ 2,000</w:t>
            </w:r>
          </w:p>
        </w:tc>
        <w:tc>
          <w:tcPr>
            <w:tcW w:w="22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72A6B8" w14:textId="132C08D8" w:rsidR="00CD3658" w:rsidRPr="00993B55" w:rsidRDefault="00CD3658" w:rsidP="00CD3658">
            <w:pPr>
              <w:widowControl w:val="0"/>
              <w:jc w:val="center"/>
              <w:rPr>
                <w:rFonts w:cs="Arial"/>
                <w:b/>
                <w:bCs/>
                <w:sz w:val="22"/>
                <w:szCs w:val="18"/>
              </w:rPr>
            </w:pPr>
            <w:r w:rsidRPr="00DB1CC3">
              <w:rPr>
                <w:rFonts w:eastAsia="Arial Unicode MS" w:cs="Arial"/>
                <w:b/>
                <w:color w:val="0000FF"/>
                <w:sz w:val="22"/>
                <w:szCs w:val="18"/>
              </w:rPr>
              <w:t>X,XXX</w:t>
            </w:r>
          </w:p>
        </w:tc>
      </w:tr>
    </w:tbl>
    <w:p w14:paraId="7B5054AB" w14:textId="77777777" w:rsidR="00856FA9" w:rsidRPr="00993B55" w:rsidRDefault="00856FA9" w:rsidP="007A60F3">
      <w:pPr>
        <w:widowControl w:val="0"/>
        <w:ind w:left="540"/>
      </w:pPr>
    </w:p>
    <w:p w14:paraId="7466FC1D" w14:textId="77777777" w:rsidR="002578EE" w:rsidRPr="00993B55" w:rsidRDefault="002578EE" w:rsidP="007A60F3">
      <w:pPr>
        <w:widowControl w:val="0"/>
        <w:ind w:left="540"/>
      </w:pPr>
    </w:p>
    <w:tbl>
      <w:tblPr>
        <w:tblW w:w="11618" w:type="dxa"/>
        <w:tblCellMar>
          <w:left w:w="0" w:type="dxa"/>
          <w:right w:w="0" w:type="dxa"/>
        </w:tblCellMar>
        <w:tblLook w:val="0000" w:firstRow="0" w:lastRow="0" w:firstColumn="0" w:lastColumn="0" w:noHBand="0" w:noVBand="0"/>
      </w:tblPr>
      <w:tblGrid>
        <w:gridCol w:w="1995"/>
        <w:gridCol w:w="3045"/>
        <w:gridCol w:w="2985"/>
        <w:gridCol w:w="2250"/>
        <w:gridCol w:w="1343"/>
      </w:tblGrid>
      <w:tr w:rsidR="002578EE" w:rsidRPr="00993B55" w14:paraId="244E7577" w14:textId="77777777" w:rsidTr="00D112BB">
        <w:trPr>
          <w:gridAfter w:val="1"/>
          <w:wAfter w:w="1343" w:type="dxa"/>
          <w:trHeight w:val="255"/>
        </w:trPr>
        <w:tc>
          <w:tcPr>
            <w:tcW w:w="1995" w:type="dxa"/>
            <w:tcBorders>
              <w:top w:val="nil"/>
              <w:left w:val="nil"/>
              <w:bottom w:val="single" w:sz="4" w:space="0" w:color="auto"/>
              <w:right w:val="nil"/>
            </w:tcBorders>
            <w:noWrap/>
            <w:tcMar>
              <w:top w:w="15" w:type="dxa"/>
              <w:left w:w="15" w:type="dxa"/>
              <w:bottom w:w="0" w:type="dxa"/>
              <w:right w:w="15" w:type="dxa"/>
            </w:tcMar>
            <w:vAlign w:val="center"/>
          </w:tcPr>
          <w:p w14:paraId="2DE2EABC" w14:textId="77777777" w:rsidR="002578EE" w:rsidRPr="00993B55" w:rsidRDefault="002578EE" w:rsidP="007A60F3">
            <w:pPr>
              <w:widowControl w:val="0"/>
              <w:rPr>
                <w:rFonts w:eastAsia="Arial Unicode MS" w:cs="Arial"/>
                <w:b/>
                <w:bCs/>
                <w:sz w:val="22"/>
                <w:szCs w:val="18"/>
              </w:rPr>
            </w:pPr>
            <w:r w:rsidRPr="00993B55">
              <w:rPr>
                <w:rFonts w:cs="Arial"/>
                <w:b/>
                <w:bCs/>
                <w:sz w:val="22"/>
                <w:szCs w:val="18"/>
              </w:rPr>
              <w:t>PM</w:t>
            </w:r>
            <w:r>
              <w:rPr>
                <w:rFonts w:cs="Arial"/>
                <w:b/>
                <w:bCs/>
                <w:sz w:val="22"/>
                <w:szCs w:val="18"/>
              </w:rPr>
              <w:t>10</w:t>
            </w:r>
          </w:p>
        </w:tc>
        <w:tc>
          <w:tcPr>
            <w:tcW w:w="3045" w:type="dxa"/>
            <w:tcBorders>
              <w:top w:val="nil"/>
              <w:left w:val="nil"/>
              <w:bottom w:val="single" w:sz="4" w:space="0" w:color="auto"/>
              <w:right w:val="nil"/>
            </w:tcBorders>
            <w:noWrap/>
            <w:tcMar>
              <w:top w:w="15" w:type="dxa"/>
              <w:left w:w="15" w:type="dxa"/>
              <w:bottom w:w="0" w:type="dxa"/>
              <w:right w:w="15" w:type="dxa"/>
            </w:tcMar>
            <w:vAlign w:val="center"/>
          </w:tcPr>
          <w:p w14:paraId="7553EE0F" w14:textId="77777777" w:rsidR="002578EE" w:rsidRPr="00993B55" w:rsidRDefault="002578EE" w:rsidP="007A60F3">
            <w:pPr>
              <w:widowControl w:val="0"/>
              <w:jc w:val="center"/>
              <w:rPr>
                <w:rFonts w:eastAsia="Arial Unicode MS" w:cs="Arial"/>
                <w:sz w:val="22"/>
                <w:szCs w:val="18"/>
              </w:rPr>
            </w:pPr>
          </w:p>
        </w:tc>
        <w:tc>
          <w:tcPr>
            <w:tcW w:w="2985" w:type="dxa"/>
            <w:tcBorders>
              <w:top w:val="nil"/>
              <w:left w:val="nil"/>
              <w:bottom w:val="single" w:sz="4" w:space="0" w:color="auto"/>
              <w:right w:val="nil"/>
            </w:tcBorders>
            <w:noWrap/>
            <w:tcMar>
              <w:top w:w="15" w:type="dxa"/>
              <w:left w:w="15" w:type="dxa"/>
              <w:bottom w:w="0" w:type="dxa"/>
              <w:right w:w="15" w:type="dxa"/>
            </w:tcMar>
            <w:vAlign w:val="center"/>
          </w:tcPr>
          <w:p w14:paraId="2FE0A565" w14:textId="3BDDAAF5" w:rsidR="002578EE" w:rsidRPr="00993B55" w:rsidRDefault="002578EE" w:rsidP="007A60F3">
            <w:pPr>
              <w:widowControl w:val="0"/>
              <w:jc w:val="right"/>
              <w:rPr>
                <w:rFonts w:eastAsia="Arial Unicode MS" w:cs="Arial"/>
                <w:b/>
                <w:bCs/>
                <w:sz w:val="22"/>
                <w:szCs w:val="18"/>
              </w:rPr>
            </w:pPr>
            <w:r w:rsidRPr="00993B55">
              <w:rPr>
                <w:rFonts w:cs="Arial"/>
                <w:b/>
                <w:bCs/>
                <w:sz w:val="22"/>
                <w:szCs w:val="18"/>
              </w:rPr>
              <w:t>Offset Ratio</w:t>
            </w:r>
          </w:p>
        </w:tc>
        <w:tc>
          <w:tcPr>
            <w:tcW w:w="2250" w:type="dxa"/>
            <w:tcBorders>
              <w:top w:val="nil"/>
              <w:left w:val="nil"/>
              <w:bottom w:val="single" w:sz="4" w:space="0" w:color="auto"/>
              <w:right w:val="nil"/>
            </w:tcBorders>
            <w:noWrap/>
            <w:tcMar>
              <w:top w:w="15" w:type="dxa"/>
              <w:left w:w="15" w:type="dxa"/>
              <w:bottom w:w="0" w:type="dxa"/>
              <w:right w:w="15" w:type="dxa"/>
            </w:tcMar>
            <w:vAlign w:val="center"/>
          </w:tcPr>
          <w:p w14:paraId="5835D58D" w14:textId="77777777" w:rsidR="002578EE" w:rsidRPr="00993B55" w:rsidRDefault="002578EE" w:rsidP="007A60F3">
            <w:pPr>
              <w:widowControl w:val="0"/>
              <w:jc w:val="center"/>
              <w:rPr>
                <w:rFonts w:eastAsia="Arial Unicode MS" w:cs="Arial"/>
                <w:b/>
                <w:bCs/>
                <w:sz w:val="22"/>
                <w:szCs w:val="18"/>
              </w:rPr>
            </w:pPr>
            <w:r w:rsidRPr="00574A8D">
              <w:rPr>
                <w:rFonts w:cs="Arial"/>
                <w:b/>
                <w:bCs/>
                <w:color w:val="0000FF"/>
                <w:sz w:val="22"/>
                <w:szCs w:val="18"/>
              </w:rPr>
              <w:t>1.0</w:t>
            </w:r>
          </w:p>
        </w:tc>
      </w:tr>
      <w:tr w:rsidR="002578EE" w:rsidRPr="00993B55" w14:paraId="7BCD6D85" w14:textId="77777777" w:rsidTr="00505E9F">
        <w:trPr>
          <w:gridAfter w:val="1"/>
          <w:wAfter w:w="1343" w:type="dxa"/>
          <w:trHeight w:val="839"/>
        </w:trPr>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70FD17A4" w14:textId="77777777" w:rsidR="002578EE" w:rsidRPr="00993B55" w:rsidRDefault="002578EE" w:rsidP="007A60F3">
            <w:pPr>
              <w:widowControl w:val="0"/>
              <w:jc w:val="center"/>
              <w:rPr>
                <w:rFonts w:eastAsia="Arial Unicode MS" w:cs="Arial"/>
                <w:b/>
                <w:bCs/>
                <w:sz w:val="22"/>
                <w:szCs w:val="18"/>
              </w:rPr>
            </w:pPr>
            <w:r w:rsidRPr="00993B55">
              <w:rPr>
                <w:rFonts w:cs="Arial"/>
                <w:b/>
                <w:bCs/>
                <w:sz w:val="22"/>
                <w:szCs w:val="18"/>
              </w:rPr>
              <w:t>Permit No.</w:t>
            </w:r>
          </w:p>
        </w:tc>
        <w:tc>
          <w:tcPr>
            <w:tcW w:w="3045" w:type="dxa"/>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3880DE5F" w14:textId="77777777" w:rsidR="002578EE" w:rsidRPr="00993B55" w:rsidRDefault="002578EE" w:rsidP="007A60F3">
            <w:pPr>
              <w:widowControl w:val="0"/>
              <w:jc w:val="center"/>
              <w:rPr>
                <w:rFonts w:cs="Arial"/>
                <w:b/>
                <w:bCs/>
                <w:sz w:val="22"/>
                <w:szCs w:val="18"/>
              </w:rPr>
            </w:pPr>
            <w:r w:rsidRPr="00993B55">
              <w:rPr>
                <w:rFonts w:cs="Arial"/>
                <w:b/>
                <w:bCs/>
                <w:sz w:val="22"/>
                <w:szCs w:val="18"/>
              </w:rPr>
              <w:t xml:space="preserve">Post-Project </w:t>
            </w:r>
          </w:p>
          <w:p w14:paraId="42DFBCA7" w14:textId="77777777" w:rsidR="002578EE" w:rsidRPr="00993B55" w:rsidRDefault="002578EE" w:rsidP="007A60F3">
            <w:pPr>
              <w:widowControl w:val="0"/>
              <w:jc w:val="center"/>
              <w:rPr>
                <w:rFonts w:cs="Arial"/>
                <w:b/>
                <w:bCs/>
                <w:sz w:val="22"/>
                <w:szCs w:val="18"/>
              </w:rPr>
            </w:pPr>
            <w:r w:rsidRPr="00993B55">
              <w:rPr>
                <w:rFonts w:cs="Arial"/>
                <w:b/>
                <w:bCs/>
                <w:sz w:val="22"/>
                <w:szCs w:val="18"/>
              </w:rPr>
              <w:t>Potential to Emit (PE2)</w:t>
            </w:r>
          </w:p>
          <w:p w14:paraId="1C5519DA" w14:textId="77777777" w:rsidR="002578EE" w:rsidRPr="00993B55" w:rsidRDefault="002578EE" w:rsidP="007A60F3">
            <w:pPr>
              <w:widowControl w:val="0"/>
              <w:jc w:val="center"/>
              <w:rPr>
                <w:rFonts w:eastAsia="Arial Unicode MS" w:cs="Arial"/>
                <w:b/>
                <w:bCs/>
                <w:sz w:val="22"/>
                <w:szCs w:val="18"/>
              </w:rPr>
            </w:pPr>
            <w:r w:rsidRPr="00993B55">
              <w:rPr>
                <w:rFonts w:cs="Arial"/>
                <w:b/>
                <w:bCs/>
                <w:sz w:val="22"/>
                <w:szCs w:val="18"/>
              </w:rPr>
              <w:t>(lb/year)</w:t>
            </w:r>
          </w:p>
        </w:tc>
        <w:tc>
          <w:tcPr>
            <w:tcW w:w="2985" w:type="dxa"/>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07CD891B" w14:textId="41F456BD" w:rsidR="002578EE" w:rsidRPr="00993B55" w:rsidRDefault="00B5645B" w:rsidP="007A60F3">
            <w:pPr>
              <w:widowControl w:val="0"/>
              <w:ind w:left="76"/>
              <w:jc w:val="center"/>
              <w:rPr>
                <w:rFonts w:cs="Arial"/>
                <w:b/>
                <w:bCs/>
                <w:sz w:val="22"/>
                <w:szCs w:val="18"/>
              </w:rPr>
            </w:pPr>
            <w:r>
              <w:rPr>
                <w:rFonts w:cs="Arial"/>
                <w:b/>
                <w:bCs/>
                <w:sz w:val="22"/>
                <w:szCs w:val="18"/>
              </w:rPr>
              <w:t>Federal Baseline</w:t>
            </w:r>
            <w:r w:rsidRPr="00993B55">
              <w:rPr>
                <w:rFonts w:cs="Arial"/>
                <w:b/>
                <w:bCs/>
                <w:sz w:val="22"/>
                <w:szCs w:val="18"/>
              </w:rPr>
              <w:t xml:space="preserve"> </w:t>
            </w:r>
            <w:r w:rsidR="002578EE" w:rsidRPr="00993B55">
              <w:rPr>
                <w:rFonts w:cs="Arial"/>
                <w:b/>
                <w:bCs/>
                <w:sz w:val="22"/>
                <w:szCs w:val="18"/>
              </w:rPr>
              <w:t xml:space="preserve">Emissions </w:t>
            </w:r>
          </w:p>
          <w:p w14:paraId="73117A2B" w14:textId="77777777" w:rsidR="002578EE" w:rsidRPr="00993B55" w:rsidRDefault="002578EE" w:rsidP="007A60F3">
            <w:pPr>
              <w:widowControl w:val="0"/>
              <w:jc w:val="center"/>
              <w:rPr>
                <w:rFonts w:eastAsia="Arial Unicode MS" w:cs="Arial"/>
                <w:b/>
                <w:bCs/>
                <w:sz w:val="22"/>
                <w:szCs w:val="18"/>
              </w:rPr>
            </w:pPr>
            <w:r w:rsidRPr="00993B55">
              <w:rPr>
                <w:rFonts w:cs="Arial"/>
                <w:b/>
                <w:bCs/>
                <w:sz w:val="22"/>
                <w:szCs w:val="18"/>
              </w:rPr>
              <w:t>(lb/year)</w:t>
            </w:r>
          </w:p>
        </w:tc>
        <w:tc>
          <w:tcPr>
            <w:tcW w:w="2250" w:type="dxa"/>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0088A7A8" w14:textId="77777777" w:rsidR="002578EE" w:rsidRPr="00993B55" w:rsidRDefault="002578EE" w:rsidP="007A60F3">
            <w:pPr>
              <w:widowControl w:val="0"/>
              <w:jc w:val="center"/>
              <w:rPr>
                <w:rFonts w:cs="Arial"/>
                <w:b/>
                <w:bCs/>
                <w:sz w:val="22"/>
                <w:szCs w:val="18"/>
              </w:rPr>
            </w:pPr>
            <w:r w:rsidRPr="00993B55">
              <w:rPr>
                <w:rFonts w:cs="Arial"/>
                <w:b/>
                <w:bCs/>
                <w:sz w:val="22"/>
                <w:szCs w:val="18"/>
              </w:rPr>
              <w:t xml:space="preserve">Emissions Change </w:t>
            </w:r>
          </w:p>
          <w:p w14:paraId="15947807" w14:textId="77777777" w:rsidR="002578EE" w:rsidRPr="00993B55" w:rsidRDefault="002578EE" w:rsidP="007A60F3">
            <w:pPr>
              <w:widowControl w:val="0"/>
              <w:jc w:val="center"/>
              <w:rPr>
                <w:rFonts w:eastAsia="Arial Unicode MS" w:cs="Arial"/>
                <w:b/>
                <w:bCs/>
                <w:sz w:val="22"/>
                <w:szCs w:val="18"/>
              </w:rPr>
            </w:pPr>
            <w:r w:rsidRPr="00993B55">
              <w:rPr>
                <w:rFonts w:cs="Arial"/>
                <w:b/>
                <w:bCs/>
                <w:sz w:val="22"/>
                <w:szCs w:val="18"/>
              </w:rPr>
              <w:t>(lb/yr)</w:t>
            </w:r>
          </w:p>
        </w:tc>
      </w:tr>
      <w:tr w:rsidR="00574A8D" w:rsidRPr="00993B55" w14:paraId="4888BB3A" w14:textId="77777777" w:rsidTr="00D112BB">
        <w:trPr>
          <w:gridAfter w:val="1"/>
          <w:wAfter w:w="1343" w:type="dxa"/>
          <w:trHeight w:val="345"/>
        </w:trPr>
        <w:tc>
          <w:tcPr>
            <w:tcW w:w="19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EF8FE0" w14:textId="2D865AA0" w:rsidR="00574A8D" w:rsidRPr="00993B55" w:rsidRDefault="00574A8D" w:rsidP="00574A8D">
            <w:pPr>
              <w:widowControl w:val="0"/>
              <w:jc w:val="center"/>
            </w:pPr>
            <w:r>
              <w:rPr>
                <w:rFonts w:cs="Arial"/>
                <w:color w:val="0000FF"/>
                <w:sz w:val="22"/>
                <w:szCs w:val="22"/>
              </w:rPr>
              <w:t>X</w:t>
            </w:r>
            <w:r w:rsidRPr="00C808A6">
              <w:rPr>
                <w:rFonts w:cs="Arial"/>
                <w:color w:val="0000FF"/>
                <w:sz w:val="22"/>
                <w:szCs w:val="22"/>
              </w:rPr>
              <w:t>-</w:t>
            </w:r>
            <w:r>
              <w:rPr>
                <w:rFonts w:cs="Arial"/>
                <w:color w:val="0000FF"/>
                <w:sz w:val="22"/>
                <w:szCs w:val="22"/>
              </w:rPr>
              <w:t>XXXX</w:t>
            </w:r>
            <w:r w:rsidRPr="00C808A6">
              <w:rPr>
                <w:rFonts w:cs="Arial"/>
                <w:color w:val="0000FF"/>
                <w:sz w:val="22"/>
                <w:szCs w:val="22"/>
              </w:rPr>
              <w:t>-</w:t>
            </w:r>
            <w:r>
              <w:rPr>
                <w:rFonts w:cs="Arial"/>
                <w:color w:val="0000FF"/>
                <w:sz w:val="22"/>
                <w:szCs w:val="22"/>
              </w:rPr>
              <w:t>X</w:t>
            </w:r>
            <w:r w:rsidRPr="00C808A6">
              <w:rPr>
                <w:rFonts w:cs="Arial"/>
                <w:color w:val="0000FF"/>
                <w:sz w:val="22"/>
                <w:szCs w:val="22"/>
              </w:rPr>
              <w:t>-</w:t>
            </w:r>
            <w:r>
              <w:rPr>
                <w:rFonts w:cs="Arial"/>
                <w:color w:val="0000FF"/>
                <w:sz w:val="22"/>
                <w:szCs w:val="22"/>
              </w:rPr>
              <w:t>X</w:t>
            </w:r>
          </w:p>
        </w:tc>
        <w:tc>
          <w:tcPr>
            <w:tcW w:w="304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B6F4CAF" w14:textId="006684DB" w:rsidR="00574A8D" w:rsidRPr="00993B55" w:rsidRDefault="00574A8D" w:rsidP="00574A8D">
            <w:pPr>
              <w:widowControl w:val="0"/>
              <w:jc w:val="center"/>
              <w:rPr>
                <w:rFonts w:eastAsia="Arial Unicode MS" w:cs="Arial"/>
                <w:bCs/>
                <w:color w:val="0000FF"/>
                <w:sz w:val="22"/>
                <w:szCs w:val="18"/>
              </w:rPr>
            </w:pPr>
            <w:r w:rsidRPr="00E83341">
              <w:rPr>
                <w:rFonts w:eastAsia="Arial Unicode MS" w:cs="Arial"/>
                <w:bCs/>
                <w:color w:val="0000FF"/>
                <w:sz w:val="22"/>
                <w:szCs w:val="18"/>
              </w:rPr>
              <w:t>X,XXX</w:t>
            </w:r>
          </w:p>
        </w:tc>
        <w:tc>
          <w:tcPr>
            <w:tcW w:w="298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7DD93EA" w14:textId="357E4004" w:rsidR="00574A8D" w:rsidRPr="00993B55" w:rsidRDefault="00574A8D" w:rsidP="00574A8D">
            <w:pPr>
              <w:widowControl w:val="0"/>
              <w:jc w:val="center"/>
              <w:rPr>
                <w:color w:val="0000FF"/>
                <w:sz w:val="22"/>
                <w:szCs w:val="22"/>
              </w:rPr>
            </w:pPr>
            <w:r w:rsidRPr="00E83341">
              <w:rPr>
                <w:rFonts w:eastAsia="Arial Unicode MS" w:cs="Arial"/>
                <w:bCs/>
                <w:color w:val="0000FF"/>
                <w:sz w:val="22"/>
                <w:szCs w:val="18"/>
              </w:rPr>
              <w:t>X,XXX</w:t>
            </w:r>
          </w:p>
        </w:tc>
        <w:tc>
          <w:tcPr>
            <w:tcW w:w="225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A8056A5" w14:textId="6372D5A8" w:rsidR="00574A8D" w:rsidRPr="00993B55" w:rsidRDefault="00574A8D" w:rsidP="00574A8D">
            <w:pPr>
              <w:widowControl w:val="0"/>
              <w:jc w:val="center"/>
              <w:rPr>
                <w:color w:val="0000FF"/>
                <w:sz w:val="22"/>
                <w:szCs w:val="22"/>
              </w:rPr>
            </w:pPr>
            <w:r w:rsidRPr="00E83341">
              <w:rPr>
                <w:rFonts w:eastAsia="Arial Unicode MS" w:cs="Arial"/>
                <w:bCs/>
                <w:color w:val="0000FF"/>
                <w:sz w:val="22"/>
                <w:szCs w:val="18"/>
              </w:rPr>
              <w:t>X,XXX</w:t>
            </w:r>
          </w:p>
        </w:tc>
      </w:tr>
      <w:tr w:rsidR="00574A8D" w:rsidRPr="00993B55" w14:paraId="3BC86053" w14:textId="77777777" w:rsidTr="00D112BB">
        <w:trPr>
          <w:gridAfter w:val="1"/>
          <w:wAfter w:w="1343" w:type="dxa"/>
          <w:trHeight w:val="345"/>
        </w:trPr>
        <w:tc>
          <w:tcPr>
            <w:tcW w:w="19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837E41" w14:textId="68BEF478" w:rsidR="00574A8D" w:rsidRPr="00993B55" w:rsidRDefault="00574A8D" w:rsidP="00574A8D">
            <w:pPr>
              <w:widowControl w:val="0"/>
              <w:jc w:val="center"/>
            </w:pPr>
            <w:r>
              <w:rPr>
                <w:rFonts w:cs="Arial"/>
                <w:color w:val="0000FF"/>
                <w:sz w:val="22"/>
                <w:szCs w:val="22"/>
              </w:rPr>
              <w:t>X</w:t>
            </w:r>
            <w:r w:rsidRPr="00C808A6">
              <w:rPr>
                <w:rFonts w:cs="Arial"/>
                <w:color w:val="0000FF"/>
                <w:sz w:val="22"/>
                <w:szCs w:val="22"/>
              </w:rPr>
              <w:t>-</w:t>
            </w:r>
            <w:r>
              <w:rPr>
                <w:rFonts w:cs="Arial"/>
                <w:color w:val="0000FF"/>
                <w:sz w:val="22"/>
                <w:szCs w:val="22"/>
              </w:rPr>
              <w:t>XXXX</w:t>
            </w:r>
            <w:r w:rsidRPr="00C808A6">
              <w:rPr>
                <w:rFonts w:cs="Arial"/>
                <w:color w:val="0000FF"/>
                <w:sz w:val="22"/>
                <w:szCs w:val="22"/>
              </w:rPr>
              <w:t>-</w:t>
            </w:r>
            <w:r>
              <w:rPr>
                <w:rFonts w:cs="Arial"/>
                <w:color w:val="0000FF"/>
                <w:sz w:val="22"/>
                <w:szCs w:val="22"/>
              </w:rPr>
              <w:t>X</w:t>
            </w:r>
            <w:r w:rsidRPr="00C808A6">
              <w:rPr>
                <w:rFonts w:cs="Arial"/>
                <w:color w:val="0000FF"/>
                <w:sz w:val="22"/>
                <w:szCs w:val="22"/>
              </w:rPr>
              <w:t>-</w:t>
            </w:r>
            <w:r>
              <w:rPr>
                <w:rFonts w:cs="Arial"/>
                <w:color w:val="0000FF"/>
                <w:sz w:val="22"/>
                <w:szCs w:val="22"/>
              </w:rPr>
              <w:t>X</w:t>
            </w:r>
          </w:p>
        </w:tc>
        <w:tc>
          <w:tcPr>
            <w:tcW w:w="304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F8F69D2" w14:textId="4F958B40" w:rsidR="00574A8D" w:rsidRPr="00993B55" w:rsidRDefault="00574A8D" w:rsidP="00574A8D">
            <w:pPr>
              <w:widowControl w:val="0"/>
              <w:jc w:val="center"/>
              <w:rPr>
                <w:rFonts w:eastAsia="Arial Unicode MS" w:cs="Arial"/>
                <w:bCs/>
                <w:color w:val="0000FF"/>
                <w:sz w:val="22"/>
                <w:szCs w:val="18"/>
              </w:rPr>
            </w:pPr>
            <w:r w:rsidRPr="00E83341">
              <w:rPr>
                <w:rFonts w:eastAsia="Arial Unicode MS" w:cs="Arial"/>
                <w:bCs/>
                <w:color w:val="0000FF"/>
                <w:sz w:val="22"/>
                <w:szCs w:val="18"/>
              </w:rPr>
              <w:t>X,XXX</w:t>
            </w:r>
          </w:p>
        </w:tc>
        <w:tc>
          <w:tcPr>
            <w:tcW w:w="298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BDB477A" w14:textId="61A46CDE" w:rsidR="00574A8D" w:rsidRPr="00993B55" w:rsidRDefault="00574A8D" w:rsidP="00574A8D">
            <w:pPr>
              <w:widowControl w:val="0"/>
              <w:jc w:val="center"/>
              <w:rPr>
                <w:color w:val="0000FF"/>
                <w:sz w:val="22"/>
                <w:szCs w:val="22"/>
              </w:rPr>
            </w:pPr>
            <w:r w:rsidRPr="00E83341">
              <w:rPr>
                <w:rFonts w:eastAsia="Arial Unicode MS" w:cs="Arial"/>
                <w:bCs/>
                <w:color w:val="0000FF"/>
                <w:sz w:val="22"/>
                <w:szCs w:val="18"/>
              </w:rPr>
              <w:t>X,XXX</w:t>
            </w:r>
          </w:p>
        </w:tc>
        <w:tc>
          <w:tcPr>
            <w:tcW w:w="225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651D0E9" w14:textId="76F24A84" w:rsidR="00574A8D" w:rsidRPr="00993B55" w:rsidRDefault="00574A8D" w:rsidP="00574A8D">
            <w:pPr>
              <w:widowControl w:val="0"/>
              <w:jc w:val="center"/>
              <w:rPr>
                <w:color w:val="0000FF"/>
                <w:sz w:val="22"/>
                <w:szCs w:val="22"/>
              </w:rPr>
            </w:pPr>
            <w:r w:rsidRPr="00E83341">
              <w:rPr>
                <w:rFonts w:eastAsia="Arial Unicode MS" w:cs="Arial"/>
                <w:bCs/>
                <w:color w:val="0000FF"/>
                <w:sz w:val="22"/>
                <w:szCs w:val="18"/>
              </w:rPr>
              <w:t>X,XXX</w:t>
            </w:r>
          </w:p>
        </w:tc>
      </w:tr>
      <w:tr w:rsidR="00574A8D" w:rsidRPr="00993B55" w14:paraId="71E35E89" w14:textId="77777777" w:rsidTr="00D112BB">
        <w:trPr>
          <w:gridAfter w:val="1"/>
          <w:wAfter w:w="1343" w:type="dxa"/>
          <w:trHeight w:val="345"/>
        </w:trPr>
        <w:tc>
          <w:tcPr>
            <w:tcW w:w="19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124165D" w14:textId="4E05583A" w:rsidR="00574A8D" w:rsidRPr="00993B55" w:rsidRDefault="00574A8D" w:rsidP="00574A8D">
            <w:pPr>
              <w:widowControl w:val="0"/>
              <w:jc w:val="center"/>
            </w:pPr>
            <w:r>
              <w:rPr>
                <w:rFonts w:cs="Arial"/>
                <w:color w:val="0000FF"/>
                <w:sz w:val="22"/>
                <w:szCs w:val="22"/>
              </w:rPr>
              <w:t>X</w:t>
            </w:r>
            <w:r w:rsidRPr="00C808A6">
              <w:rPr>
                <w:rFonts w:cs="Arial"/>
                <w:color w:val="0000FF"/>
                <w:sz w:val="22"/>
                <w:szCs w:val="22"/>
              </w:rPr>
              <w:t>-</w:t>
            </w:r>
            <w:r>
              <w:rPr>
                <w:rFonts w:cs="Arial"/>
                <w:color w:val="0000FF"/>
                <w:sz w:val="22"/>
                <w:szCs w:val="22"/>
              </w:rPr>
              <w:t>XXXX</w:t>
            </w:r>
            <w:r w:rsidRPr="00C808A6">
              <w:rPr>
                <w:rFonts w:cs="Arial"/>
                <w:color w:val="0000FF"/>
                <w:sz w:val="22"/>
                <w:szCs w:val="22"/>
              </w:rPr>
              <w:t>-</w:t>
            </w:r>
            <w:r>
              <w:rPr>
                <w:rFonts w:cs="Arial"/>
                <w:color w:val="0000FF"/>
                <w:sz w:val="22"/>
                <w:szCs w:val="22"/>
              </w:rPr>
              <w:t>X</w:t>
            </w:r>
            <w:r w:rsidRPr="00C808A6">
              <w:rPr>
                <w:rFonts w:cs="Arial"/>
                <w:color w:val="0000FF"/>
                <w:sz w:val="22"/>
                <w:szCs w:val="22"/>
              </w:rPr>
              <w:t>-</w:t>
            </w:r>
            <w:r>
              <w:rPr>
                <w:rFonts w:cs="Arial"/>
                <w:color w:val="0000FF"/>
                <w:sz w:val="22"/>
                <w:szCs w:val="22"/>
              </w:rPr>
              <w:t>X</w:t>
            </w:r>
          </w:p>
        </w:tc>
        <w:tc>
          <w:tcPr>
            <w:tcW w:w="304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07AA8D4" w14:textId="014CCEF3" w:rsidR="00574A8D" w:rsidRPr="00993B55" w:rsidRDefault="00574A8D" w:rsidP="00574A8D">
            <w:pPr>
              <w:widowControl w:val="0"/>
              <w:jc w:val="center"/>
              <w:rPr>
                <w:rFonts w:eastAsia="Arial Unicode MS" w:cs="Arial"/>
                <w:bCs/>
                <w:color w:val="0000FF"/>
                <w:sz w:val="22"/>
                <w:szCs w:val="18"/>
              </w:rPr>
            </w:pPr>
            <w:r w:rsidRPr="00E83341">
              <w:rPr>
                <w:rFonts w:eastAsia="Arial Unicode MS" w:cs="Arial"/>
                <w:bCs/>
                <w:color w:val="0000FF"/>
                <w:sz w:val="22"/>
                <w:szCs w:val="18"/>
              </w:rPr>
              <w:t>X,XXX</w:t>
            </w:r>
          </w:p>
        </w:tc>
        <w:tc>
          <w:tcPr>
            <w:tcW w:w="298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CABABF3" w14:textId="30ECADB6" w:rsidR="00574A8D" w:rsidRPr="00993B55" w:rsidRDefault="00574A8D" w:rsidP="00574A8D">
            <w:pPr>
              <w:widowControl w:val="0"/>
              <w:jc w:val="center"/>
              <w:rPr>
                <w:color w:val="0000FF"/>
                <w:sz w:val="22"/>
                <w:szCs w:val="22"/>
              </w:rPr>
            </w:pPr>
            <w:r w:rsidRPr="00E83341">
              <w:rPr>
                <w:rFonts w:eastAsia="Arial Unicode MS" w:cs="Arial"/>
                <w:bCs/>
                <w:color w:val="0000FF"/>
                <w:sz w:val="22"/>
                <w:szCs w:val="18"/>
              </w:rPr>
              <w:t>X,XXX</w:t>
            </w:r>
          </w:p>
        </w:tc>
        <w:tc>
          <w:tcPr>
            <w:tcW w:w="225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0F06871" w14:textId="2436B456" w:rsidR="00574A8D" w:rsidRPr="00993B55" w:rsidRDefault="00574A8D" w:rsidP="00574A8D">
            <w:pPr>
              <w:widowControl w:val="0"/>
              <w:jc w:val="center"/>
              <w:rPr>
                <w:color w:val="0000FF"/>
                <w:sz w:val="22"/>
                <w:szCs w:val="22"/>
              </w:rPr>
            </w:pPr>
            <w:r w:rsidRPr="00E83341">
              <w:rPr>
                <w:rFonts w:eastAsia="Arial Unicode MS" w:cs="Arial"/>
                <w:bCs/>
                <w:color w:val="0000FF"/>
                <w:sz w:val="22"/>
                <w:szCs w:val="18"/>
              </w:rPr>
              <w:t>X,XXX</w:t>
            </w:r>
          </w:p>
        </w:tc>
      </w:tr>
      <w:tr w:rsidR="002578EE" w:rsidRPr="00993B55" w14:paraId="4491875C" w14:textId="77777777" w:rsidTr="00D112BB">
        <w:trPr>
          <w:trHeight w:val="345"/>
        </w:trPr>
        <w:tc>
          <w:tcPr>
            <w:tcW w:w="1995" w:type="dxa"/>
            <w:tcBorders>
              <w:top w:val="nil"/>
              <w:left w:val="nil"/>
              <w:bottom w:val="nil"/>
              <w:right w:val="nil"/>
            </w:tcBorders>
            <w:shd w:val="clear" w:color="auto" w:fill="auto"/>
            <w:noWrap/>
            <w:tcMar>
              <w:top w:w="15" w:type="dxa"/>
              <w:left w:w="15" w:type="dxa"/>
              <w:bottom w:w="0" w:type="dxa"/>
              <w:right w:w="15" w:type="dxa"/>
            </w:tcMar>
            <w:vAlign w:val="center"/>
          </w:tcPr>
          <w:p w14:paraId="3AAEA368" w14:textId="77777777" w:rsidR="002578EE" w:rsidRPr="00993B55" w:rsidRDefault="002578EE" w:rsidP="007A60F3">
            <w:pPr>
              <w:widowControl w:val="0"/>
              <w:jc w:val="center"/>
              <w:rPr>
                <w:rFonts w:eastAsia="Arial Unicode MS" w:cs="Arial"/>
                <w:b/>
                <w:bCs/>
                <w:sz w:val="22"/>
                <w:szCs w:val="18"/>
              </w:rPr>
            </w:pPr>
          </w:p>
        </w:tc>
        <w:tc>
          <w:tcPr>
            <w:tcW w:w="6030"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58BFAD83" w14:textId="55B0736A" w:rsidR="002578EE" w:rsidRPr="00993B55" w:rsidRDefault="002578EE" w:rsidP="007A60F3">
            <w:pPr>
              <w:widowControl w:val="0"/>
              <w:jc w:val="right"/>
              <w:rPr>
                <w:rFonts w:eastAsia="Arial Unicode MS" w:cs="Arial"/>
                <w:b/>
                <w:bCs/>
                <w:sz w:val="22"/>
                <w:szCs w:val="18"/>
              </w:rPr>
            </w:pPr>
            <w:r w:rsidRPr="00993B55">
              <w:rPr>
                <w:rFonts w:ascii="AauxPro OT Regular" w:hAnsi="AauxPro OT Regular"/>
                <w:b/>
                <w:color w:val="000000" w:themeColor="text1"/>
                <w:szCs w:val="24"/>
              </w:rPr>
              <w:t>∑</w:t>
            </w:r>
            <w:r w:rsidRPr="00993B55">
              <w:rPr>
                <w:rFonts w:cs="Arial"/>
                <w:b/>
                <w:bCs/>
                <w:sz w:val="22"/>
                <w:szCs w:val="18"/>
              </w:rPr>
              <w:t xml:space="preserve">(PE2 – </w:t>
            </w:r>
            <w:r w:rsidR="00B5645B">
              <w:rPr>
                <w:rFonts w:cs="Arial"/>
                <w:b/>
                <w:bCs/>
                <w:sz w:val="22"/>
                <w:szCs w:val="18"/>
              </w:rPr>
              <w:t>FB</w:t>
            </w:r>
            <w:r w:rsidRPr="00993B55">
              <w:rPr>
                <w:rFonts w:cs="Arial"/>
                <w:b/>
                <w:bCs/>
                <w:sz w:val="22"/>
                <w:szCs w:val="18"/>
              </w:rPr>
              <w:t>E) (lb/year):</w:t>
            </w:r>
          </w:p>
        </w:tc>
        <w:tc>
          <w:tcPr>
            <w:tcW w:w="22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C706789" w14:textId="262CB9EE" w:rsidR="002578EE" w:rsidRPr="00993B55" w:rsidRDefault="00574A8D" w:rsidP="007A60F3">
            <w:pPr>
              <w:widowControl w:val="0"/>
              <w:jc w:val="center"/>
            </w:pPr>
            <w:r w:rsidRPr="00DB1CC3">
              <w:rPr>
                <w:rFonts w:eastAsia="Arial Unicode MS" w:cs="Arial"/>
                <w:b/>
                <w:color w:val="0000FF"/>
                <w:sz w:val="22"/>
                <w:szCs w:val="18"/>
              </w:rPr>
              <w:t>X,XXX</w:t>
            </w:r>
          </w:p>
        </w:tc>
        <w:tc>
          <w:tcPr>
            <w:tcW w:w="1343" w:type="dxa"/>
            <w:vAlign w:val="center"/>
          </w:tcPr>
          <w:p w14:paraId="0F40D0A8" w14:textId="77777777" w:rsidR="002578EE" w:rsidRPr="00993B55" w:rsidRDefault="002578EE" w:rsidP="007A60F3">
            <w:pPr>
              <w:widowControl w:val="0"/>
            </w:pPr>
          </w:p>
        </w:tc>
      </w:tr>
      <w:tr w:rsidR="002578EE" w:rsidRPr="00993B55" w14:paraId="06360E61" w14:textId="77777777" w:rsidTr="00D112BB">
        <w:trPr>
          <w:gridAfter w:val="1"/>
          <w:wAfter w:w="1343" w:type="dxa"/>
          <w:trHeight w:val="345"/>
        </w:trPr>
        <w:tc>
          <w:tcPr>
            <w:tcW w:w="1995" w:type="dxa"/>
            <w:tcBorders>
              <w:top w:val="nil"/>
              <w:left w:val="nil"/>
              <w:bottom w:val="nil"/>
              <w:right w:val="nil"/>
            </w:tcBorders>
            <w:shd w:val="clear" w:color="auto" w:fill="auto"/>
            <w:noWrap/>
            <w:tcMar>
              <w:top w:w="15" w:type="dxa"/>
              <w:left w:w="15" w:type="dxa"/>
              <w:bottom w:w="0" w:type="dxa"/>
              <w:right w:w="15" w:type="dxa"/>
            </w:tcMar>
            <w:vAlign w:val="center"/>
          </w:tcPr>
          <w:p w14:paraId="1E02B575" w14:textId="77777777" w:rsidR="002578EE" w:rsidRPr="00993B55" w:rsidRDefault="002578EE" w:rsidP="007A60F3">
            <w:pPr>
              <w:widowControl w:val="0"/>
              <w:jc w:val="center"/>
              <w:rPr>
                <w:rFonts w:eastAsia="Arial Unicode MS" w:cs="Arial"/>
                <w:b/>
                <w:bCs/>
                <w:sz w:val="22"/>
                <w:szCs w:val="18"/>
              </w:rPr>
            </w:pPr>
          </w:p>
        </w:tc>
        <w:tc>
          <w:tcPr>
            <w:tcW w:w="6030"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68F80598" w14:textId="6D4892C8" w:rsidR="002578EE" w:rsidRPr="00993B55" w:rsidRDefault="002578EE" w:rsidP="007A60F3">
            <w:pPr>
              <w:widowControl w:val="0"/>
              <w:jc w:val="right"/>
              <w:rPr>
                <w:rFonts w:eastAsia="Arial Unicode MS" w:cs="Arial"/>
                <w:b/>
                <w:bCs/>
                <w:sz w:val="22"/>
                <w:szCs w:val="18"/>
              </w:rPr>
            </w:pPr>
            <w:r w:rsidRPr="00993B55">
              <w:rPr>
                <w:rFonts w:cs="Arial"/>
                <w:b/>
                <w:bCs/>
                <w:sz w:val="22"/>
                <w:szCs w:val="18"/>
              </w:rPr>
              <w:t xml:space="preserve">Federal Offset Quantity (lb/year): </w:t>
            </w:r>
            <w:r w:rsidRPr="00993B55">
              <w:rPr>
                <w:rFonts w:ascii="AauxPro OT Regular" w:hAnsi="AauxPro OT Regular"/>
                <w:b/>
                <w:color w:val="000000" w:themeColor="text1"/>
                <w:szCs w:val="24"/>
              </w:rPr>
              <w:t>∑</w:t>
            </w:r>
            <w:r w:rsidRPr="00993B55">
              <w:rPr>
                <w:rFonts w:cs="Arial"/>
                <w:b/>
                <w:bCs/>
                <w:sz w:val="22"/>
                <w:szCs w:val="18"/>
              </w:rPr>
              <w:t xml:space="preserve">(PE2 – </w:t>
            </w:r>
            <w:r w:rsidR="00B5645B">
              <w:rPr>
                <w:rFonts w:cs="Arial"/>
                <w:b/>
                <w:bCs/>
                <w:sz w:val="22"/>
                <w:szCs w:val="18"/>
              </w:rPr>
              <w:t>FB</w:t>
            </w:r>
            <w:r w:rsidRPr="00993B55">
              <w:rPr>
                <w:rFonts w:cs="Arial"/>
                <w:b/>
                <w:bCs/>
                <w:sz w:val="22"/>
                <w:szCs w:val="18"/>
              </w:rPr>
              <w:t xml:space="preserve">E) x </w:t>
            </w:r>
            <w:r w:rsidRPr="00574A8D">
              <w:rPr>
                <w:rFonts w:cs="Arial"/>
                <w:b/>
                <w:bCs/>
                <w:color w:val="0000FF"/>
                <w:sz w:val="22"/>
                <w:szCs w:val="18"/>
              </w:rPr>
              <w:t>1.0</w:t>
            </w:r>
          </w:p>
        </w:tc>
        <w:tc>
          <w:tcPr>
            <w:tcW w:w="2250" w:type="dxa"/>
            <w:tcBorders>
              <w:top w:val="nil"/>
              <w:left w:val="single" w:sz="4" w:space="0" w:color="auto"/>
              <w:bottom w:val="nil"/>
              <w:right w:val="single" w:sz="4" w:space="0" w:color="auto"/>
            </w:tcBorders>
            <w:noWrap/>
            <w:tcMar>
              <w:top w:w="15" w:type="dxa"/>
              <w:left w:w="15" w:type="dxa"/>
              <w:bottom w:w="0" w:type="dxa"/>
              <w:right w:w="15" w:type="dxa"/>
            </w:tcMar>
            <w:vAlign w:val="center"/>
          </w:tcPr>
          <w:p w14:paraId="0DFB8BFD" w14:textId="2FFD7EF2" w:rsidR="002578EE" w:rsidRPr="00993B55" w:rsidRDefault="00574A8D" w:rsidP="007A60F3">
            <w:pPr>
              <w:widowControl w:val="0"/>
              <w:jc w:val="center"/>
            </w:pPr>
            <w:r w:rsidRPr="00DB1CC3">
              <w:rPr>
                <w:rFonts w:eastAsia="Arial Unicode MS" w:cs="Arial"/>
                <w:b/>
                <w:color w:val="0000FF"/>
                <w:sz w:val="22"/>
                <w:szCs w:val="18"/>
              </w:rPr>
              <w:t>X,XXX</w:t>
            </w:r>
          </w:p>
        </w:tc>
      </w:tr>
      <w:tr w:rsidR="002578EE" w:rsidRPr="00993B55" w14:paraId="5C438B9D" w14:textId="77777777" w:rsidTr="00D112BB">
        <w:trPr>
          <w:gridAfter w:val="1"/>
          <w:wAfter w:w="1343" w:type="dxa"/>
          <w:trHeight w:val="345"/>
        </w:trPr>
        <w:tc>
          <w:tcPr>
            <w:tcW w:w="8025" w:type="dxa"/>
            <w:gridSpan w:val="3"/>
            <w:tcBorders>
              <w:top w:val="nil"/>
              <w:left w:val="nil"/>
              <w:bottom w:val="nil"/>
              <w:right w:val="nil"/>
            </w:tcBorders>
            <w:shd w:val="clear" w:color="auto" w:fill="auto"/>
            <w:noWrap/>
            <w:tcMar>
              <w:top w:w="15" w:type="dxa"/>
              <w:left w:w="15" w:type="dxa"/>
              <w:bottom w:w="0" w:type="dxa"/>
              <w:right w:w="15" w:type="dxa"/>
            </w:tcMar>
            <w:vAlign w:val="center"/>
          </w:tcPr>
          <w:p w14:paraId="62D24BD2" w14:textId="1433E45E" w:rsidR="002578EE" w:rsidRPr="00993B55" w:rsidRDefault="002578EE" w:rsidP="007A60F3">
            <w:pPr>
              <w:widowControl w:val="0"/>
              <w:jc w:val="right"/>
              <w:rPr>
                <w:rFonts w:cs="Arial"/>
                <w:b/>
                <w:bCs/>
                <w:sz w:val="22"/>
                <w:szCs w:val="18"/>
              </w:rPr>
            </w:pPr>
            <w:r w:rsidRPr="00993B55">
              <w:rPr>
                <w:rFonts w:cs="Arial"/>
                <w:b/>
                <w:bCs/>
                <w:sz w:val="22"/>
                <w:szCs w:val="18"/>
              </w:rPr>
              <w:t xml:space="preserve">Federal Offset Quantity (tons/year): </w:t>
            </w:r>
            <w:r w:rsidRPr="00993B55">
              <w:rPr>
                <w:rFonts w:ascii="AauxPro OT Regular" w:hAnsi="AauxPro OT Regular"/>
                <w:b/>
                <w:color w:val="000000" w:themeColor="text1"/>
                <w:szCs w:val="24"/>
              </w:rPr>
              <w:t>∑</w:t>
            </w:r>
            <w:r w:rsidRPr="00993B55">
              <w:rPr>
                <w:rFonts w:cs="Arial"/>
                <w:b/>
                <w:bCs/>
                <w:sz w:val="22"/>
                <w:szCs w:val="18"/>
              </w:rPr>
              <w:t xml:space="preserve">(PE2 – </w:t>
            </w:r>
            <w:r w:rsidR="00B5645B">
              <w:rPr>
                <w:rFonts w:cs="Arial"/>
                <w:b/>
                <w:bCs/>
                <w:sz w:val="22"/>
                <w:szCs w:val="18"/>
              </w:rPr>
              <w:t>FB</w:t>
            </w:r>
            <w:r w:rsidRPr="00993B55">
              <w:rPr>
                <w:rFonts w:cs="Arial"/>
                <w:b/>
                <w:bCs/>
                <w:sz w:val="22"/>
                <w:szCs w:val="18"/>
              </w:rPr>
              <w:t xml:space="preserve">E) x </w:t>
            </w:r>
            <w:r w:rsidRPr="00574A8D">
              <w:rPr>
                <w:rFonts w:cs="Arial"/>
                <w:b/>
                <w:bCs/>
                <w:color w:val="0000FF"/>
                <w:sz w:val="22"/>
                <w:szCs w:val="18"/>
              </w:rPr>
              <w:t xml:space="preserve">1.0 </w:t>
            </w:r>
            <w:r w:rsidRPr="00993B55">
              <w:rPr>
                <w:rFonts w:cs="Arial"/>
                <w:b/>
                <w:bCs/>
                <w:sz w:val="22"/>
                <w:szCs w:val="18"/>
              </w:rPr>
              <w:t>÷ 2,000</w:t>
            </w:r>
          </w:p>
        </w:tc>
        <w:tc>
          <w:tcPr>
            <w:tcW w:w="22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8B3940D" w14:textId="192CD984" w:rsidR="002578EE" w:rsidRPr="00993B55" w:rsidRDefault="00574A8D" w:rsidP="007A60F3">
            <w:pPr>
              <w:widowControl w:val="0"/>
              <w:jc w:val="center"/>
              <w:rPr>
                <w:rFonts w:cs="Arial"/>
                <w:b/>
                <w:bCs/>
                <w:sz w:val="22"/>
                <w:szCs w:val="18"/>
              </w:rPr>
            </w:pPr>
            <w:r w:rsidRPr="00DB1CC3">
              <w:rPr>
                <w:rFonts w:eastAsia="Arial Unicode MS" w:cs="Arial"/>
                <w:b/>
                <w:color w:val="0000FF"/>
                <w:sz w:val="22"/>
                <w:szCs w:val="18"/>
              </w:rPr>
              <w:t>X,XXX</w:t>
            </w:r>
          </w:p>
        </w:tc>
      </w:tr>
    </w:tbl>
    <w:p w14:paraId="264FFE86" w14:textId="77777777" w:rsidR="002578EE" w:rsidRPr="00993B55" w:rsidRDefault="002578EE" w:rsidP="007A60F3">
      <w:pPr>
        <w:widowControl w:val="0"/>
        <w:ind w:left="540"/>
      </w:pPr>
    </w:p>
    <w:p w14:paraId="65E41127" w14:textId="77777777" w:rsidR="002578EE" w:rsidRPr="00993B55" w:rsidRDefault="002578EE" w:rsidP="007A60F3">
      <w:pPr>
        <w:widowControl w:val="0"/>
        <w:ind w:left="540"/>
      </w:pPr>
    </w:p>
    <w:tbl>
      <w:tblPr>
        <w:tblW w:w="11618" w:type="dxa"/>
        <w:tblCellMar>
          <w:left w:w="0" w:type="dxa"/>
          <w:right w:w="0" w:type="dxa"/>
        </w:tblCellMar>
        <w:tblLook w:val="0000" w:firstRow="0" w:lastRow="0" w:firstColumn="0" w:lastColumn="0" w:noHBand="0" w:noVBand="0"/>
      </w:tblPr>
      <w:tblGrid>
        <w:gridCol w:w="1995"/>
        <w:gridCol w:w="3135"/>
        <w:gridCol w:w="2895"/>
        <w:gridCol w:w="2250"/>
        <w:gridCol w:w="1343"/>
      </w:tblGrid>
      <w:tr w:rsidR="002578EE" w:rsidRPr="00993B55" w14:paraId="31534E2F" w14:textId="77777777" w:rsidTr="00D112BB">
        <w:trPr>
          <w:gridAfter w:val="1"/>
          <w:wAfter w:w="1343" w:type="dxa"/>
          <w:trHeight w:val="255"/>
        </w:trPr>
        <w:tc>
          <w:tcPr>
            <w:tcW w:w="1995" w:type="dxa"/>
            <w:tcBorders>
              <w:top w:val="nil"/>
              <w:left w:val="nil"/>
              <w:bottom w:val="single" w:sz="4" w:space="0" w:color="auto"/>
              <w:right w:val="nil"/>
            </w:tcBorders>
            <w:noWrap/>
            <w:tcMar>
              <w:top w:w="15" w:type="dxa"/>
              <w:left w:w="15" w:type="dxa"/>
              <w:bottom w:w="0" w:type="dxa"/>
              <w:right w:w="15" w:type="dxa"/>
            </w:tcMar>
            <w:vAlign w:val="center"/>
          </w:tcPr>
          <w:p w14:paraId="7972E107" w14:textId="77777777" w:rsidR="002578EE" w:rsidRPr="00993B55" w:rsidRDefault="002578EE" w:rsidP="007A60F3">
            <w:pPr>
              <w:widowControl w:val="0"/>
              <w:rPr>
                <w:rFonts w:eastAsia="Arial Unicode MS" w:cs="Arial"/>
                <w:b/>
                <w:bCs/>
                <w:sz w:val="22"/>
                <w:szCs w:val="18"/>
              </w:rPr>
            </w:pPr>
            <w:r w:rsidRPr="00993B55">
              <w:rPr>
                <w:rFonts w:cs="Arial"/>
                <w:b/>
                <w:bCs/>
                <w:sz w:val="22"/>
                <w:szCs w:val="18"/>
              </w:rPr>
              <w:t>VOC</w:t>
            </w:r>
          </w:p>
        </w:tc>
        <w:tc>
          <w:tcPr>
            <w:tcW w:w="3135" w:type="dxa"/>
            <w:tcBorders>
              <w:top w:val="nil"/>
              <w:left w:val="nil"/>
              <w:bottom w:val="single" w:sz="4" w:space="0" w:color="auto"/>
              <w:right w:val="nil"/>
            </w:tcBorders>
            <w:noWrap/>
            <w:tcMar>
              <w:top w:w="15" w:type="dxa"/>
              <w:left w:w="15" w:type="dxa"/>
              <w:bottom w:w="0" w:type="dxa"/>
              <w:right w:w="15" w:type="dxa"/>
            </w:tcMar>
            <w:vAlign w:val="center"/>
          </w:tcPr>
          <w:p w14:paraId="472FBDE8" w14:textId="77777777" w:rsidR="002578EE" w:rsidRPr="00993B55" w:rsidRDefault="002578EE" w:rsidP="007A60F3">
            <w:pPr>
              <w:widowControl w:val="0"/>
              <w:jc w:val="center"/>
              <w:rPr>
                <w:rFonts w:eastAsia="Arial Unicode MS" w:cs="Arial"/>
                <w:sz w:val="22"/>
                <w:szCs w:val="18"/>
              </w:rPr>
            </w:pPr>
          </w:p>
        </w:tc>
        <w:tc>
          <w:tcPr>
            <w:tcW w:w="2895" w:type="dxa"/>
            <w:tcBorders>
              <w:top w:val="nil"/>
              <w:left w:val="nil"/>
              <w:bottom w:val="single" w:sz="4" w:space="0" w:color="auto"/>
              <w:right w:val="nil"/>
            </w:tcBorders>
            <w:noWrap/>
            <w:tcMar>
              <w:top w:w="15" w:type="dxa"/>
              <w:left w:w="15" w:type="dxa"/>
              <w:bottom w:w="0" w:type="dxa"/>
              <w:right w:w="15" w:type="dxa"/>
            </w:tcMar>
            <w:vAlign w:val="center"/>
          </w:tcPr>
          <w:p w14:paraId="0D954A92" w14:textId="25CC983B" w:rsidR="002578EE" w:rsidRPr="00993B55" w:rsidRDefault="002578EE" w:rsidP="007A60F3">
            <w:pPr>
              <w:widowControl w:val="0"/>
              <w:jc w:val="right"/>
              <w:rPr>
                <w:rFonts w:eastAsia="Arial Unicode MS" w:cs="Arial"/>
                <w:b/>
                <w:bCs/>
                <w:sz w:val="22"/>
                <w:szCs w:val="18"/>
              </w:rPr>
            </w:pPr>
            <w:r w:rsidRPr="00993B55">
              <w:rPr>
                <w:rFonts w:cs="Arial"/>
                <w:b/>
                <w:bCs/>
                <w:sz w:val="22"/>
                <w:szCs w:val="18"/>
              </w:rPr>
              <w:t>Offset Ratio</w:t>
            </w:r>
          </w:p>
        </w:tc>
        <w:tc>
          <w:tcPr>
            <w:tcW w:w="2250" w:type="dxa"/>
            <w:tcBorders>
              <w:top w:val="nil"/>
              <w:left w:val="nil"/>
              <w:bottom w:val="single" w:sz="4" w:space="0" w:color="auto"/>
              <w:right w:val="nil"/>
            </w:tcBorders>
            <w:noWrap/>
            <w:tcMar>
              <w:top w:w="15" w:type="dxa"/>
              <w:left w:w="15" w:type="dxa"/>
              <w:bottom w:w="0" w:type="dxa"/>
              <w:right w:w="15" w:type="dxa"/>
            </w:tcMar>
            <w:vAlign w:val="center"/>
          </w:tcPr>
          <w:p w14:paraId="335A7BFC" w14:textId="77777777" w:rsidR="002578EE" w:rsidRPr="00993B55" w:rsidRDefault="002578EE" w:rsidP="007A60F3">
            <w:pPr>
              <w:widowControl w:val="0"/>
              <w:jc w:val="center"/>
              <w:rPr>
                <w:rFonts w:eastAsia="Arial Unicode MS" w:cs="Arial"/>
                <w:b/>
                <w:bCs/>
                <w:sz w:val="22"/>
                <w:szCs w:val="18"/>
              </w:rPr>
            </w:pPr>
            <w:r w:rsidRPr="00574A8D">
              <w:rPr>
                <w:rFonts w:cs="Arial"/>
                <w:b/>
                <w:bCs/>
                <w:color w:val="0000FF"/>
                <w:sz w:val="22"/>
                <w:szCs w:val="18"/>
              </w:rPr>
              <w:t>1.5</w:t>
            </w:r>
          </w:p>
        </w:tc>
      </w:tr>
      <w:tr w:rsidR="002578EE" w:rsidRPr="00993B55" w14:paraId="3341946D" w14:textId="77777777" w:rsidTr="00505E9F">
        <w:trPr>
          <w:gridAfter w:val="1"/>
          <w:wAfter w:w="1343" w:type="dxa"/>
          <w:trHeight w:val="830"/>
        </w:trPr>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63EB4088" w14:textId="77777777" w:rsidR="002578EE" w:rsidRPr="00993B55" w:rsidRDefault="002578EE" w:rsidP="007A60F3">
            <w:pPr>
              <w:widowControl w:val="0"/>
              <w:jc w:val="center"/>
              <w:rPr>
                <w:rFonts w:eastAsia="Arial Unicode MS" w:cs="Arial"/>
                <w:b/>
                <w:bCs/>
                <w:sz w:val="22"/>
                <w:szCs w:val="18"/>
              </w:rPr>
            </w:pPr>
            <w:r w:rsidRPr="00993B55">
              <w:rPr>
                <w:rFonts w:cs="Arial"/>
                <w:b/>
                <w:bCs/>
                <w:sz w:val="22"/>
                <w:szCs w:val="18"/>
              </w:rPr>
              <w:t>Permit No.</w:t>
            </w:r>
          </w:p>
        </w:tc>
        <w:tc>
          <w:tcPr>
            <w:tcW w:w="3135" w:type="dxa"/>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53178AFB" w14:textId="77777777" w:rsidR="002578EE" w:rsidRPr="00993B55" w:rsidRDefault="002578EE" w:rsidP="007A60F3">
            <w:pPr>
              <w:widowControl w:val="0"/>
              <w:jc w:val="center"/>
              <w:rPr>
                <w:rFonts w:cs="Arial"/>
                <w:b/>
                <w:bCs/>
                <w:sz w:val="22"/>
                <w:szCs w:val="18"/>
              </w:rPr>
            </w:pPr>
            <w:r w:rsidRPr="00993B55">
              <w:rPr>
                <w:rFonts w:cs="Arial"/>
                <w:b/>
                <w:bCs/>
                <w:sz w:val="22"/>
                <w:szCs w:val="18"/>
              </w:rPr>
              <w:t xml:space="preserve">Post-Project </w:t>
            </w:r>
          </w:p>
          <w:p w14:paraId="493B9666" w14:textId="77777777" w:rsidR="002578EE" w:rsidRPr="00993B55" w:rsidRDefault="002578EE" w:rsidP="007A60F3">
            <w:pPr>
              <w:widowControl w:val="0"/>
              <w:jc w:val="center"/>
              <w:rPr>
                <w:rFonts w:cs="Arial"/>
                <w:b/>
                <w:bCs/>
                <w:sz w:val="22"/>
                <w:szCs w:val="18"/>
              </w:rPr>
            </w:pPr>
            <w:r w:rsidRPr="00993B55">
              <w:rPr>
                <w:rFonts w:cs="Arial"/>
                <w:b/>
                <w:bCs/>
                <w:sz w:val="22"/>
                <w:szCs w:val="18"/>
              </w:rPr>
              <w:t>Potential to Emit (PE2)</w:t>
            </w:r>
          </w:p>
          <w:p w14:paraId="0E05B162" w14:textId="77777777" w:rsidR="002578EE" w:rsidRPr="00993B55" w:rsidRDefault="002578EE" w:rsidP="007A60F3">
            <w:pPr>
              <w:widowControl w:val="0"/>
              <w:jc w:val="center"/>
              <w:rPr>
                <w:rFonts w:eastAsia="Arial Unicode MS" w:cs="Arial"/>
                <w:b/>
                <w:bCs/>
                <w:sz w:val="22"/>
                <w:szCs w:val="18"/>
              </w:rPr>
            </w:pPr>
            <w:r w:rsidRPr="00993B55">
              <w:rPr>
                <w:rFonts w:cs="Arial"/>
                <w:b/>
                <w:bCs/>
                <w:sz w:val="22"/>
                <w:szCs w:val="18"/>
              </w:rPr>
              <w:t>(lb/year)</w:t>
            </w:r>
          </w:p>
        </w:tc>
        <w:tc>
          <w:tcPr>
            <w:tcW w:w="2895" w:type="dxa"/>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0B72A66A" w14:textId="34F8DE1C" w:rsidR="002578EE" w:rsidRPr="00993B55" w:rsidRDefault="00B5645B" w:rsidP="007A60F3">
            <w:pPr>
              <w:widowControl w:val="0"/>
              <w:jc w:val="center"/>
              <w:rPr>
                <w:rFonts w:cs="Arial"/>
                <w:b/>
                <w:bCs/>
                <w:sz w:val="22"/>
                <w:szCs w:val="18"/>
              </w:rPr>
            </w:pPr>
            <w:r>
              <w:rPr>
                <w:rFonts w:cs="Arial"/>
                <w:b/>
                <w:bCs/>
                <w:sz w:val="22"/>
                <w:szCs w:val="18"/>
              </w:rPr>
              <w:t>Federal Baseline</w:t>
            </w:r>
            <w:r w:rsidRPr="00993B55">
              <w:rPr>
                <w:rFonts w:cs="Arial"/>
                <w:b/>
                <w:bCs/>
                <w:sz w:val="22"/>
                <w:szCs w:val="18"/>
              </w:rPr>
              <w:t xml:space="preserve"> </w:t>
            </w:r>
            <w:r w:rsidR="002578EE" w:rsidRPr="00993B55">
              <w:rPr>
                <w:rFonts w:cs="Arial"/>
                <w:b/>
                <w:bCs/>
                <w:sz w:val="22"/>
                <w:szCs w:val="18"/>
              </w:rPr>
              <w:t xml:space="preserve">Emissions </w:t>
            </w:r>
          </w:p>
          <w:p w14:paraId="4866F19F" w14:textId="77777777" w:rsidR="002578EE" w:rsidRPr="00993B55" w:rsidRDefault="002578EE" w:rsidP="007A60F3">
            <w:pPr>
              <w:widowControl w:val="0"/>
              <w:jc w:val="center"/>
              <w:rPr>
                <w:rFonts w:eastAsia="Arial Unicode MS" w:cs="Arial"/>
                <w:b/>
                <w:bCs/>
                <w:sz w:val="22"/>
                <w:szCs w:val="18"/>
              </w:rPr>
            </w:pPr>
            <w:r w:rsidRPr="00993B55">
              <w:rPr>
                <w:rFonts w:cs="Arial"/>
                <w:b/>
                <w:bCs/>
                <w:sz w:val="22"/>
                <w:szCs w:val="18"/>
              </w:rPr>
              <w:t>(lb/year)</w:t>
            </w:r>
          </w:p>
        </w:tc>
        <w:tc>
          <w:tcPr>
            <w:tcW w:w="2250" w:type="dxa"/>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305034AF" w14:textId="77777777" w:rsidR="002578EE" w:rsidRPr="00993B55" w:rsidRDefault="002578EE" w:rsidP="007A60F3">
            <w:pPr>
              <w:widowControl w:val="0"/>
              <w:jc w:val="center"/>
              <w:rPr>
                <w:rFonts w:cs="Arial"/>
                <w:b/>
                <w:bCs/>
                <w:sz w:val="22"/>
                <w:szCs w:val="18"/>
              </w:rPr>
            </w:pPr>
            <w:r w:rsidRPr="00993B55">
              <w:rPr>
                <w:rFonts w:cs="Arial"/>
                <w:b/>
                <w:bCs/>
                <w:sz w:val="22"/>
                <w:szCs w:val="18"/>
              </w:rPr>
              <w:t xml:space="preserve">Emissions Change </w:t>
            </w:r>
          </w:p>
          <w:p w14:paraId="1001E1D6" w14:textId="77777777" w:rsidR="002578EE" w:rsidRPr="00993B55" w:rsidRDefault="002578EE" w:rsidP="007A60F3">
            <w:pPr>
              <w:widowControl w:val="0"/>
              <w:jc w:val="center"/>
              <w:rPr>
                <w:rFonts w:eastAsia="Arial Unicode MS" w:cs="Arial"/>
                <w:b/>
                <w:bCs/>
                <w:sz w:val="22"/>
                <w:szCs w:val="18"/>
              </w:rPr>
            </w:pPr>
            <w:r w:rsidRPr="00993B55">
              <w:rPr>
                <w:rFonts w:cs="Arial"/>
                <w:b/>
                <w:bCs/>
                <w:sz w:val="22"/>
                <w:szCs w:val="18"/>
              </w:rPr>
              <w:t>(lb/yr)</w:t>
            </w:r>
          </w:p>
        </w:tc>
      </w:tr>
      <w:tr w:rsidR="00574A8D" w:rsidRPr="00993B55" w14:paraId="5FC4251D" w14:textId="77777777" w:rsidTr="00D112BB">
        <w:trPr>
          <w:gridAfter w:val="1"/>
          <w:wAfter w:w="1343" w:type="dxa"/>
          <w:trHeight w:val="345"/>
        </w:trPr>
        <w:tc>
          <w:tcPr>
            <w:tcW w:w="19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E7F096" w14:textId="1594D2D6" w:rsidR="00574A8D" w:rsidRPr="00993B55" w:rsidRDefault="00574A8D" w:rsidP="00574A8D">
            <w:pPr>
              <w:widowControl w:val="0"/>
              <w:jc w:val="center"/>
            </w:pPr>
            <w:r>
              <w:rPr>
                <w:rFonts w:cs="Arial"/>
                <w:color w:val="0000FF"/>
                <w:sz w:val="22"/>
                <w:szCs w:val="22"/>
              </w:rPr>
              <w:t>X</w:t>
            </w:r>
            <w:r w:rsidRPr="00C808A6">
              <w:rPr>
                <w:rFonts w:cs="Arial"/>
                <w:color w:val="0000FF"/>
                <w:sz w:val="22"/>
                <w:szCs w:val="22"/>
              </w:rPr>
              <w:t>-</w:t>
            </w:r>
            <w:r>
              <w:rPr>
                <w:rFonts w:cs="Arial"/>
                <w:color w:val="0000FF"/>
                <w:sz w:val="22"/>
                <w:szCs w:val="22"/>
              </w:rPr>
              <w:t>XXXX</w:t>
            </w:r>
            <w:r w:rsidRPr="00C808A6">
              <w:rPr>
                <w:rFonts w:cs="Arial"/>
                <w:color w:val="0000FF"/>
                <w:sz w:val="22"/>
                <w:szCs w:val="22"/>
              </w:rPr>
              <w:t>-</w:t>
            </w:r>
            <w:r>
              <w:rPr>
                <w:rFonts w:cs="Arial"/>
                <w:color w:val="0000FF"/>
                <w:sz w:val="22"/>
                <w:szCs w:val="22"/>
              </w:rPr>
              <w:t>X</w:t>
            </w:r>
            <w:r w:rsidRPr="00C808A6">
              <w:rPr>
                <w:rFonts w:cs="Arial"/>
                <w:color w:val="0000FF"/>
                <w:sz w:val="22"/>
                <w:szCs w:val="22"/>
              </w:rPr>
              <w:t>-</w:t>
            </w:r>
            <w:r>
              <w:rPr>
                <w:rFonts w:cs="Arial"/>
                <w:color w:val="0000FF"/>
                <w:sz w:val="22"/>
                <w:szCs w:val="22"/>
              </w:rPr>
              <w:t>X</w:t>
            </w:r>
          </w:p>
        </w:tc>
        <w:tc>
          <w:tcPr>
            <w:tcW w:w="313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E05A646" w14:textId="226D7B7F" w:rsidR="00574A8D" w:rsidRPr="00993B55" w:rsidRDefault="00574A8D" w:rsidP="00574A8D">
            <w:pPr>
              <w:widowControl w:val="0"/>
              <w:jc w:val="center"/>
              <w:rPr>
                <w:rFonts w:eastAsia="Arial Unicode MS" w:cs="Arial"/>
                <w:bCs/>
                <w:color w:val="0000FF"/>
                <w:sz w:val="22"/>
                <w:szCs w:val="18"/>
              </w:rPr>
            </w:pPr>
            <w:r w:rsidRPr="00E83341">
              <w:rPr>
                <w:rFonts w:eastAsia="Arial Unicode MS" w:cs="Arial"/>
                <w:bCs/>
                <w:color w:val="0000FF"/>
                <w:sz w:val="22"/>
                <w:szCs w:val="18"/>
              </w:rPr>
              <w:t>X,XXX</w:t>
            </w:r>
          </w:p>
        </w:tc>
        <w:tc>
          <w:tcPr>
            <w:tcW w:w="289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9C8A7F8" w14:textId="4D348F11" w:rsidR="00574A8D" w:rsidRPr="00993B55" w:rsidRDefault="00574A8D" w:rsidP="00574A8D">
            <w:pPr>
              <w:widowControl w:val="0"/>
              <w:jc w:val="center"/>
              <w:rPr>
                <w:color w:val="0000FF"/>
                <w:sz w:val="22"/>
                <w:szCs w:val="22"/>
              </w:rPr>
            </w:pPr>
            <w:r w:rsidRPr="00E83341">
              <w:rPr>
                <w:rFonts w:eastAsia="Arial Unicode MS" w:cs="Arial"/>
                <w:bCs/>
                <w:color w:val="0000FF"/>
                <w:sz w:val="22"/>
                <w:szCs w:val="18"/>
              </w:rPr>
              <w:t>X,XXX</w:t>
            </w:r>
          </w:p>
        </w:tc>
        <w:tc>
          <w:tcPr>
            <w:tcW w:w="225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E09515" w14:textId="57782AEA" w:rsidR="00574A8D" w:rsidRPr="00993B55" w:rsidRDefault="00574A8D" w:rsidP="00574A8D">
            <w:pPr>
              <w:widowControl w:val="0"/>
              <w:jc w:val="center"/>
              <w:rPr>
                <w:color w:val="0000FF"/>
                <w:sz w:val="22"/>
                <w:szCs w:val="22"/>
              </w:rPr>
            </w:pPr>
            <w:r w:rsidRPr="00E83341">
              <w:rPr>
                <w:rFonts w:eastAsia="Arial Unicode MS" w:cs="Arial"/>
                <w:bCs/>
                <w:color w:val="0000FF"/>
                <w:sz w:val="22"/>
                <w:szCs w:val="18"/>
              </w:rPr>
              <w:t>X,XXX</w:t>
            </w:r>
          </w:p>
        </w:tc>
      </w:tr>
      <w:tr w:rsidR="00574A8D" w:rsidRPr="00993B55" w14:paraId="238CD099" w14:textId="77777777" w:rsidTr="00D112BB">
        <w:trPr>
          <w:gridAfter w:val="1"/>
          <w:wAfter w:w="1343" w:type="dxa"/>
          <w:trHeight w:val="345"/>
        </w:trPr>
        <w:tc>
          <w:tcPr>
            <w:tcW w:w="19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D0A540" w14:textId="54D439AC" w:rsidR="00574A8D" w:rsidRPr="00993B55" w:rsidRDefault="00574A8D" w:rsidP="00574A8D">
            <w:pPr>
              <w:widowControl w:val="0"/>
              <w:jc w:val="center"/>
            </w:pPr>
            <w:r>
              <w:rPr>
                <w:rFonts w:cs="Arial"/>
                <w:color w:val="0000FF"/>
                <w:sz w:val="22"/>
                <w:szCs w:val="22"/>
              </w:rPr>
              <w:t>X</w:t>
            </w:r>
            <w:r w:rsidRPr="00C808A6">
              <w:rPr>
                <w:rFonts w:cs="Arial"/>
                <w:color w:val="0000FF"/>
                <w:sz w:val="22"/>
                <w:szCs w:val="22"/>
              </w:rPr>
              <w:t>-</w:t>
            </w:r>
            <w:r>
              <w:rPr>
                <w:rFonts w:cs="Arial"/>
                <w:color w:val="0000FF"/>
                <w:sz w:val="22"/>
                <w:szCs w:val="22"/>
              </w:rPr>
              <w:t>XXXX</w:t>
            </w:r>
            <w:r w:rsidRPr="00C808A6">
              <w:rPr>
                <w:rFonts w:cs="Arial"/>
                <w:color w:val="0000FF"/>
                <w:sz w:val="22"/>
                <w:szCs w:val="22"/>
              </w:rPr>
              <w:t>-</w:t>
            </w:r>
            <w:r>
              <w:rPr>
                <w:rFonts w:cs="Arial"/>
                <w:color w:val="0000FF"/>
                <w:sz w:val="22"/>
                <w:szCs w:val="22"/>
              </w:rPr>
              <w:t>X</w:t>
            </w:r>
            <w:r w:rsidRPr="00C808A6">
              <w:rPr>
                <w:rFonts w:cs="Arial"/>
                <w:color w:val="0000FF"/>
                <w:sz w:val="22"/>
                <w:szCs w:val="22"/>
              </w:rPr>
              <w:t>-</w:t>
            </w:r>
            <w:r>
              <w:rPr>
                <w:rFonts w:cs="Arial"/>
                <w:color w:val="0000FF"/>
                <w:sz w:val="22"/>
                <w:szCs w:val="22"/>
              </w:rPr>
              <w:t>X</w:t>
            </w:r>
          </w:p>
        </w:tc>
        <w:tc>
          <w:tcPr>
            <w:tcW w:w="313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9604851" w14:textId="05ADCAC6" w:rsidR="00574A8D" w:rsidRPr="00993B55" w:rsidRDefault="00574A8D" w:rsidP="00574A8D">
            <w:pPr>
              <w:widowControl w:val="0"/>
              <w:jc w:val="center"/>
              <w:rPr>
                <w:rFonts w:eastAsia="Arial Unicode MS" w:cs="Arial"/>
                <w:bCs/>
                <w:color w:val="0000FF"/>
                <w:sz w:val="22"/>
                <w:szCs w:val="18"/>
              </w:rPr>
            </w:pPr>
            <w:r w:rsidRPr="00E83341">
              <w:rPr>
                <w:rFonts w:eastAsia="Arial Unicode MS" w:cs="Arial"/>
                <w:bCs/>
                <w:color w:val="0000FF"/>
                <w:sz w:val="22"/>
                <w:szCs w:val="18"/>
              </w:rPr>
              <w:t>X,XXX</w:t>
            </w:r>
          </w:p>
        </w:tc>
        <w:tc>
          <w:tcPr>
            <w:tcW w:w="289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DC30A85" w14:textId="3D3C03F0" w:rsidR="00574A8D" w:rsidRPr="00993B55" w:rsidRDefault="00574A8D" w:rsidP="00574A8D">
            <w:pPr>
              <w:widowControl w:val="0"/>
              <w:jc w:val="center"/>
              <w:rPr>
                <w:color w:val="0000FF"/>
                <w:sz w:val="22"/>
                <w:szCs w:val="22"/>
              </w:rPr>
            </w:pPr>
            <w:r w:rsidRPr="00E83341">
              <w:rPr>
                <w:rFonts w:eastAsia="Arial Unicode MS" w:cs="Arial"/>
                <w:bCs/>
                <w:color w:val="0000FF"/>
                <w:sz w:val="22"/>
                <w:szCs w:val="18"/>
              </w:rPr>
              <w:t>X,XXX</w:t>
            </w:r>
          </w:p>
        </w:tc>
        <w:tc>
          <w:tcPr>
            <w:tcW w:w="225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E77588C" w14:textId="57A1432F" w:rsidR="00574A8D" w:rsidRPr="00993B55" w:rsidRDefault="00574A8D" w:rsidP="00574A8D">
            <w:pPr>
              <w:widowControl w:val="0"/>
              <w:jc w:val="center"/>
              <w:rPr>
                <w:color w:val="0000FF"/>
                <w:sz w:val="22"/>
                <w:szCs w:val="22"/>
              </w:rPr>
            </w:pPr>
            <w:r w:rsidRPr="00E83341">
              <w:rPr>
                <w:rFonts w:eastAsia="Arial Unicode MS" w:cs="Arial"/>
                <w:bCs/>
                <w:color w:val="0000FF"/>
                <w:sz w:val="22"/>
                <w:szCs w:val="18"/>
              </w:rPr>
              <w:t>X,XXX</w:t>
            </w:r>
          </w:p>
        </w:tc>
      </w:tr>
      <w:tr w:rsidR="00574A8D" w:rsidRPr="00993B55" w14:paraId="64BEEBBE" w14:textId="77777777" w:rsidTr="00D112BB">
        <w:trPr>
          <w:gridAfter w:val="1"/>
          <w:wAfter w:w="1343" w:type="dxa"/>
          <w:trHeight w:val="345"/>
        </w:trPr>
        <w:tc>
          <w:tcPr>
            <w:tcW w:w="19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2B39F9" w14:textId="3EA10E51" w:rsidR="00574A8D" w:rsidRPr="00993B55" w:rsidRDefault="00574A8D" w:rsidP="00574A8D">
            <w:pPr>
              <w:widowControl w:val="0"/>
              <w:jc w:val="center"/>
            </w:pPr>
            <w:r>
              <w:rPr>
                <w:rFonts w:cs="Arial"/>
                <w:color w:val="0000FF"/>
                <w:sz w:val="22"/>
                <w:szCs w:val="22"/>
              </w:rPr>
              <w:t>X</w:t>
            </w:r>
            <w:r w:rsidRPr="00C808A6">
              <w:rPr>
                <w:rFonts w:cs="Arial"/>
                <w:color w:val="0000FF"/>
                <w:sz w:val="22"/>
                <w:szCs w:val="22"/>
              </w:rPr>
              <w:t>-</w:t>
            </w:r>
            <w:r>
              <w:rPr>
                <w:rFonts w:cs="Arial"/>
                <w:color w:val="0000FF"/>
                <w:sz w:val="22"/>
                <w:szCs w:val="22"/>
              </w:rPr>
              <w:t>XXXX</w:t>
            </w:r>
            <w:r w:rsidRPr="00C808A6">
              <w:rPr>
                <w:rFonts w:cs="Arial"/>
                <w:color w:val="0000FF"/>
                <w:sz w:val="22"/>
                <w:szCs w:val="22"/>
              </w:rPr>
              <w:t>-</w:t>
            </w:r>
            <w:r>
              <w:rPr>
                <w:rFonts w:cs="Arial"/>
                <w:color w:val="0000FF"/>
                <w:sz w:val="22"/>
                <w:szCs w:val="22"/>
              </w:rPr>
              <w:t>X</w:t>
            </w:r>
            <w:r w:rsidRPr="00C808A6">
              <w:rPr>
                <w:rFonts w:cs="Arial"/>
                <w:color w:val="0000FF"/>
                <w:sz w:val="22"/>
                <w:szCs w:val="22"/>
              </w:rPr>
              <w:t>-</w:t>
            </w:r>
            <w:r>
              <w:rPr>
                <w:rFonts w:cs="Arial"/>
                <w:color w:val="0000FF"/>
                <w:sz w:val="22"/>
                <w:szCs w:val="22"/>
              </w:rPr>
              <w:t>X</w:t>
            </w:r>
          </w:p>
        </w:tc>
        <w:tc>
          <w:tcPr>
            <w:tcW w:w="313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15BEEBB" w14:textId="2FA25C72" w:rsidR="00574A8D" w:rsidRPr="00993B55" w:rsidRDefault="00574A8D" w:rsidP="00574A8D">
            <w:pPr>
              <w:widowControl w:val="0"/>
              <w:jc w:val="center"/>
              <w:rPr>
                <w:rFonts w:eastAsia="Arial Unicode MS" w:cs="Arial"/>
                <w:bCs/>
                <w:color w:val="0000FF"/>
                <w:sz w:val="22"/>
                <w:szCs w:val="18"/>
              </w:rPr>
            </w:pPr>
            <w:r w:rsidRPr="00E83341">
              <w:rPr>
                <w:rFonts w:eastAsia="Arial Unicode MS" w:cs="Arial"/>
                <w:bCs/>
                <w:color w:val="0000FF"/>
                <w:sz w:val="22"/>
                <w:szCs w:val="18"/>
              </w:rPr>
              <w:t>X,XXX</w:t>
            </w:r>
          </w:p>
        </w:tc>
        <w:tc>
          <w:tcPr>
            <w:tcW w:w="289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EE25DB7" w14:textId="4A811034" w:rsidR="00574A8D" w:rsidRPr="00993B55" w:rsidRDefault="00574A8D" w:rsidP="00574A8D">
            <w:pPr>
              <w:widowControl w:val="0"/>
              <w:jc w:val="center"/>
              <w:rPr>
                <w:color w:val="0000FF"/>
                <w:sz w:val="22"/>
                <w:szCs w:val="22"/>
              </w:rPr>
            </w:pPr>
            <w:r w:rsidRPr="00E83341">
              <w:rPr>
                <w:rFonts w:eastAsia="Arial Unicode MS" w:cs="Arial"/>
                <w:bCs/>
                <w:color w:val="0000FF"/>
                <w:sz w:val="22"/>
                <w:szCs w:val="18"/>
              </w:rPr>
              <w:t>X,XXX</w:t>
            </w:r>
          </w:p>
        </w:tc>
        <w:tc>
          <w:tcPr>
            <w:tcW w:w="225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D3210E4" w14:textId="3CC0F49B" w:rsidR="00574A8D" w:rsidRPr="00993B55" w:rsidRDefault="00574A8D" w:rsidP="00574A8D">
            <w:pPr>
              <w:widowControl w:val="0"/>
              <w:jc w:val="center"/>
              <w:rPr>
                <w:color w:val="0000FF"/>
                <w:sz w:val="22"/>
                <w:szCs w:val="22"/>
              </w:rPr>
            </w:pPr>
            <w:r w:rsidRPr="00E83341">
              <w:rPr>
                <w:rFonts w:eastAsia="Arial Unicode MS" w:cs="Arial"/>
                <w:bCs/>
                <w:color w:val="0000FF"/>
                <w:sz w:val="22"/>
                <w:szCs w:val="18"/>
              </w:rPr>
              <w:t>X,XXX</w:t>
            </w:r>
          </w:p>
        </w:tc>
      </w:tr>
      <w:tr w:rsidR="002578EE" w:rsidRPr="00993B55" w14:paraId="58770180" w14:textId="77777777" w:rsidTr="00D112BB">
        <w:trPr>
          <w:trHeight w:val="345"/>
        </w:trPr>
        <w:tc>
          <w:tcPr>
            <w:tcW w:w="1995" w:type="dxa"/>
            <w:tcBorders>
              <w:top w:val="nil"/>
              <w:left w:val="nil"/>
              <w:bottom w:val="nil"/>
              <w:right w:val="nil"/>
            </w:tcBorders>
            <w:shd w:val="clear" w:color="auto" w:fill="auto"/>
            <w:noWrap/>
            <w:tcMar>
              <w:top w:w="15" w:type="dxa"/>
              <w:left w:w="15" w:type="dxa"/>
              <w:bottom w:w="0" w:type="dxa"/>
              <w:right w:w="15" w:type="dxa"/>
            </w:tcMar>
            <w:vAlign w:val="center"/>
          </w:tcPr>
          <w:p w14:paraId="0B66CDF7" w14:textId="77777777" w:rsidR="002578EE" w:rsidRPr="00993B55" w:rsidRDefault="002578EE" w:rsidP="007A60F3">
            <w:pPr>
              <w:widowControl w:val="0"/>
              <w:jc w:val="center"/>
              <w:rPr>
                <w:rFonts w:eastAsia="Arial Unicode MS" w:cs="Arial"/>
                <w:b/>
                <w:bCs/>
                <w:sz w:val="22"/>
                <w:szCs w:val="18"/>
              </w:rPr>
            </w:pPr>
          </w:p>
        </w:tc>
        <w:tc>
          <w:tcPr>
            <w:tcW w:w="6030"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01F82C77" w14:textId="4A6DA75F" w:rsidR="002578EE" w:rsidRPr="00993B55" w:rsidRDefault="002578EE" w:rsidP="007A60F3">
            <w:pPr>
              <w:widowControl w:val="0"/>
              <w:jc w:val="right"/>
              <w:rPr>
                <w:rFonts w:eastAsia="Arial Unicode MS" w:cs="Arial"/>
                <w:b/>
                <w:bCs/>
                <w:sz w:val="22"/>
                <w:szCs w:val="18"/>
              </w:rPr>
            </w:pPr>
            <w:r w:rsidRPr="00993B55">
              <w:rPr>
                <w:rFonts w:ascii="AauxPro OT Regular" w:hAnsi="AauxPro OT Regular"/>
                <w:b/>
                <w:color w:val="000000" w:themeColor="text1"/>
                <w:szCs w:val="24"/>
              </w:rPr>
              <w:t>∑</w:t>
            </w:r>
            <w:r w:rsidRPr="00993B55">
              <w:rPr>
                <w:rFonts w:cs="Arial"/>
                <w:b/>
                <w:bCs/>
                <w:sz w:val="22"/>
                <w:szCs w:val="18"/>
              </w:rPr>
              <w:t xml:space="preserve">(PE2 – </w:t>
            </w:r>
            <w:r w:rsidR="00485CFB">
              <w:rPr>
                <w:rFonts w:cs="Arial"/>
                <w:b/>
                <w:bCs/>
                <w:sz w:val="22"/>
                <w:szCs w:val="18"/>
              </w:rPr>
              <w:t>FB</w:t>
            </w:r>
            <w:r w:rsidRPr="00993B55">
              <w:rPr>
                <w:rFonts w:cs="Arial"/>
                <w:b/>
                <w:bCs/>
                <w:sz w:val="22"/>
                <w:szCs w:val="18"/>
              </w:rPr>
              <w:t>E) (lb/year):</w:t>
            </w:r>
          </w:p>
        </w:tc>
        <w:tc>
          <w:tcPr>
            <w:tcW w:w="22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8CE7965" w14:textId="12717CCA" w:rsidR="002578EE" w:rsidRPr="00993B55" w:rsidRDefault="00574A8D" w:rsidP="007A60F3">
            <w:pPr>
              <w:widowControl w:val="0"/>
              <w:jc w:val="center"/>
            </w:pPr>
            <w:r w:rsidRPr="00DB1CC3">
              <w:rPr>
                <w:rFonts w:eastAsia="Arial Unicode MS" w:cs="Arial"/>
                <w:b/>
                <w:color w:val="0000FF"/>
                <w:sz w:val="22"/>
                <w:szCs w:val="18"/>
              </w:rPr>
              <w:t>X,XXX</w:t>
            </w:r>
          </w:p>
        </w:tc>
        <w:tc>
          <w:tcPr>
            <w:tcW w:w="1343" w:type="dxa"/>
            <w:vAlign w:val="center"/>
          </w:tcPr>
          <w:p w14:paraId="1413D8F6" w14:textId="77777777" w:rsidR="002578EE" w:rsidRPr="00993B55" w:rsidRDefault="002578EE" w:rsidP="007A60F3">
            <w:pPr>
              <w:widowControl w:val="0"/>
            </w:pPr>
          </w:p>
        </w:tc>
      </w:tr>
      <w:tr w:rsidR="002578EE" w:rsidRPr="00993B55" w14:paraId="7B7EFCE0" w14:textId="77777777" w:rsidTr="00D112BB">
        <w:trPr>
          <w:gridAfter w:val="1"/>
          <w:wAfter w:w="1343" w:type="dxa"/>
          <w:trHeight w:val="345"/>
        </w:trPr>
        <w:tc>
          <w:tcPr>
            <w:tcW w:w="1995" w:type="dxa"/>
            <w:tcBorders>
              <w:top w:val="nil"/>
              <w:left w:val="nil"/>
              <w:bottom w:val="nil"/>
              <w:right w:val="nil"/>
            </w:tcBorders>
            <w:shd w:val="clear" w:color="auto" w:fill="auto"/>
            <w:noWrap/>
            <w:tcMar>
              <w:top w:w="15" w:type="dxa"/>
              <w:left w:w="15" w:type="dxa"/>
              <w:bottom w:w="0" w:type="dxa"/>
              <w:right w:w="15" w:type="dxa"/>
            </w:tcMar>
            <w:vAlign w:val="center"/>
          </w:tcPr>
          <w:p w14:paraId="688164D0" w14:textId="77777777" w:rsidR="002578EE" w:rsidRPr="00993B55" w:rsidRDefault="002578EE" w:rsidP="007A60F3">
            <w:pPr>
              <w:widowControl w:val="0"/>
              <w:jc w:val="center"/>
              <w:rPr>
                <w:rFonts w:eastAsia="Arial Unicode MS" w:cs="Arial"/>
                <w:b/>
                <w:bCs/>
                <w:sz w:val="22"/>
                <w:szCs w:val="18"/>
              </w:rPr>
            </w:pPr>
          </w:p>
        </w:tc>
        <w:tc>
          <w:tcPr>
            <w:tcW w:w="6030"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47056D2F" w14:textId="6BBAC120" w:rsidR="002578EE" w:rsidRPr="00993B55" w:rsidRDefault="002578EE" w:rsidP="007A60F3">
            <w:pPr>
              <w:widowControl w:val="0"/>
              <w:jc w:val="right"/>
              <w:rPr>
                <w:rFonts w:eastAsia="Arial Unicode MS" w:cs="Arial"/>
                <w:b/>
                <w:bCs/>
                <w:sz w:val="22"/>
                <w:szCs w:val="18"/>
              </w:rPr>
            </w:pPr>
            <w:r w:rsidRPr="00993B55">
              <w:rPr>
                <w:rFonts w:cs="Arial"/>
                <w:b/>
                <w:bCs/>
                <w:sz w:val="22"/>
                <w:szCs w:val="18"/>
              </w:rPr>
              <w:t xml:space="preserve">Federal Offset Quantity (lb/year): </w:t>
            </w:r>
            <w:r w:rsidRPr="00993B55">
              <w:rPr>
                <w:rFonts w:ascii="AauxPro OT Regular" w:hAnsi="AauxPro OT Regular"/>
                <w:b/>
                <w:color w:val="000000" w:themeColor="text1"/>
                <w:szCs w:val="24"/>
              </w:rPr>
              <w:t>∑</w:t>
            </w:r>
            <w:r w:rsidRPr="00993B55">
              <w:rPr>
                <w:rFonts w:cs="Arial"/>
                <w:b/>
                <w:bCs/>
                <w:sz w:val="22"/>
                <w:szCs w:val="18"/>
              </w:rPr>
              <w:t xml:space="preserve">(PE2 – </w:t>
            </w:r>
            <w:r w:rsidR="00485CFB">
              <w:rPr>
                <w:rFonts w:cs="Arial"/>
                <w:b/>
                <w:bCs/>
                <w:sz w:val="22"/>
                <w:szCs w:val="18"/>
              </w:rPr>
              <w:t>FB</w:t>
            </w:r>
            <w:r w:rsidRPr="00993B55">
              <w:rPr>
                <w:rFonts w:cs="Arial"/>
                <w:b/>
                <w:bCs/>
                <w:sz w:val="22"/>
                <w:szCs w:val="18"/>
              </w:rPr>
              <w:t xml:space="preserve">E) x </w:t>
            </w:r>
            <w:r w:rsidRPr="00574A8D">
              <w:rPr>
                <w:rFonts w:cs="Arial"/>
                <w:b/>
                <w:bCs/>
                <w:color w:val="0000FF"/>
                <w:sz w:val="22"/>
                <w:szCs w:val="18"/>
              </w:rPr>
              <w:t>1.5</w:t>
            </w:r>
          </w:p>
        </w:tc>
        <w:tc>
          <w:tcPr>
            <w:tcW w:w="2250" w:type="dxa"/>
            <w:tcBorders>
              <w:top w:val="nil"/>
              <w:left w:val="single" w:sz="4" w:space="0" w:color="auto"/>
              <w:bottom w:val="nil"/>
              <w:right w:val="single" w:sz="4" w:space="0" w:color="auto"/>
            </w:tcBorders>
            <w:noWrap/>
            <w:tcMar>
              <w:top w:w="15" w:type="dxa"/>
              <w:left w:w="15" w:type="dxa"/>
              <w:bottom w:w="0" w:type="dxa"/>
              <w:right w:w="15" w:type="dxa"/>
            </w:tcMar>
            <w:vAlign w:val="center"/>
          </w:tcPr>
          <w:p w14:paraId="363A73F3" w14:textId="208B5141" w:rsidR="002578EE" w:rsidRPr="00993B55" w:rsidRDefault="00574A8D" w:rsidP="007A60F3">
            <w:pPr>
              <w:widowControl w:val="0"/>
              <w:jc w:val="center"/>
            </w:pPr>
            <w:r w:rsidRPr="00DB1CC3">
              <w:rPr>
                <w:rFonts w:eastAsia="Arial Unicode MS" w:cs="Arial"/>
                <w:b/>
                <w:color w:val="0000FF"/>
                <w:sz w:val="22"/>
                <w:szCs w:val="18"/>
              </w:rPr>
              <w:t>X,XXX</w:t>
            </w:r>
          </w:p>
        </w:tc>
      </w:tr>
      <w:tr w:rsidR="002578EE" w:rsidRPr="00993B55" w14:paraId="1F6E5CAA" w14:textId="77777777" w:rsidTr="00D112BB">
        <w:trPr>
          <w:gridAfter w:val="1"/>
          <w:wAfter w:w="1343" w:type="dxa"/>
          <w:trHeight w:val="345"/>
        </w:trPr>
        <w:tc>
          <w:tcPr>
            <w:tcW w:w="8025" w:type="dxa"/>
            <w:gridSpan w:val="3"/>
            <w:tcBorders>
              <w:top w:val="nil"/>
              <w:left w:val="nil"/>
              <w:bottom w:val="nil"/>
              <w:right w:val="nil"/>
            </w:tcBorders>
            <w:shd w:val="clear" w:color="auto" w:fill="auto"/>
            <w:noWrap/>
            <w:tcMar>
              <w:top w:w="15" w:type="dxa"/>
              <w:left w:w="15" w:type="dxa"/>
              <w:bottom w:w="0" w:type="dxa"/>
              <w:right w:w="15" w:type="dxa"/>
            </w:tcMar>
            <w:vAlign w:val="center"/>
          </w:tcPr>
          <w:p w14:paraId="51B82824" w14:textId="768FCBC1" w:rsidR="002578EE" w:rsidRPr="00993B55" w:rsidRDefault="002578EE" w:rsidP="007A60F3">
            <w:pPr>
              <w:widowControl w:val="0"/>
              <w:jc w:val="right"/>
              <w:rPr>
                <w:rFonts w:cs="Arial"/>
                <w:b/>
                <w:bCs/>
                <w:sz w:val="22"/>
                <w:szCs w:val="18"/>
              </w:rPr>
            </w:pPr>
            <w:r w:rsidRPr="00993B55">
              <w:rPr>
                <w:rFonts w:cs="Arial"/>
                <w:b/>
                <w:bCs/>
                <w:sz w:val="22"/>
                <w:szCs w:val="18"/>
              </w:rPr>
              <w:t xml:space="preserve">Federal Offset Quantity (tons/year): </w:t>
            </w:r>
            <w:r w:rsidRPr="00993B55">
              <w:rPr>
                <w:rFonts w:ascii="AauxPro OT Regular" w:hAnsi="AauxPro OT Regular"/>
                <w:b/>
                <w:color w:val="000000" w:themeColor="text1"/>
                <w:szCs w:val="24"/>
              </w:rPr>
              <w:t>∑</w:t>
            </w:r>
            <w:r w:rsidRPr="00993B55">
              <w:rPr>
                <w:rFonts w:cs="Arial"/>
                <w:b/>
                <w:bCs/>
                <w:sz w:val="22"/>
                <w:szCs w:val="18"/>
              </w:rPr>
              <w:t xml:space="preserve">(PE2 – </w:t>
            </w:r>
            <w:r w:rsidR="00485CFB">
              <w:rPr>
                <w:rFonts w:cs="Arial"/>
                <w:b/>
                <w:bCs/>
                <w:sz w:val="22"/>
                <w:szCs w:val="18"/>
              </w:rPr>
              <w:t>FB</w:t>
            </w:r>
            <w:r w:rsidRPr="00993B55">
              <w:rPr>
                <w:rFonts w:cs="Arial"/>
                <w:b/>
                <w:bCs/>
                <w:sz w:val="22"/>
                <w:szCs w:val="18"/>
              </w:rPr>
              <w:t xml:space="preserve">E) x </w:t>
            </w:r>
            <w:r w:rsidRPr="00574A8D">
              <w:rPr>
                <w:rFonts w:cs="Arial"/>
                <w:b/>
                <w:bCs/>
                <w:color w:val="0000FF"/>
                <w:sz w:val="22"/>
                <w:szCs w:val="18"/>
              </w:rPr>
              <w:t xml:space="preserve">1.5 </w:t>
            </w:r>
            <w:r w:rsidRPr="00993B55">
              <w:rPr>
                <w:rFonts w:cs="Arial"/>
                <w:b/>
                <w:bCs/>
                <w:sz w:val="22"/>
                <w:szCs w:val="18"/>
              </w:rPr>
              <w:t>÷ 2,000</w:t>
            </w:r>
          </w:p>
        </w:tc>
        <w:tc>
          <w:tcPr>
            <w:tcW w:w="22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E8D634" w14:textId="1FFE9514" w:rsidR="002578EE" w:rsidRPr="00993B55" w:rsidRDefault="00574A8D" w:rsidP="007A60F3">
            <w:pPr>
              <w:widowControl w:val="0"/>
              <w:jc w:val="center"/>
              <w:rPr>
                <w:rFonts w:cs="Arial"/>
                <w:b/>
                <w:bCs/>
                <w:sz w:val="22"/>
                <w:szCs w:val="18"/>
              </w:rPr>
            </w:pPr>
            <w:r w:rsidRPr="00DB1CC3">
              <w:rPr>
                <w:rFonts w:eastAsia="Arial Unicode MS" w:cs="Arial"/>
                <w:b/>
                <w:color w:val="0000FF"/>
                <w:sz w:val="22"/>
                <w:szCs w:val="18"/>
              </w:rPr>
              <w:t>X,XXX</w:t>
            </w:r>
          </w:p>
        </w:tc>
      </w:tr>
    </w:tbl>
    <w:p w14:paraId="4A12A81F" w14:textId="77777777" w:rsidR="0052578A" w:rsidRPr="00FF6154" w:rsidRDefault="0052578A" w:rsidP="001C2F0D">
      <w:pPr>
        <w:widowControl w:val="0"/>
        <w:ind w:left="720"/>
        <w:rPr>
          <w:color w:val="000000"/>
          <w:highlight w:val="yellow"/>
        </w:rPr>
      </w:pPr>
    </w:p>
    <w:p w14:paraId="7148F346" w14:textId="77777777" w:rsidR="00FF6154" w:rsidRPr="0066396D" w:rsidRDefault="00FF6154" w:rsidP="008F20D3">
      <w:pPr>
        <w:pStyle w:val="Heading6"/>
      </w:pPr>
      <w:r w:rsidRPr="0066396D">
        <w:t>3.</w:t>
      </w:r>
      <w:r w:rsidRPr="0066396D">
        <w:tab/>
        <w:t>Federal Offset Equivalency Demonstration</w:t>
      </w:r>
    </w:p>
    <w:p w14:paraId="0D339C6B" w14:textId="77777777" w:rsidR="00320379" w:rsidRDefault="00320379" w:rsidP="007A60F3">
      <w:pPr>
        <w:widowControl w:val="0"/>
        <w:tabs>
          <w:tab w:val="left" w:pos="1080"/>
        </w:tabs>
        <w:ind w:left="720"/>
        <w:rPr>
          <w:color w:val="000000"/>
        </w:rPr>
      </w:pPr>
      <w:r w:rsidRPr="00FD1E9B">
        <w:rPr>
          <w:color w:val="000000"/>
        </w:rPr>
        <w:t xml:space="preserve">Section 7.0 of District Rule 2201 provides the requirements for the District to demonstrate on an individual ATC issuance basis that the number of creditable emission reductions collected by the District equals or exceeds the amount of creditable emission reductions that would otherwise be required as offsets under a federal non-attainment NSR program </w:t>
      </w:r>
      <w:r w:rsidRPr="00FD1E9B">
        <w:rPr>
          <w:color w:val="000000"/>
        </w:rPr>
        <w:lastRenderedPageBreak/>
        <w:t>meeting the applicable requirements of 40 CFR 51.165 and the CAA.</w:t>
      </w:r>
    </w:p>
    <w:p w14:paraId="30A57A83" w14:textId="0D8D0AE1" w:rsidR="006A7035" w:rsidRDefault="006A7035" w:rsidP="007A60F3">
      <w:pPr>
        <w:widowControl w:val="0"/>
        <w:ind w:left="720"/>
        <w:rPr>
          <w:rFonts w:cs="Arial"/>
          <w:color w:val="FF0000"/>
        </w:rPr>
      </w:pPr>
    </w:p>
    <w:p w14:paraId="0F67AB93" w14:textId="1C9D5D2B" w:rsidR="00FD1E9B" w:rsidRPr="00FD1E9B" w:rsidRDefault="00421596" w:rsidP="007A60F3">
      <w:pPr>
        <w:widowControl w:val="0"/>
        <w:ind w:left="720"/>
        <w:rPr>
          <w:rFonts w:cs="Arial"/>
        </w:rPr>
      </w:pPr>
      <w:r>
        <w:rPr>
          <w:rFonts w:cs="Arial"/>
          <w:color w:val="FF0000"/>
        </w:rPr>
        <w:t xml:space="preserve">Example a: </w:t>
      </w:r>
      <w:r w:rsidR="00FD1E9B" w:rsidRPr="00FD1E9B">
        <w:rPr>
          <w:rFonts w:cs="Arial"/>
          <w:color w:val="FF0000"/>
        </w:rPr>
        <w:t xml:space="preserve">Project is not a FMM or NMS, use the following, otherwise delete: </w:t>
      </w:r>
    </w:p>
    <w:p w14:paraId="282BD24C" w14:textId="77777777" w:rsidR="006A7035" w:rsidRDefault="006A7035" w:rsidP="007A60F3">
      <w:pPr>
        <w:widowControl w:val="0"/>
        <w:tabs>
          <w:tab w:val="left" w:pos="1080"/>
        </w:tabs>
        <w:ind w:left="720"/>
        <w:rPr>
          <w:color w:val="000000"/>
        </w:rPr>
      </w:pPr>
    </w:p>
    <w:p w14:paraId="0965128D" w14:textId="0F040476" w:rsidR="00FF6154" w:rsidRDefault="00FF6154" w:rsidP="007A60F3">
      <w:pPr>
        <w:widowControl w:val="0"/>
        <w:tabs>
          <w:tab w:val="left" w:pos="1080"/>
        </w:tabs>
        <w:ind w:left="720"/>
        <w:rPr>
          <w:color w:val="000000"/>
        </w:rPr>
      </w:pPr>
      <w:r w:rsidRPr="00FD1E9B">
        <w:rPr>
          <w:color w:val="000000"/>
        </w:rPr>
        <w:t>As demonstrated above, this project does not require federal offsets; therefore, a federal offset equivalency demonstration is not required for this project and no further discussion is required.</w:t>
      </w:r>
    </w:p>
    <w:p w14:paraId="087341BE" w14:textId="6CDC45F8" w:rsidR="00FD1E9B" w:rsidRDefault="00FD1E9B" w:rsidP="007A60F3">
      <w:pPr>
        <w:widowControl w:val="0"/>
        <w:tabs>
          <w:tab w:val="left" w:pos="1080"/>
        </w:tabs>
        <w:ind w:left="720"/>
        <w:rPr>
          <w:color w:val="000000"/>
        </w:rPr>
      </w:pPr>
    </w:p>
    <w:p w14:paraId="715543E1" w14:textId="34F64439" w:rsidR="00FD1E9B" w:rsidRPr="00993B55" w:rsidRDefault="00421596" w:rsidP="007A60F3">
      <w:pPr>
        <w:widowControl w:val="0"/>
        <w:ind w:left="720"/>
        <w:rPr>
          <w:rFonts w:cs="Arial"/>
        </w:rPr>
      </w:pPr>
      <w:r>
        <w:rPr>
          <w:rFonts w:cs="Arial"/>
          <w:color w:val="FF0000"/>
        </w:rPr>
        <w:t xml:space="preserve">Example b: </w:t>
      </w:r>
      <w:r w:rsidR="00FD1E9B">
        <w:rPr>
          <w:rFonts w:cs="Arial"/>
          <w:color w:val="FF0000"/>
        </w:rPr>
        <w:t xml:space="preserve">Project </w:t>
      </w:r>
      <w:r w:rsidR="00EF36E1">
        <w:rPr>
          <w:rFonts w:cs="Arial"/>
          <w:color w:val="FF0000"/>
        </w:rPr>
        <w:t>requires FOQ</w:t>
      </w:r>
      <w:r w:rsidR="009F2700">
        <w:rPr>
          <w:rFonts w:cs="Arial"/>
          <w:color w:val="FF0000"/>
        </w:rPr>
        <w:t xml:space="preserve"> for NOx and VOC</w:t>
      </w:r>
      <w:r w:rsidR="00FD1E9B">
        <w:rPr>
          <w:rFonts w:cs="Arial"/>
          <w:color w:val="FF0000"/>
        </w:rPr>
        <w:t xml:space="preserve">, use the following, otherwise delete: </w:t>
      </w:r>
    </w:p>
    <w:p w14:paraId="505355F5" w14:textId="77777777" w:rsidR="00320379" w:rsidRDefault="00320379" w:rsidP="007A60F3">
      <w:pPr>
        <w:widowControl w:val="0"/>
        <w:tabs>
          <w:tab w:val="left" w:pos="1080"/>
        </w:tabs>
        <w:ind w:left="720"/>
        <w:rPr>
          <w:color w:val="000000"/>
        </w:rPr>
      </w:pPr>
    </w:p>
    <w:p w14:paraId="588A2BF3" w14:textId="6F428530" w:rsidR="001C424C" w:rsidRPr="00B17706" w:rsidRDefault="001C424C" w:rsidP="007A60F3">
      <w:pPr>
        <w:pStyle w:val="BodyText3"/>
        <w:widowControl w:val="0"/>
        <w:ind w:left="720" w:right="-36"/>
      </w:pPr>
      <w:r>
        <w:rPr>
          <w:color w:val="auto"/>
        </w:rPr>
        <w:t>A</w:t>
      </w:r>
      <w:r w:rsidRPr="009A078C">
        <w:rPr>
          <w:color w:val="auto"/>
        </w:rPr>
        <w:t>s discussed above, this project triggers</w:t>
      </w:r>
      <w:r>
        <w:rPr>
          <w:color w:val="auto"/>
        </w:rPr>
        <w:t xml:space="preserve"> a</w:t>
      </w:r>
      <w:r w:rsidRPr="009A078C">
        <w:rPr>
          <w:color w:val="auto"/>
        </w:rPr>
        <w:t xml:space="preserve"> </w:t>
      </w:r>
      <w:r w:rsidRPr="009A078C">
        <w:t>Federal Major Modification / New Major Modification</w:t>
      </w:r>
      <w:r w:rsidRPr="009A078C">
        <w:rPr>
          <w:color w:val="auto"/>
        </w:rPr>
        <w:t xml:space="preserve"> for</w:t>
      </w:r>
      <w:r>
        <w:t xml:space="preserve"> NOx</w:t>
      </w:r>
      <w:r w:rsidRPr="00B17706">
        <w:t xml:space="preserve"> and </w:t>
      </w:r>
      <w:r>
        <w:t xml:space="preserve">VOC, </w:t>
      </w:r>
      <w:r w:rsidRPr="009A078C">
        <w:rPr>
          <w:color w:val="auto"/>
        </w:rPr>
        <w:t>and federal offset quantities are required for this project for</w:t>
      </w:r>
      <w:r>
        <w:t xml:space="preserve"> </w:t>
      </w:r>
      <w:r w:rsidR="0074066E">
        <w:t>NOx</w:t>
      </w:r>
      <w:r w:rsidR="0074066E" w:rsidRPr="00B17706">
        <w:t xml:space="preserve"> and </w:t>
      </w:r>
      <w:r w:rsidR="0074066E">
        <w:t>VOC</w:t>
      </w:r>
      <w:r w:rsidRPr="00B17706">
        <w:t xml:space="preserve">. </w:t>
      </w:r>
      <w:r w:rsidRPr="009A078C">
        <w:rPr>
          <w:color w:val="auto"/>
        </w:rPr>
        <w:t xml:space="preserve">Pursuant to section </w:t>
      </w:r>
      <w:r>
        <w:rPr>
          <w:color w:val="auto"/>
        </w:rPr>
        <w:t>4.8.1.1</w:t>
      </w:r>
      <w:r w:rsidRPr="009A078C">
        <w:rPr>
          <w:color w:val="auto"/>
        </w:rPr>
        <w:t xml:space="preserve"> of District Rule 2201, </w:t>
      </w:r>
      <w:r>
        <w:rPr>
          <w:color w:val="auto"/>
        </w:rPr>
        <w:t xml:space="preserve">actual </w:t>
      </w:r>
      <w:r w:rsidRPr="009A078C">
        <w:rPr>
          <w:color w:val="auto"/>
        </w:rPr>
        <w:t>emission reduction</w:t>
      </w:r>
      <w:r>
        <w:rPr>
          <w:color w:val="auto"/>
        </w:rPr>
        <w:t>s</w:t>
      </w:r>
      <w:r w:rsidRPr="009A078C">
        <w:rPr>
          <w:color w:val="auto"/>
        </w:rPr>
        <w:t xml:space="preserve"> used to satisfy federal offset quantities for</w:t>
      </w:r>
      <w:r w:rsidRPr="00B17706">
        <w:t xml:space="preserve"> </w:t>
      </w:r>
      <w:r w:rsidR="0074066E">
        <w:t>NOx</w:t>
      </w:r>
      <w:r w:rsidR="0074066E" w:rsidRPr="00B17706">
        <w:t xml:space="preserve"> and </w:t>
      </w:r>
      <w:r w:rsidR="0074066E">
        <w:t>VOC</w:t>
      </w:r>
      <w:r w:rsidR="0074066E" w:rsidRPr="009A078C">
        <w:rPr>
          <w:color w:val="auto"/>
        </w:rPr>
        <w:t xml:space="preserve"> </w:t>
      </w:r>
      <w:r w:rsidRPr="009A078C">
        <w:rPr>
          <w:color w:val="auto"/>
        </w:rPr>
        <w:t>must be creditable and surplus at the time of use (ATC issuance).</w:t>
      </w:r>
    </w:p>
    <w:p w14:paraId="47C4E5D0" w14:textId="77777777" w:rsidR="001C424C" w:rsidRDefault="001C424C" w:rsidP="007A60F3">
      <w:pPr>
        <w:pStyle w:val="BodyText3"/>
        <w:widowControl w:val="0"/>
        <w:ind w:left="720" w:right="-36"/>
        <w:rPr>
          <w:color w:val="000000"/>
        </w:rPr>
      </w:pPr>
    </w:p>
    <w:p w14:paraId="67B142EA" w14:textId="77777777" w:rsidR="001C424C" w:rsidRPr="009A078C" w:rsidRDefault="001C424C" w:rsidP="007A60F3">
      <w:pPr>
        <w:pStyle w:val="BodyText3"/>
        <w:widowControl w:val="0"/>
        <w:ind w:left="720" w:right="-36"/>
        <w:rPr>
          <w:color w:val="auto"/>
          <w:u w:val="single"/>
        </w:rPr>
      </w:pPr>
      <w:r w:rsidRPr="009A078C">
        <w:rPr>
          <w:color w:val="auto"/>
          <w:u w:val="single"/>
        </w:rPr>
        <w:t xml:space="preserve">Surplus at the Time Of Use Emission Reduction Credits </w:t>
      </w:r>
    </w:p>
    <w:p w14:paraId="1660E97F" w14:textId="77777777" w:rsidR="001C424C" w:rsidRPr="009A078C" w:rsidRDefault="001C424C" w:rsidP="007A60F3">
      <w:pPr>
        <w:pStyle w:val="BodyText3"/>
        <w:widowControl w:val="0"/>
        <w:ind w:left="720" w:right="-36"/>
        <w:rPr>
          <w:color w:val="auto"/>
        </w:rPr>
      </w:pPr>
    </w:p>
    <w:p w14:paraId="1EEA627D" w14:textId="5953228B" w:rsidR="001C424C" w:rsidRPr="00B17706" w:rsidRDefault="001C424C" w:rsidP="007A60F3">
      <w:pPr>
        <w:pStyle w:val="BodyText3"/>
        <w:widowControl w:val="0"/>
        <w:ind w:left="720" w:right="-36"/>
      </w:pPr>
      <w:r w:rsidRPr="009A078C">
        <w:rPr>
          <w:color w:val="auto"/>
        </w:rPr>
        <w:t>The applicant has stated that the facility plans to use</w:t>
      </w:r>
      <w:r w:rsidRPr="00B17706">
        <w:t xml:space="preserve"> </w:t>
      </w:r>
      <w:r w:rsidRPr="009A078C">
        <w:rPr>
          <w:color w:val="auto"/>
        </w:rPr>
        <w:t>ERC certificate</w:t>
      </w:r>
      <w:r>
        <w:t>(s)</w:t>
      </w:r>
      <w:r w:rsidRPr="00993B55">
        <w:t xml:space="preserve"> X-</w:t>
      </w:r>
      <w:r w:rsidR="00574A8D">
        <w:t>X</w:t>
      </w:r>
      <w:r w:rsidRPr="00993B55">
        <w:t>XXX-</w:t>
      </w:r>
      <w:r>
        <w:t>X</w:t>
      </w:r>
      <w:r w:rsidRPr="00993B55">
        <w:t xml:space="preserve"> </w:t>
      </w:r>
      <w:r w:rsidRPr="009A078C">
        <w:rPr>
          <w:color w:val="auto"/>
        </w:rPr>
        <w:t>to satisfy the federal offset quantities for</w:t>
      </w:r>
      <w:r w:rsidRPr="005A3551">
        <w:t xml:space="preserve"> </w:t>
      </w:r>
      <w:r w:rsidR="0074066E">
        <w:t>NOx</w:t>
      </w:r>
      <w:r w:rsidR="0074066E" w:rsidRPr="00B17706">
        <w:t xml:space="preserve"> and </w:t>
      </w:r>
      <w:r w:rsidR="0074066E">
        <w:t>VOC</w:t>
      </w:r>
      <w:r w:rsidR="0074066E" w:rsidRPr="009A078C">
        <w:rPr>
          <w:color w:val="auto"/>
        </w:rPr>
        <w:t xml:space="preserve"> </w:t>
      </w:r>
      <w:r w:rsidRPr="009A078C">
        <w:rPr>
          <w:color w:val="auto"/>
        </w:rPr>
        <w:t>required for this project.</w:t>
      </w:r>
      <w:r w:rsidRPr="00B17706">
        <w:t xml:space="preserve">  </w:t>
      </w:r>
      <w:r w:rsidRPr="009A078C">
        <w:rPr>
          <w:color w:val="auto"/>
        </w:rPr>
        <w:t>Pursuant to the ERC surplus analysis in Appendix</w:t>
      </w:r>
      <w:r w:rsidRPr="00B17706">
        <w:t xml:space="preserve"> XXX, t</w:t>
      </w:r>
      <w:r w:rsidRPr="009A078C">
        <w:rPr>
          <w:color w:val="auto"/>
        </w:rPr>
        <w:t xml:space="preserve">he District has verified that the </w:t>
      </w:r>
      <w:r>
        <w:rPr>
          <w:color w:val="auto"/>
        </w:rPr>
        <w:t xml:space="preserve">surplus </w:t>
      </w:r>
      <w:r w:rsidRPr="009A078C">
        <w:rPr>
          <w:color w:val="auto"/>
        </w:rPr>
        <w:t>credits from the ERC certificate</w:t>
      </w:r>
      <w:r w:rsidRPr="00B17706">
        <w:t xml:space="preserve">(s) </w:t>
      </w:r>
      <w:r w:rsidRPr="009A078C">
        <w:rPr>
          <w:color w:val="auto"/>
        </w:rPr>
        <w:t>provided by the applicant are sufficient to satisfy the federal offset quantities for</w:t>
      </w:r>
      <w:r w:rsidRPr="00B17706">
        <w:t xml:space="preserve"> </w:t>
      </w:r>
      <w:r w:rsidR="00D212D7">
        <w:t>NOx</w:t>
      </w:r>
      <w:r w:rsidR="00D212D7" w:rsidRPr="00B17706">
        <w:t xml:space="preserve"> and </w:t>
      </w:r>
      <w:r w:rsidR="00D212D7">
        <w:t>VOC</w:t>
      </w:r>
      <w:r w:rsidR="00D212D7" w:rsidRPr="009A078C">
        <w:rPr>
          <w:color w:val="auto"/>
        </w:rPr>
        <w:t xml:space="preserve"> </w:t>
      </w:r>
      <w:r w:rsidRPr="009A078C">
        <w:rPr>
          <w:color w:val="auto"/>
        </w:rPr>
        <w:t>required for this project.</w:t>
      </w:r>
      <w:r w:rsidRPr="00B17706">
        <w:t xml:space="preserve">  </w:t>
      </w:r>
    </w:p>
    <w:p w14:paraId="23798FEA" w14:textId="4A52DD53" w:rsidR="004E4D91" w:rsidRDefault="004E4D91" w:rsidP="007A60F3">
      <w:pPr>
        <w:widowControl w:val="0"/>
        <w:tabs>
          <w:tab w:val="left" w:pos="1080"/>
        </w:tabs>
        <w:ind w:left="720"/>
        <w:rPr>
          <w:color w:val="000000"/>
          <w:highlight w:val="yellow"/>
        </w:rPr>
      </w:pPr>
    </w:p>
    <w:p w14:paraId="75208F57" w14:textId="03111DD4" w:rsidR="00D2283D" w:rsidRDefault="00D2283D" w:rsidP="007A60F3">
      <w:pPr>
        <w:widowControl w:val="0"/>
        <w:ind w:left="720"/>
      </w:pPr>
      <w:r w:rsidRPr="00993B55">
        <w:rPr>
          <w:szCs w:val="24"/>
        </w:rPr>
        <w:t>Therefore</w:t>
      </w:r>
      <w:r w:rsidR="008A0932">
        <w:rPr>
          <w:szCs w:val="24"/>
        </w:rPr>
        <w:t>,</w:t>
      </w:r>
      <w:r w:rsidRPr="00993B55">
        <w:rPr>
          <w:szCs w:val="24"/>
        </w:rPr>
        <w:t xml:space="preserve"> the</w:t>
      </w:r>
      <w:r w:rsidRPr="00993B55">
        <w:t xml:space="preserve"> appropriate quarterly emissions to be offset are </w:t>
      </w:r>
      <w:r>
        <w:t xml:space="preserve">summarized </w:t>
      </w:r>
      <w:r w:rsidRPr="00993B55">
        <w:t>as follows:</w:t>
      </w:r>
    </w:p>
    <w:p w14:paraId="78A7F4F7" w14:textId="5BAE5219" w:rsidR="008844DF" w:rsidRDefault="008844DF" w:rsidP="007A60F3">
      <w:pPr>
        <w:widowControl w:val="0"/>
        <w:ind w:left="720"/>
        <w:rPr>
          <w:szCs w:val="24"/>
        </w:rPr>
      </w:pPr>
    </w:p>
    <w:tbl>
      <w:tblPr>
        <w:tblW w:w="84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7"/>
        <w:gridCol w:w="1350"/>
        <w:gridCol w:w="1440"/>
        <w:gridCol w:w="1350"/>
        <w:gridCol w:w="1350"/>
        <w:gridCol w:w="1350"/>
      </w:tblGrid>
      <w:tr w:rsidR="00CC3EDF" w:rsidRPr="00CC3EDF" w14:paraId="0D55FB92" w14:textId="77777777" w:rsidTr="00505E9F">
        <w:trPr>
          <w:cantSplit/>
          <w:trHeight w:val="591"/>
        </w:trPr>
        <w:tc>
          <w:tcPr>
            <w:tcW w:w="8427" w:type="dxa"/>
            <w:gridSpan w:val="6"/>
            <w:shd w:val="clear" w:color="auto" w:fill="D9D9D9" w:themeFill="background1" w:themeFillShade="D9"/>
            <w:vAlign w:val="center"/>
          </w:tcPr>
          <w:p w14:paraId="7FCA4214" w14:textId="2AE35140" w:rsidR="00CC3EDF" w:rsidRPr="000F5AD8" w:rsidRDefault="00CC3EDF" w:rsidP="00461BE9">
            <w:pPr>
              <w:keepNext/>
              <w:widowControl w:val="0"/>
              <w:jc w:val="center"/>
              <w:rPr>
                <w:b/>
                <w:sz w:val="22"/>
                <w:szCs w:val="22"/>
              </w:rPr>
            </w:pPr>
            <w:r w:rsidRPr="00DF056E">
              <w:rPr>
                <w:b/>
                <w:sz w:val="22"/>
                <w:szCs w:val="22"/>
              </w:rPr>
              <w:t>Federal Offset</w:t>
            </w:r>
            <w:r w:rsidRPr="00410F16">
              <w:rPr>
                <w:b/>
                <w:sz w:val="22"/>
                <w:szCs w:val="22"/>
              </w:rPr>
              <w:t xml:space="preserve"> Quantity</w:t>
            </w:r>
            <w:r w:rsidRPr="009C717F">
              <w:rPr>
                <w:b/>
                <w:sz w:val="22"/>
                <w:szCs w:val="22"/>
              </w:rPr>
              <w:t xml:space="preserve"> (FOQ) Required</w:t>
            </w:r>
            <w:r w:rsidRPr="003C1E40">
              <w:rPr>
                <w:b/>
                <w:sz w:val="22"/>
                <w:szCs w:val="22"/>
              </w:rPr>
              <w:t xml:space="preserve"> (lbs</w:t>
            </w:r>
            <w:r w:rsidRPr="000F5AD8">
              <w:rPr>
                <w:b/>
                <w:sz w:val="22"/>
                <w:szCs w:val="22"/>
              </w:rPr>
              <w:t>)</w:t>
            </w:r>
          </w:p>
        </w:tc>
      </w:tr>
      <w:tr w:rsidR="00CC3EDF" w:rsidRPr="00CC3EDF" w14:paraId="4DED2C33" w14:textId="77777777" w:rsidTr="00505E9F">
        <w:trPr>
          <w:trHeight w:val="438"/>
        </w:trPr>
        <w:tc>
          <w:tcPr>
            <w:tcW w:w="1587" w:type="dxa"/>
            <w:shd w:val="clear" w:color="auto" w:fill="D9D9D9" w:themeFill="background1" w:themeFillShade="D9"/>
            <w:vAlign w:val="center"/>
          </w:tcPr>
          <w:p w14:paraId="36A0BEB8" w14:textId="59525674" w:rsidR="00CC3EDF" w:rsidRPr="004D432F" w:rsidRDefault="00CC3EDF" w:rsidP="00461BE9">
            <w:pPr>
              <w:keepNext/>
              <w:widowControl w:val="0"/>
              <w:jc w:val="center"/>
              <w:rPr>
                <w:b/>
                <w:sz w:val="22"/>
                <w:szCs w:val="22"/>
              </w:rPr>
            </w:pPr>
            <w:r w:rsidRPr="004D432F">
              <w:rPr>
                <w:b/>
                <w:sz w:val="22"/>
                <w:szCs w:val="22"/>
              </w:rPr>
              <w:t>Pollutant</w:t>
            </w:r>
          </w:p>
        </w:tc>
        <w:tc>
          <w:tcPr>
            <w:tcW w:w="1350" w:type="dxa"/>
            <w:shd w:val="clear" w:color="auto" w:fill="D9D9D9" w:themeFill="background1" w:themeFillShade="D9"/>
            <w:vAlign w:val="center"/>
          </w:tcPr>
          <w:p w14:paraId="4FC178E7" w14:textId="08E81A25" w:rsidR="00CC3EDF" w:rsidRPr="00DF056E" w:rsidRDefault="00CC3EDF" w:rsidP="00461BE9">
            <w:pPr>
              <w:keepNext/>
              <w:widowControl w:val="0"/>
              <w:jc w:val="center"/>
              <w:rPr>
                <w:b/>
                <w:sz w:val="22"/>
                <w:szCs w:val="22"/>
              </w:rPr>
            </w:pPr>
            <w:r w:rsidRPr="004D432F">
              <w:rPr>
                <w:b/>
                <w:sz w:val="22"/>
                <w:szCs w:val="22"/>
              </w:rPr>
              <w:t>1</w:t>
            </w:r>
            <w:r w:rsidRPr="004D432F">
              <w:rPr>
                <w:b/>
                <w:sz w:val="22"/>
                <w:szCs w:val="22"/>
                <w:vertAlign w:val="superscript"/>
              </w:rPr>
              <w:t>st</w:t>
            </w:r>
            <w:r w:rsidRPr="004D432F">
              <w:rPr>
                <w:b/>
                <w:sz w:val="22"/>
                <w:szCs w:val="22"/>
              </w:rPr>
              <w:t xml:space="preserve"> Quarter</w:t>
            </w:r>
          </w:p>
        </w:tc>
        <w:tc>
          <w:tcPr>
            <w:tcW w:w="1440" w:type="dxa"/>
            <w:shd w:val="clear" w:color="auto" w:fill="D9D9D9" w:themeFill="background1" w:themeFillShade="D9"/>
            <w:vAlign w:val="center"/>
          </w:tcPr>
          <w:p w14:paraId="4C480A83" w14:textId="5EF03736" w:rsidR="00CC3EDF" w:rsidRPr="00DF056E" w:rsidRDefault="00CC3EDF" w:rsidP="00461BE9">
            <w:pPr>
              <w:keepNext/>
              <w:widowControl w:val="0"/>
              <w:jc w:val="center"/>
              <w:rPr>
                <w:b/>
                <w:sz w:val="22"/>
                <w:szCs w:val="22"/>
              </w:rPr>
            </w:pPr>
            <w:r w:rsidRPr="004D432F">
              <w:rPr>
                <w:b/>
                <w:sz w:val="22"/>
                <w:szCs w:val="22"/>
              </w:rPr>
              <w:t>2</w:t>
            </w:r>
            <w:r w:rsidRPr="004D432F">
              <w:rPr>
                <w:b/>
                <w:sz w:val="22"/>
                <w:szCs w:val="22"/>
                <w:vertAlign w:val="superscript"/>
              </w:rPr>
              <w:t>nd</w:t>
            </w:r>
            <w:r w:rsidRPr="004D432F">
              <w:rPr>
                <w:b/>
                <w:sz w:val="22"/>
                <w:szCs w:val="22"/>
              </w:rPr>
              <w:t xml:space="preserve"> Quarter</w:t>
            </w:r>
          </w:p>
        </w:tc>
        <w:tc>
          <w:tcPr>
            <w:tcW w:w="1350" w:type="dxa"/>
            <w:shd w:val="clear" w:color="auto" w:fill="D9D9D9" w:themeFill="background1" w:themeFillShade="D9"/>
            <w:vAlign w:val="center"/>
          </w:tcPr>
          <w:p w14:paraId="444D2E01" w14:textId="40830316" w:rsidR="00CC3EDF" w:rsidRPr="00DF056E" w:rsidRDefault="00CC3EDF" w:rsidP="00461BE9">
            <w:pPr>
              <w:keepNext/>
              <w:widowControl w:val="0"/>
              <w:jc w:val="center"/>
              <w:rPr>
                <w:b/>
                <w:sz w:val="22"/>
                <w:szCs w:val="22"/>
              </w:rPr>
            </w:pPr>
            <w:r w:rsidRPr="004D432F">
              <w:rPr>
                <w:b/>
                <w:sz w:val="22"/>
                <w:szCs w:val="22"/>
              </w:rPr>
              <w:t>3</w:t>
            </w:r>
            <w:r w:rsidRPr="004D432F">
              <w:rPr>
                <w:b/>
                <w:sz w:val="22"/>
                <w:szCs w:val="22"/>
                <w:vertAlign w:val="superscript"/>
              </w:rPr>
              <w:t>rd</w:t>
            </w:r>
            <w:r w:rsidRPr="004D432F">
              <w:rPr>
                <w:b/>
                <w:sz w:val="22"/>
                <w:szCs w:val="22"/>
              </w:rPr>
              <w:t xml:space="preserve"> Quarter</w:t>
            </w:r>
          </w:p>
        </w:tc>
        <w:tc>
          <w:tcPr>
            <w:tcW w:w="1350" w:type="dxa"/>
            <w:shd w:val="clear" w:color="auto" w:fill="D9D9D9" w:themeFill="background1" w:themeFillShade="D9"/>
            <w:vAlign w:val="center"/>
          </w:tcPr>
          <w:p w14:paraId="02C82035" w14:textId="25ECDF33" w:rsidR="00CC3EDF" w:rsidRPr="00DF056E" w:rsidRDefault="00CC3EDF" w:rsidP="00461BE9">
            <w:pPr>
              <w:keepNext/>
              <w:widowControl w:val="0"/>
              <w:jc w:val="center"/>
              <w:rPr>
                <w:b/>
                <w:sz w:val="22"/>
                <w:szCs w:val="22"/>
              </w:rPr>
            </w:pPr>
            <w:r w:rsidRPr="004D432F">
              <w:rPr>
                <w:b/>
                <w:sz w:val="22"/>
                <w:szCs w:val="22"/>
              </w:rPr>
              <w:t>4</w:t>
            </w:r>
            <w:r w:rsidRPr="004D432F">
              <w:rPr>
                <w:b/>
                <w:sz w:val="22"/>
                <w:szCs w:val="22"/>
                <w:vertAlign w:val="superscript"/>
              </w:rPr>
              <w:t>th</w:t>
            </w:r>
            <w:r w:rsidRPr="004D432F">
              <w:rPr>
                <w:b/>
                <w:sz w:val="22"/>
                <w:szCs w:val="22"/>
              </w:rPr>
              <w:t xml:space="preserve"> Quarter</w:t>
            </w:r>
          </w:p>
        </w:tc>
        <w:tc>
          <w:tcPr>
            <w:tcW w:w="1350" w:type="dxa"/>
            <w:shd w:val="clear" w:color="auto" w:fill="D9D9D9" w:themeFill="background1" w:themeFillShade="D9"/>
            <w:vAlign w:val="center"/>
          </w:tcPr>
          <w:p w14:paraId="528831D9" w14:textId="7FA900D3" w:rsidR="00CC3EDF" w:rsidRPr="00DF056E" w:rsidRDefault="00CC3EDF" w:rsidP="00461BE9">
            <w:pPr>
              <w:keepNext/>
              <w:widowControl w:val="0"/>
              <w:jc w:val="center"/>
              <w:rPr>
                <w:b/>
                <w:sz w:val="22"/>
                <w:szCs w:val="22"/>
              </w:rPr>
            </w:pPr>
            <w:r w:rsidRPr="004D432F">
              <w:rPr>
                <w:b/>
                <w:sz w:val="22"/>
                <w:szCs w:val="22"/>
              </w:rPr>
              <w:t>Total Annual</w:t>
            </w:r>
          </w:p>
        </w:tc>
      </w:tr>
      <w:tr w:rsidR="00B31211" w:rsidRPr="00CC3EDF" w14:paraId="6C078966" w14:textId="77777777" w:rsidTr="00B31211">
        <w:trPr>
          <w:trHeight w:val="449"/>
        </w:trPr>
        <w:tc>
          <w:tcPr>
            <w:tcW w:w="1587" w:type="dxa"/>
            <w:shd w:val="clear" w:color="auto" w:fill="auto"/>
            <w:vAlign w:val="center"/>
          </w:tcPr>
          <w:p w14:paraId="1EC56D42" w14:textId="7E90D481" w:rsidR="00B31211" w:rsidRPr="00410F16" w:rsidRDefault="00B31211" w:rsidP="00461BE9">
            <w:pPr>
              <w:keepNext/>
              <w:widowControl w:val="0"/>
              <w:jc w:val="center"/>
              <w:rPr>
                <w:snapToGrid w:val="0"/>
                <w:color w:val="000000"/>
                <w:sz w:val="22"/>
                <w:szCs w:val="22"/>
              </w:rPr>
            </w:pPr>
            <w:r w:rsidRPr="00DF056E">
              <w:rPr>
                <w:snapToGrid w:val="0"/>
                <w:color w:val="000000"/>
                <w:sz w:val="22"/>
                <w:szCs w:val="22"/>
              </w:rPr>
              <w:t>NOx</w:t>
            </w:r>
          </w:p>
        </w:tc>
        <w:tc>
          <w:tcPr>
            <w:tcW w:w="1350" w:type="dxa"/>
            <w:shd w:val="clear" w:color="auto" w:fill="auto"/>
            <w:vAlign w:val="center"/>
          </w:tcPr>
          <w:p w14:paraId="16FD3075" w14:textId="263A031E" w:rsidR="00B31211" w:rsidRPr="009C717F" w:rsidRDefault="00B31211" w:rsidP="00461BE9">
            <w:pPr>
              <w:keepNext/>
              <w:widowControl w:val="0"/>
              <w:jc w:val="center"/>
              <w:rPr>
                <w:color w:val="0000FF"/>
                <w:sz w:val="22"/>
                <w:szCs w:val="22"/>
              </w:rPr>
            </w:pPr>
            <w:r w:rsidRPr="004076C1">
              <w:rPr>
                <w:rFonts w:eastAsia="Arial Unicode MS" w:cs="Arial"/>
                <w:bCs/>
                <w:color w:val="0000FF"/>
                <w:sz w:val="22"/>
                <w:szCs w:val="18"/>
              </w:rPr>
              <w:t>X,XXX</w:t>
            </w:r>
          </w:p>
        </w:tc>
        <w:tc>
          <w:tcPr>
            <w:tcW w:w="1440" w:type="dxa"/>
            <w:shd w:val="clear" w:color="auto" w:fill="auto"/>
            <w:vAlign w:val="center"/>
          </w:tcPr>
          <w:p w14:paraId="0A38A3D1" w14:textId="0CEBBEC6" w:rsidR="00B31211" w:rsidRPr="00EA3A7C" w:rsidRDefault="00B31211" w:rsidP="00461BE9">
            <w:pPr>
              <w:keepNext/>
              <w:widowControl w:val="0"/>
              <w:jc w:val="center"/>
              <w:rPr>
                <w:color w:val="0000FF"/>
                <w:sz w:val="22"/>
                <w:szCs w:val="22"/>
              </w:rPr>
            </w:pPr>
            <w:r w:rsidRPr="004076C1">
              <w:rPr>
                <w:rFonts w:eastAsia="Arial Unicode MS" w:cs="Arial"/>
                <w:bCs/>
                <w:color w:val="0000FF"/>
                <w:sz w:val="22"/>
                <w:szCs w:val="18"/>
              </w:rPr>
              <w:t>X,XXX</w:t>
            </w:r>
          </w:p>
        </w:tc>
        <w:tc>
          <w:tcPr>
            <w:tcW w:w="1350" w:type="dxa"/>
            <w:vAlign w:val="center"/>
          </w:tcPr>
          <w:p w14:paraId="4A205D47" w14:textId="74DEBB83" w:rsidR="00B31211" w:rsidRPr="00CC3EDF" w:rsidRDefault="00B31211" w:rsidP="00461BE9">
            <w:pPr>
              <w:keepNext/>
              <w:widowControl w:val="0"/>
              <w:jc w:val="center"/>
              <w:rPr>
                <w:color w:val="0000FF"/>
                <w:sz w:val="22"/>
                <w:szCs w:val="22"/>
              </w:rPr>
            </w:pPr>
            <w:r w:rsidRPr="004076C1">
              <w:rPr>
                <w:rFonts w:eastAsia="Arial Unicode MS" w:cs="Arial"/>
                <w:bCs/>
                <w:color w:val="0000FF"/>
                <w:sz w:val="22"/>
                <w:szCs w:val="18"/>
              </w:rPr>
              <w:t>X,XXX</w:t>
            </w:r>
          </w:p>
        </w:tc>
        <w:tc>
          <w:tcPr>
            <w:tcW w:w="1350" w:type="dxa"/>
            <w:vAlign w:val="center"/>
          </w:tcPr>
          <w:p w14:paraId="39F13BF4" w14:textId="2A48FDCD" w:rsidR="00B31211" w:rsidRPr="00CC3EDF" w:rsidRDefault="00B31211" w:rsidP="00461BE9">
            <w:pPr>
              <w:keepNext/>
              <w:widowControl w:val="0"/>
              <w:jc w:val="center"/>
              <w:rPr>
                <w:color w:val="0000FF"/>
                <w:sz w:val="22"/>
                <w:szCs w:val="22"/>
              </w:rPr>
            </w:pPr>
            <w:r w:rsidRPr="004076C1">
              <w:rPr>
                <w:rFonts w:eastAsia="Arial Unicode MS" w:cs="Arial"/>
                <w:bCs/>
                <w:color w:val="0000FF"/>
                <w:sz w:val="22"/>
                <w:szCs w:val="18"/>
              </w:rPr>
              <w:t>X,XXX</w:t>
            </w:r>
          </w:p>
        </w:tc>
        <w:tc>
          <w:tcPr>
            <w:tcW w:w="1350" w:type="dxa"/>
            <w:shd w:val="clear" w:color="auto" w:fill="auto"/>
            <w:vAlign w:val="center"/>
          </w:tcPr>
          <w:p w14:paraId="7695CDDD" w14:textId="74032BB7" w:rsidR="00B31211" w:rsidRPr="00B31211" w:rsidRDefault="00B31211" w:rsidP="00461BE9">
            <w:pPr>
              <w:keepNext/>
              <w:widowControl w:val="0"/>
              <w:jc w:val="center"/>
              <w:rPr>
                <w:b/>
                <w:color w:val="0000FF"/>
                <w:sz w:val="22"/>
                <w:szCs w:val="22"/>
              </w:rPr>
            </w:pPr>
            <w:r w:rsidRPr="00B31211">
              <w:rPr>
                <w:rFonts w:eastAsia="Arial Unicode MS" w:cs="Arial"/>
                <w:b/>
                <w:color w:val="0000FF"/>
                <w:sz w:val="22"/>
                <w:szCs w:val="18"/>
              </w:rPr>
              <w:t>X,XXX</w:t>
            </w:r>
          </w:p>
        </w:tc>
      </w:tr>
      <w:tr w:rsidR="00B31211" w:rsidRPr="00CC3EDF" w14:paraId="2A803EA0" w14:textId="77777777" w:rsidTr="00B31211">
        <w:trPr>
          <w:trHeight w:val="504"/>
        </w:trPr>
        <w:tc>
          <w:tcPr>
            <w:tcW w:w="1587" w:type="dxa"/>
            <w:shd w:val="clear" w:color="auto" w:fill="auto"/>
            <w:vAlign w:val="center"/>
          </w:tcPr>
          <w:p w14:paraId="77186C6F" w14:textId="344C5AA3" w:rsidR="00B31211" w:rsidRPr="00410F16" w:rsidRDefault="00B31211" w:rsidP="00461BE9">
            <w:pPr>
              <w:keepNext/>
              <w:widowControl w:val="0"/>
              <w:jc w:val="center"/>
              <w:rPr>
                <w:sz w:val="22"/>
                <w:szCs w:val="22"/>
              </w:rPr>
            </w:pPr>
            <w:r w:rsidRPr="00DF056E">
              <w:rPr>
                <w:sz w:val="22"/>
                <w:szCs w:val="22"/>
              </w:rPr>
              <w:t>VOC</w:t>
            </w:r>
          </w:p>
        </w:tc>
        <w:tc>
          <w:tcPr>
            <w:tcW w:w="1350" w:type="dxa"/>
            <w:shd w:val="clear" w:color="auto" w:fill="auto"/>
            <w:vAlign w:val="center"/>
          </w:tcPr>
          <w:p w14:paraId="7F04D216" w14:textId="148C4267" w:rsidR="00B31211" w:rsidRPr="009C717F" w:rsidRDefault="00B31211" w:rsidP="00461BE9">
            <w:pPr>
              <w:keepNext/>
              <w:widowControl w:val="0"/>
              <w:jc w:val="center"/>
              <w:rPr>
                <w:sz w:val="22"/>
                <w:szCs w:val="22"/>
              </w:rPr>
            </w:pPr>
            <w:r w:rsidRPr="004076C1">
              <w:rPr>
                <w:rFonts w:eastAsia="Arial Unicode MS" w:cs="Arial"/>
                <w:bCs/>
                <w:color w:val="0000FF"/>
                <w:sz w:val="22"/>
                <w:szCs w:val="18"/>
              </w:rPr>
              <w:t>X,XXX</w:t>
            </w:r>
          </w:p>
        </w:tc>
        <w:tc>
          <w:tcPr>
            <w:tcW w:w="1440" w:type="dxa"/>
            <w:shd w:val="clear" w:color="auto" w:fill="auto"/>
            <w:vAlign w:val="center"/>
          </w:tcPr>
          <w:p w14:paraId="76FC8841" w14:textId="37212B22" w:rsidR="00B31211" w:rsidRPr="00EA3A7C" w:rsidRDefault="00B31211" w:rsidP="00461BE9">
            <w:pPr>
              <w:keepNext/>
              <w:widowControl w:val="0"/>
              <w:jc w:val="center"/>
              <w:rPr>
                <w:sz w:val="22"/>
                <w:szCs w:val="22"/>
              </w:rPr>
            </w:pPr>
            <w:r w:rsidRPr="004076C1">
              <w:rPr>
                <w:rFonts w:eastAsia="Arial Unicode MS" w:cs="Arial"/>
                <w:bCs/>
                <w:color w:val="0000FF"/>
                <w:sz w:val="22"/>
                <w:szCs w:val="18"/>
              </w:rPr>
              <w:t>X,XXX</w:t>
            </w:r>
          </w:p>
        </w:tc>
        <w:tc>
          <w:tcPr>
            <w:tcW w:w="1350" w:type="dxa"/>
            <w:vAlign w:val="center"/>
          </w:tcPr>
          <w:p w14:paraId="6BB4D65B" w14:textId="06E121CE" w:rsidR="00B31211" w:rsidRPr="00CC3EDF" w:rsidRDefault="00B31211" w:rsidP="00461BE9">
            <w:pPr>
              <w:keepNext/>
              <w:widowControl w:val="0"/>
              <w:jc w:val="center"/>
              <w:rPr>
                <w:sz w:val="22"/>
                <w:szCs w:val="22"/>
              </w:rPr>
            </w:pPr>
            <w:r w:rsidRPr="004076C1">
              <w:rPr>
                <w:rFonts w:eastAsia="Arial Unicode MS" w:cs="Arial"/>
                <w:bCs/>
                <w:color w:val="0000FF"/>
                <w:sz w:val="22"/>
                <w:szCs w:val="18"/>
              </w:rPr>
              <w:t>X,XXX</w:t>
            </w:r>
          </w:p>
        </w:tc>
        <w:tc>
          <w:tcPr>
            <w:tcW w:w="1350" w:type="dxa"/>
            <w:vAlign w:val="center"/>
          </w:tcPr>
          <w:p w14:paraId="510425F7" w14:textId="46A88C2A" w:rsidR="00B31211" w:rsidRPr="00CC3EDF" w:rsidRDefault="00B31211" w:rsidP="00461BE9">
            <w:pPr>
              <w:keepNext/>
              <w:widowControl w:val="0"/>
              <w:jc w:val="center"/>
              <w:rPr>
                <w:sz w:val="22"/>
                <w:szCs w:val="22"/>
              </w:rPr>
            </w:pPr>
            <w:r w:rsidRPr="004076C1">
              <w:rPr>
                <w:rFonts w:eastAsia="Arial Unicode MS" w:cs="Arial"/>
                <w:bCs/>
                <w:color w:val="0000FF"/>
                <w:sz w:val="22"/>
                <w:szCs w:val="18"/>
              </w:rPr>
              <w:t>X,XXX</w:t>
            </w:r>
          </w:p>
        </w:tc>
        <w:tc>
          <w:tcPr>
            <w:tcW w:w="1350" w:type="dxa"/>
            <w:shd w:val="clear" w:color="auto" w:fill="auto"/>
            <w:vAlign w:val="center"/>
          </w:tcPr>
          <w:p w14:paraId="2731546A" w14:textId="7BA6E3E8" w:rsidR="00B31211" w:rsidRPr="00B31211" w:rsidRDefault="00B31211" w:rsidP="00461BE9">
            <w:pPr>
              <w:keepNext/>
              <w:widowControl w:val="0"/>
              <w:jc w:val="center"/>
              <w:rPr>
                <w:b/>
                <w:sz w:val="22"/>
                <w:szCs w:val="22"/>
              </w:rPr>
            </w:pPr>
            <w:r w:rsidRPr="00B31211">
              <w:rPr>
                <w:rFonts w:eastAsia="Arial Unicode MS" w:cs="Arial"/>
                <w:b/>
                <w:color w:val="0000FF"/>
                <w:sz w:val="22"/>
                <w:szCs w:val="18"/>
              </w:rPr>
              <w:t>X,XXX</w:t>
            </w:r>
          </w:p>
        </w:tc>
      </w:tr>
    </w:tbl>
    <w:p w14:paraId="4990616C" w14:textId="77777777" w:rsidR="00CC3EDF" w:rsidRPr="00993B55" w:rsidRDefault="00CC3EDF" w:rsidP="007A60F3">
      <w:pPr>
        <w:widowControl w:val="0"/>
        <w:ind w:left="720"/>
        <w:rPr>
          <w:szCs w:val="24"/>
        </w:rPr>
      </w:pPr>
    </w:p>
    <w:p w14:paraId="43B96BAE" w14:textId="29541502" w:rsidR="00D2283D" w:rsidRPr="00993B55" w:rsidRDefault="00D2283D" w:rsidP="007A60F3">
      <w:pPr>
        <w:widowControl w:val="0"/>
        <w:ind w:left="720"/>
      </w:pPr>
      <w:r w:rsidRPr="00993B55">
        <w:t>The applicant has proposed to use the following emission reduction certificates</w:t>
      </w:r>
      <w:r w:rsidR="00A57F77">
        <w:t xml:space="preserve"> with the surplus value of </w:t>
      </w:r>
      <w:r w:rsidR="00043208">
        <w:t>credits summarized as follows</w:t>
      </w:r>
      <w:r w:rsidRPr="00993B55">
        <w:t>:</w:t>
      </w:r>
    </w:p>
    <w:p w14:paraId="7473F09B" w14:textId="77777777" w:rsidR="00A440A8" w:rsidRDefault="00A440A8" w:rsidP="007A60F3">
      <w:pPr>
        <w:widowControl w:val="0"/>
        <w:autoSpaceDE w:val="0"/>
        <w:autoSpaceDN w:val="0"/>
        <w:adjustRightInd w:val="0"/>
        <w:ind w:left="720"/>
      </w:pPr>
    </w:p>
    <w:p w14:paraId="5E5519E4" w14:textId="0D9E8D81" w:rsidR="005907E0" w:rsidRDefault="005907E0" w:rsidP="007A60F3">
      <w:pPr>
        <w:widowControl w:val="0"/>
        <w:ind w:left="720"/>
        <w:rPr>
          <w:i/>
          <w:iCs/>
          <w:color w:val="FF0000"/>
        </w:rPr>
      </w:pPr>
      <w:r w:rsidRPr="00993B55">
        <w:rPr>
          <w:i/>
          <w:iCs/>
          <w:color w:val="FF0000"/>
        </w:rPr>
        <w:t>(</w:t>
      </w:r>
      <w:r w:rsidRPr="00993B55">
        <w:rPr>
          <w:i/>
          <w:iCs/>
          <w:color w:val="FF0000"/>
          <w:u w:val="single"/>
        </w:rPr>
        <w:t>Note</w:t>
      </w:r>
      <w:r w:rsidRPr="00993B55">
        <w:rPr>
          <w:i/>
          <w:iCs/>
          <w:color w:val="FF0000"/>
        </w:rPr>
        <w:t xml:space="preserve">: </w:t>
      </w:r>
      <w:r w:rsidR="0048636F">
        <w:rPr>
          <w:i/>
          <w:iCs/>
          <w:color w:val="FF0000"/>
        </w:rPr>
        <w:t>Delete the table not needed</w:t>
      </w:r>
      <w:r w:rsidRPr="00993B55">
        <w:rPr>
          <w:i/>
          <w:iCs/>
          <w:color w:val="FF0000"/>
        </w:rPr>
        <w:t>.)</w:t>
      </w:r>
    </w:p>
    <w:p w14:paraId="24DD8B54" w14:textId="6C7F637D" w:rsidR="00C17199" w:rsidRDefault="00C17199" w:rsidP="007A60F3">
      <w:pPr>
        <w:widowControl w:val="0"/>
        <w:ind w:left="720"/>
        <w:rPr>
          <w:i/>
          <w:iCs/>
          <w:color w:val="FF0000"/>
        </w:rPr>
      </w:pPr>
    </w:p>
    <w:tbl>
      <w:tblPr>
        <w:tblW w:w="869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7"/>
        <w:gridCol w:w="1350"/>
        <w:gridCol w:w="1440"/>
        <w:gridCol w:w="1350"/>
        <w:gridCol w:w="1350"/>
        <w:gridCol w:w="1260"/>
      </w:tblGrid>
      <w:tr w:rsidR="00C17199" w:rsidRPr="00A97C36" w14:paraId="11090690" w14:textId="77777777" w:rsidTr="00505E9F">
        <w:trPr>
          <w:cantSplit/>
          <w:trHeight w:val="591"/>
        </w:trPr>
        <w:tc>
          <w:tcPr>
            <w:tcW w:w="8697" w:type="dxa"/>
            <w:gridSpan w:val="6"/>
            <w:shd w:val="clear" w:color="auto" w:fill="D9D9D9" w:themeFill="background1" w:themeFillShade="D9"/>
            <w:vAlign w:val="center"/>
          </w:tcPr>
          <w:p w14:paraId="1D98FC05" w14:textId="76312E15" w:rsidR="00C17199" w:rsidRPr="00A97C36" w:rsidRDefault="0047185E" w:rsidP="00461BE9">
            <w:pPr>
              <w:keepNext/>
              <w:widowControl w:val="0"/>
              <w:jc w:val="center"/>
              <w:rPr>
                <w:b/>
                <w:sz w:val="22"/>
                <w:szCs w:val="22"/>
              </w:rPr>
            </w:pPr>
            <w:r>
              <w:rPr>
                <w:b/>
                <w:sz w:val="22"/>
                <w:szCs w:val="22"/>
              </w:rPr>
              <w:lastRenderedPageBreak/>
              <w:t>Surplus NOx Credits Provided</w:t>
            </w:r>
            <w:r w:rsidR="00C17199" w:rsidRPr="00A97C36">
              <w:rPr>
                <w:b/>
                <w:sz w:val="22"/>
                <w:szCs w:val="22"/>
              </w:rPr>
              <w:t xml:space="preserve"> (lbs)</w:t>
            </w:r>
          </w:p>
        </w:tc>
      </w:tr>
      <w:tr w:rsidR="0047185E" w:rsidRPr="00A97C36" w14:paraId="1FE5C91A" w14:textId="77777777" w:rsidTr="00505E9F">
        <w:trPr>
          <w:trHeight w:val="438"/>
        </w:trPr>
        <w:tc>
          <w:tcPr>
            <w:tcW w:w="1947" w:type="dxa"/>
            <w:shd w:val="clear" w:color="auto" w:fill="D9D9D9" w:themeFill="background1" w:themeFillShade="D9"/>
            <w:vAlign w:val="center"/>
          </w:tcPr>
          <w:p w14:paraId="224D8560" w14:textId="58CCCC27" w:rsidR="00C17199" w:rsidRPr="00A97C36" w:rsidRDefault="008D07DC" w:rsidP="00461BE9">
            <w:pPr>
              <w:keepNext/>
              <w:widowControl w:val="0"/>
              <w:jc w:val="center"/>
              <w:rPr>
                <w:b/>
                <w:sz w:val="22"/>
                <w:szCs w:val="22"/>
              </w:rPr>
            </w:pPr>
            <w:r>
              <w:rPr>
                <w:b/>
                <w:sz w:val="22"/>
                <w:szCs w:val="22"/>
              </w:rPr>
              <w:t>ERC #</w:t>
            </w:r>
          </w:p>
        </w:tc>
        <w:tc>
          <w:tcPr>
            <w:tcW w:w="1350" w:type="dxa"/>
            <w:shd w:val="clear" w:color="auto" w:fill="D9D9D9" w:themeFill="background1" w:themeFillShade="D9"/>
            <w:vAlign w:val="center"/>
          </w:tcPr>
          <w:p w14:paraId="13027D28" w14:textId="77777777" w:rsidR="00C17199" w:rsidRPr="00A97C36" w:rsidRDefault="00C17199" w:rsidP="00461BE9">
            <w:pPr>
              <w:keepNext/>
              <w:widowControl w:val="0"/>
              <w:jc w:val="center"/>
              <w:rPr>
                <w:b/>
                <w:sz w:val="22"/>
                <w:szCs w:val="22"/>
              </w:rPr>
            </w:pPr>
            <w:r w:rsidRPr="00A97C36">
              <w:rPr>
                <w:b/>
                <w:sz w:val="22"/>
                <w:szCs w:val="22"/>
              </w:rPr>
              <w:t>1</w:t>
            </w:r>
            <w:r w:rsidRPr="00A97C36">
              <w:rPr>
                <w:b/>
                <w:sz w:val="22"/>
                <w:szCs w:val="22"/>
                <w:vertAlign w:val="superscript"/>
              </w:rPr>
              <w:t>st</w:t>
            </w:r>
            <w:r w:rsidRPr="00A97C36">
              <w:rPr>
                <w:b/>
                <w:sz w:val="22"/>
                <w:szCs w:val="22"/>
              </w:rPr>
              <w:t xml:space="preserve"> Quarter</w:t>
            </w:r>
          </w:p>
        </w:tc>
        <w:tc>
          <w:tcPr>
            <w:tcW w:w="1440" w:type="dxa"/>
            <w:shd w:val="clear" w:color="auto" w:fill="D9D9D9" w:themeFill="background1" w:themeFillShade="D9"/>
            <w:vAlign w:val="center"/>
          </w:tcPr>
          <w:p w14:paraId="618833BB" w14:textId="77777777" w:rsidR="00C17199" w:rsidRPr="00A97C36" w:rsidRDefault="00C17199" w:rsidP="00461BE9">
            <w:pPr>
              <w:keepNext/>
              <w:widowControl w:val="0"/>
              <w:jc w:val="center"/>
              <w:rPr>
                <w:b/>
                <w:sz w:val="22"/>
                <w:szCs w:val="22"/>
              </w:rPr>
            </w:pPr>
            <w:r w:rsidRPr="00A97C36">
              <w:rPr>
                <w:b/>
                <w:sz w:val="22"/>
                <w:szCs w:val="22"/>
              </w:rPr>
              <w:t>2</w:t>
            </w:r>
            <w:r w:rsidRPr="00A97C36">
              <w:rPr>
                <w:b/>
                <w:sz w:val="22"/>
                <w:szCs w:val="22"/>
                <w:vertAlign w:val="superscript"/>
              </w:rPr>
              <w:t>nd</w:t>
            </w:r>
            <w:r w:rsidRPr="00A97C36">
              <w:rPr>
                <w:b/>
                <w:sz w:val="22"/>
                <w:szCs w:val="22"/>
              </w:rPr>
              <w:t xml:space="preserve"> Quarter</w:t>
            </w:r>
          </w:p>
        </w:tc>
        <w:tc>
          <w:tcPr>
            <w:tcW w:w="1350" w:type="dxa"/>
            <w:shd w:val="clear" w:color="auto" w:fill="D9D9D9" w:themeFill="background1" w:themeFillShade="D9"/>
            <w:vAlign w:val="center"/>
          </w:tcPr>
          <w:p w14:paraId="413582B9" w14:textId="77777777" w:rsidR="00C17199" w:rsidRPr="00A97C36" w:rsidRDefault="00C17199" w:rsidP="00461BE9">
            <w:pPr>
              <w:keepNext/>
              <w:widowControl w:val="0"/>
              <w:jc w:val="center"/>
              <w:rPr>
                <w:b/>
                <w:sz w:val="22"/>
                <w:szCs w:val="22"/>
              </w:rPr>
            </w:pPr>
            <w:r w:rsidRPr="00A97C36">
              <w:rPr>
                <w:b/>
                <w:sz w:val="22"/>
                <w:szCs w:val="22"/>
              </w:rPr>
              <w:t>3</w:t>
            </w:r>
            <w:r w:rsidRPr="00A97C36">
              <w:rPr>
                <w:b/>
                <w:sz w:val="22"/>
                <w:szCs w:val="22"/>
                <w:vertAlign w:val="superscript"/>
              </w:rPr>
              <w:t>rd</w:t>
            </w:r>
            <w:r w:rsidRPr="00A97C36">
              <w:rPr>
                <w:b/>
                <w:sz w:val="22"/>
                <w:szCs w:val="22"/>
              </w:rPr>
              <w:t xml:space="preserve"> Quarter</w:t>
            </w:r>
          </w:p>
        </w:tc>
        <w:tc>
          <w:tcPr>
            <w:tcW w:w="1350" w:type="dxa"/>
            <w:shd w:val="clear" w:color="auto" w:fill="D9D9D9" w:themeFill="background1" w:themeFillShade="D9"/>
            <w:vAlign w:val="center"/>
          </w:tcPr>
          <w:p w14:paraId="3CE4BB5D" w14:textId="77777777" w:rsidR="00C17199" w:rsidRPr="00A97C36" w:rsidRDefault="00C17199" w:rsidP="00461BE9">
            <w:pPr>
              <w:keepNext/>
              <w:widowControl w:val="0"/>
              <w:jc w:val="center"/>
              <w:rPr>
                <w:b/>
                <w:sz w:val="22"/>
                <w:szCs w:val="22"/>
              </w:rPr>
            </w:pPr>
            <w:r w:rsidRPr="00A97C36">
              <w:rPr>
                <w:b/>
                <w:sz w:val="22"/>
                <w:szCs w:val="22"/>
              </w:rPr>
              <w:t>4</w:t>
            </w:r>
            <w:r w:rsidRPr="00A97C36">
              <w:rPr>
                <w:b/>
                <w:sz w:val="22"/>
                <w:szCs w:val="22"/>
                <w:vertAlign w:val="superscript"/>
              </w:rPr>
              <w:t>th</w:t>
            </w:r>
            <w:r w:rsidRPr="00A97C36">
              <w:rPr>
                <w:b/>
                <w:sz w:val="22"/>
                <w:szCs w:val="22"/>
              </w:rPr>
              <w:t xml:space="preserve"> Quarter</w:t>
            </w:r>
          </w:p>
        </w:tc>
        <w:tc>
          <w:tcPr>
            <w:tcW w:w="1260" w:type="dxa"/>
            <w:shd w:val="clear" w:color="auto" w:fill="D9D9D9" w:themeFill="background1" w:themeFillShade="D9"/>
            <w:vAlign w:val="center"/>
          </w:tcPr>
          <w:p w14:paraId="2DF4B58E" w14:textId="77777777" w:rsidR="00C17199" w:rsidRPr="00A97C36" w:rsidRDefault="00C17199" w:rsidP="00461BE9">
            <w:pPr>
              <w:keepNext/>
              <w:widowControl w:val="0"/>
              <w:jc w:val="center"/>
              <w:rPr>
                <w:b/>
                <w:sz w:val="22"/>
                <w:szCs w:val="22"/>
              </w:rPr>
            </w:pPr>
            <w:r w:rsidRPr="00A97C36">
              <w:rPr>
                <w:b/>
                <w:sz w:val="22"/>
                <w:szCs w:val="22"/>
              </w:rPr>
              <w:t>Total Annual</w:t>
            </w:r>
          </w:p>
        </w:tc>
      </w:tr>
      <w:tr w:rsidR="00B31211" w:rsidRPr="00A97C36" w14:paraId="67BF7D3A" w14:textId="77777777" w:rsidTr="00B31211">
        <w:trPr>
          <w:trHeight w:val="476"/>
        </w:trPr>
        <w:tc>
          <w:tcPr>
            <w:tcW w:w="1947" w:type="dxa"/>
            <w:shd w:val="clear" w:color="auto" w:fill="auto"/>
            <w:vAlign w:val="center"/>
          </w:tcPr>
          <w:p w14:paraId="4D60ACFB" w14:textId="631B9A68" w:rsidR="00B31211" w:rsidRPr="00A97C36" w:rsidRDefault="00D20024" w:rsidP="00461BE9">
            <w:pPr>
              <w:keepNext/>
              <w:widowControl w:val="0"/>
              <w:jc w:val="center"/>
              <w:rPr>
                <w:snapToGrid w:val="0"/>
                <w:color w:val="000000"/>
                <w:sz w:val="22"/>
                <w:szCs w:val="22"/>
              </w:rPr>
            </w:pPr>
            <w:r>
              <w:rPr>
                <w:color w:val="0000FF"/>
                <w:sz w:val="22"/>
              </w:rPr>
              <w:t>X</w:t>
            </w:r>
            <w:r w:rsidR="00B31211" w:rsidRPr="00993B55">
              <w:rPr>
                <w:color w:val="0000FF"/>
                <w:sz w:val="22"/>
              </w:rPr>
              <w:t>-XXXX-2</w:t>
            </w:r>
          </w:p>
        </w:tc>
        <w:tc>
          <w:tcPr>
            <w:tcW w:w="1350" w:type="dxa"/>
            <w:shd w:val="clear" w:color="auto" w:fill="auto"/>
            <w:vAlign w:val="center"/>
          </w:tcPr>
          <w:p w14:paraId="10D8FE6A" w14:textId="5434B594" w:rsidR="00B31211" w:rsidRPr="00A97C36" w:rsidRDefault="00B31211" w:rsidP="00461BE9">
            <w:pPr>
              <w:keepNext/>
              <w:widowControl w:val="0"/>
              <w:jc w:val="center"/>
              <w:rPr>
                <w:color w:val="0000FF"/>
                <w:sz w:val="22"/>
                <w:szCs w:val="22"/>
              </w:rPr>
            </w:pPr>
            <w:r w:rsidRPr="004076C1">
              <w:rPr>
                <w:rFonts w:eastAsia="Arial Unicode MS" w:cs="Arial"/>
                <w:bCs/>
                <w:color w:val="0000FF"/>
                <w:sz w:val="22"/>
                <w:szCs w:val="18"/>
              </w:rPr>
              <w:t>X,XXX</w:t>
            </w:r>
          </w:p>
        </w:tc>
        <w:tc>
          <w:tcPr>
            <w:tcW w:w="1440" w:type="dxa"/>
            <w:shd w:val="clear" w:color="auto" w:fill="auto"/>
            <w:vAlign w:val="center"/>
          </w:tcPr>
          <w:p w14:paraId="6FA4EB31" w14:textId="3DD35DFF" w:rsidR="00B31211" w:rsidRPr="00A97C36" w:rsidRDefault="00B31211" w:rsidP="00461BE9">
            <w:pPr>
              <w:keepNext/>
              <w:widowControl w:val="0"/>
              <w:jc w:val="center"/>
              <w:rPr>
                <w:color w:val="0000FF"/>
                <w:sz w:val="22"/>
                <w:szCs w:val="22"/>
              </w:rPr>
            </w:pPr>
            <w:r w:rsidRPr="004076C1">
              <w:rPr>
                <w:rFonts w:eastAsia="Arial Unicode MS" w:cs="Arial"/>
                <w:bCs/>
                <w:color w:val="0000FF"/>
                <w:sz w:val="22"/>
                <w:szCs w:val="18"/>
              </w:rPr>
              <w:t>X,XXX</w:t>
            </w:r>
          </w:p>
        </w:tc>
        <w:tc>
          <w:tcPr>
            <w:tcW w:w="1350" w:type="dxa"/>
            <w:vAlign w:val="center"/>
          </w:tcPr>
          <w:p w14:paraId="24DFA9F8" w14:textId="0916811A" w:rsidR="00B31211" w:rsidRPr="00A97C36" w:rsidRDefault="00B31211" w:rsidP="00461BE9">
            <w:pPr>
              <w:keepNext/>
              <w:widowControl w:val="0"/>
              <w:jc w:val="center"/>
              <w:rPr>
                <w:color w:val="0000FF"/>
                <w:sz w:val="22"/>
                <w:szCs w:val="22"/>
              </w:rPr>
            </w:pPr>
            <w:r w:rsidRPr="004076C1">
              <w:rPr>
                <w:rFonts w:eastAsia="Arial Unicode MS" w:cs="Arial"/>
                <w:bCs/>
                <w:color w:val="0000FF"/>
                <w:sz w:val="22"/>
                <w:szCs w:val="18"/>
              </w:rPr>
              <w:t>X,XXX</w:t>
            </w:r>
          </w:p>
        </w:tc>
        <w:tc>
          <w:tcPr>
            <w:tcW w:w="1350" w:type="dxa"/>
            <w:vAlign w:val="center"/>
          </w:tcPr>
          <w:p w14:paraId="3388499D" w14:textId="65DDAE56" w:rsidR="00B31211" w:rsidRPr="00A97C36" w:rsidRDefault="00B31211" w:rsidP="00461BE9">
            <w:pPr>
              <w:keepNext/>
              <w:widowControl w:val="0"/>
              <w:jc w:val="center"/>
              <w:rPr>
                <w:color w:val="0000FF"/>
                <w:sz w:val="22"/>
                <w:szCs w:val="22"/>
              </w:rPr>
            </w:pPr>
            <w:r w:rsidRPr="004076C1">
              <w:rPr>
                <w:rFonts w:eastAsia="Arial Unicode MS" w:cs="Arial"/>
                <w:bCs/>
                <w:color w:val="0000FF"/>
                <w:sz w:val="22"/>
                <w:szCs w:val="18"/>
              </w:rPr>
              <w:t>X,XXX</w:t>
            </w:r>
          </w:p>
        </w:tc>
        <w:tc>
          <w:tcPr>
            <w:tcW w:w="1260" w:type="dxa"/>
            <w:shd w:val="clear" w:color="auto" w:fill="auto"/>
            <w:vAlign w:val="center"/>
          </w:tcPr>
          <w:p w14:paraId="0E7CE08F" w14:textId="3D87EC74" w:rsidR="00B31211" w:rsidRPr="00A97C36" w:rsidRDefault="00B31211" w:rsidP="00461BE9">
            <w:pPr>
              <w:keepNext/>
              <w:widowControl w:val="0"/>
              <w:jc w:val="center"/>
              <w:rPr>
                <w:color w:val="0000FF"/>
                <w:sz w:val="22"/>
                <w:szCs w:val="22"/>
              </w:rPr>
            </w:pPr>
            <w:r w:rsidRPr="00B31211">
              <w:rPr>
                <w:rFonts w:eastAsia="Arial Unicode MS" w:cs="Arial"/>
                <w:b/>
                <w:color w:val="0000FF"/>
                <w:sz w:val="22"/>
                <w:szCs w:val="18"/>
              </w:rPr>
              <w:t>X,XXX</w:t>
            </w:r>
          </w:p>
        </w:tc>
      </w:tr>
      <w:tr w:rsidR="00B31211" w:rsidRPr="00A97C36" w14:paraId="35A89AA8" w14:textId="77777777" w:rsidTr="00505E9F">
        <w:trPr>
          <w:trHeight w:val="504"/>
        </w:trPr>
        <w:tc>
          <w:tcPr>
            <w:tcW w:w="1947" w:type="dxa"/>
            <w:shd w:val="clear" w:color="auto" w:fill="auto"/>
            <w:vAlign w:val="center"/>
          </w:tcPr>
          <w:p w14:paraId="38340B83" w14:textId="48B1EFFF" w:rsidR="00B31211" w:rsidRPr="00A97C36" w:rsidRDefault="00D20024" w:rsidP="00461BE9">
            <w:pPr>
              <w:keepNext/>
              <w:widowControl w:val="0"/>
              <w:jc w:val="center"/>
              <w:rPr>
                <w:sz w:val="22"/>
                <w:szCs w:val="22"/>
              </w:rPr>
            </w:pPr>
            <w:r>
              <w:rPr>
                <w:color w:val="0000FF"/>
                <w:sz w:val="22"/>
              </w:rPr>
              <w:t>X</w:t>
            </w:r>
            <w:r w:rsidR="00B31211" w:rsidRPr="00993B55">
              <w:rPr>
                <w:color w:val="0000FF"/>
                <w:sz w:val="22"/>
              </w:rPr>
              <w:t>-XXXX-2</w:t>
            </w:r>
          </w:p>
        </w:tc>
        <w:tc>
          <w:tcPr>
            <w:tcW w:w="1350" w:type="dxa"/>
            <w:shd w:val="clear" w:color="auto" w:fill="auto"/>
            <w:vAlign w:val="center"/>
          </w:tcPr>
          <w:p w14:paraId="3FAA7A94" w14:textId="2FD59EFE" w:rsidR="00B31211" w:rsidRPr="00A97C36" w:rsidRDefault="00B31211" w:rsidP="00461BE9">
            <w:pPr>
              <w:keepNext/>
              <w:widowControl w:val="0"/>
              <w:jc w:val="center"/>
              <w:rPr>
                <w:sz w:val="22"/>
                <w:szCs w:val="22"/>
              </w:rPr>
            </w:pPr>
            <w:r w:rsidRPr="004076C1">
              <w:rPr>
                <w:rFonts w:eastAsia="Arial Unicode MS" w:cs="Arial"/>
                <w:bCs/>
                <w:color w:val="0000FF"/>
                <w:sz w:val="22"/>
                <w:szCs w:val="18"/>
              </w:rPr>
              <w:t>X,XXX</w:t>
            </w:r>
          </w:p>
        </w:tc>
        <w:tc>
          <w:tcPr>
            <w:tcW w:w="1440" w:type="dxa"/>
            <w:shd w:val="clear" w:color="auto" w:fill="auto"/>
            <w:vAlign w:val="center"/>
          </w:tcPr>
          <w:p w14:paraId="0A2D5F61" w14:textId="31777C89" w:rsidR="00B31211" w:rsidRPr="00A97C36" w:rsidRDefault="00B31211" w:rsidP="00461BE9">
            <w:pPr>
              <w:keepNext/>
              <w:widowControl w:val="0"/>
              <w:jc w:val="center"/>
              <w:rPr>
                <w:sz w:val="22"/>
                <w:szCs w:val="22"/>
              </w:rPr>
            </w:pPr>
            <w:r w:rsidRPr="004076C1">
              <w:rPr>
                <w:rFonts w:eastAsia="Arial Unicode MS" w:cs="Arial"/>
                <w:bCs/>
                <w:color w:val="0000FF"/>
                <w:sz w:val="22"/>
                <w:szCs w:val="18"/>
              </w:rPr>
              <w:t>X,XXX</w:t>
            </w:r>
          </w:p>
        </w:tc>
        <w:tc>
          <w:tcPr>
            <w:tcW w:w="1350" w:type="dxa"/>
            <w:vAlign w:val="center"/>
          </w:tcPr>
          <w:p w14:paraId="09B0B707" w14:textId="7B93D083" w:rsidR="00B31211" w:rsidRPr="00A97C36" w:rsidRDefault="00B31211" w:rsidP="00461BE9">
            <w:pPr>
              <w:keepNext/>
              <w:widowControl w:val="0"/>
              <w:jc w:val="center"/>
              <w:rPr>
                <w:sz w:val="22"/>
                <w:szCs w:val="22"/>
              </w:rPr>
            </w:pPr>
            <w:r w:rsidRPr="004076C1">
              <w:rPr>
                <w:rFonts w:eastAsia="Arial Unicode MS" w:cs="Arial"/>
                <w:bCs/>
                <w:color w:val="0000FF"/>
                <w:sz w:val="22"/>
                <w:szCs w:val="18"/>
              </w:rPr>
              <w:t>X,XXX</w:t>
            </w:r>
          </w:p>
        </w:tc>
        <w:tc>
          <w:tcPr>
            <w:tcW w:w="1350" w:type="dxa"/>
            <w:vAlign w:val="center"/>
          </w:tcPr>
          <w:p w14:paraId="5B6A3027" w14:textId="272DB79D" w:rsidR="00B31211" w:rsidRPr="00A97C36" w:rsidRDefault="00B31211" w:rsidP="00461BE9">
            <w:pPr>
              <w:keepNext/>
              <w:widowControl w:val="0"/>
              <w:jc w:val="center"/>
              <w:rPr>
                <w:sz w:val="22"/>
                <w:szCs w:val="22"/>
              </w:rPr>
            </w:pPr>
            <w:r w:rsidRPr="004076C1">
              <w:rPr>
                <w:rFonts w:eastAsia="Arial Unicode MS" w:cs="Arial"/>
                <w:bCs/>
                <w:color w:val="0000FF"/>
                <w:sz w:val="22"/>
                <w:szCs w:val="18"/>
              </w:rPr>
              <w:t>X,XXX</w:t>
            </w:r>
          </w:p>
        </w:tc>
        <w:tc>
          <w:tcPr>
            <w:tcW w:w="1260" w:type="dxa"/>
            <w:shd w:val="clear" w:color="auto" w:fill="auto"/>
            <w:vAlign w:val="center"/>
          </w:tcPr>
          <w:p w14:paraId="13C6333E" w14:textId="66B3D3EE" w:rsidR="00B31211" w:rsidRPr="00A97C36" w:rsidRDefault="00B31211" w:rsidP="00461BE9">
            <w:pPr>
              <w:keepNext/>
              <w:widowControl w:val="0"/>
              <w:jc w:val="center"/>
              <w:rPr>
                <w:sz w:val="22"/>
                <w:szCs w:val="22"/>
              </w:rPr>
            </w:pPr>
            <w:r w:rsidRPr="00B31211">
              <w:rPr>
                <w:rFonts w:eastAsia="Arial Unicode MS" w:cs="Arial"/>
                <w:b/>
                <w:color w:val="0000FF"/>
                <w:sz w:val="22"/>
                <w:szCs w:val="18"/>
              </w:rPr>
              <w:t>X,XXX</w:t>
            </w:r>
          </w:p>
        </w:tc>
      </w:tr>
    </w:tbl>
    <w:p w14:paraId="6E18A5B9" w14:textId="77777777" w:rsidR="00C17199" w:rsidRPr="00993B55" w:rsidRDefault="00C17199" w:rsidP="007A60F3">
      <w:pPr>
        <w:widowControl w:val="0"/>
        <w:ind w:left="720"/>
        <w:rPr>
          <w:i/>
          <w:iCs/>
          <w:color w:val="FF0000"/>
        </w:rPr>
      </w:pPr>
    </w:p>
    <w:tbl>
      <w:tblPr>
        <w:tblW w:w="869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7"/>
        <w:gridCol w:w="1350"/>
        <w:gridCol w:w="1440"/>
        <w:gridCol w:w="1350"/>
        <w:gridCol w:w="1350"/>
        <w:gridCol w:w="1260"/>
      </w:tblGrid>
      <w:tr w:rsidR="0048636F" w:rsidRPr="00A97C36" w14:paraId="240C02E9" w14:textId="77777777" w:rsidTr="00505E9F">
        <w:trPr>
          <w:cantSplit/>
          <w:trHeight w:val="591"/>
        </w:trPr>
        <w:tc>
          <w:tcPr>
            <w:tcW w:w="8697" w:type="dxa"/>
            <w:gridSpan w:val="6"/>
            <w:shd w:val="clear" w:color="auto" w:fill="D9D9D9" w:themeFill="background1" w:themeFillShade="D9"/>
            <w:vAlign w:val="center"/>
          </w:tcPr>
          <w:p w14:paraId="7232DB17" w14:textId="2E134241" w:rsidR="0048636F" w:rsidRPr="00A97C36" w:rsidRDefault="0048636F" w:rsidP="00461BE9">
            <w:pPr>
              <w:keepNext/>
              <w:widowControl w:val="0"/>
              <w:jc w:val="center"/>
              <w:rPr>
                <w:b/>
                <w:sz w:val="22"/>
                <w:szCs w:val="22"/>
              </w:rPr>
            </w:pPr>
            <w:r>
              <w:rPr>
                <w:b/>
                <w:sz w:val="22"/>
                <w:szCs w:val="22"/>
              </w:rPr>
              <w:t>Surplus VOC Credits Provided</w:t>
            </w:r>
            <w:r w:rsidRPr="00A97C36">
              <w:rPr>
                <w:b/>
                <w:sz w:val="22"/>
                <w:szCs w:val="22"/>
              </w:rPr>
              <w:t xml:space="preserve"> (lbs)</w:t>
            </w:r>
          </w:p>
        </w:tc>
      </w:tr>
      <w:tr w:rsidR="0048636F" w:rsidRPr="00A97C36" w14:paraId="741657E7" w14:textId="77777777" w:rsidTr="00505E9F">
        <w:trPr>
          <w:trHeight w:val="438"/>
        </w:trPr>
        <w:tc>
          <w:tcPr>
            <w:tcW w:w="1947" w:type="dxa"/>
            <w:shd w:val="clear" w:color="auto" w:fill="D9D9D9" w:themeFill="background1" w:themeFillShade="D9"/>
            <w:vAlign w:val="center"/>
          </w:tcPr>
          <w:p w14:paraId="7BD85A5D" w14:textId="77777777" w:rsidR="0048636F" w:rsidRPr="00A97C36" w:rsidRDefault="0048636F" w:rsidP="00461BE9">
            <w:pPr>
              <w:keepNext/>
              <w:widowControl w:val="0"/>
              <w:jc w:val="center"/>
              <w:rPr>
                <w:b/>
                <w:sz w:val="22"/>
                <w:szCs w:val="22"/>
              </w:rPr>
            </w:pPr>
            <w:r>
              <w:rPr>
                <w:b/>
                <w:sz w:val="22"/>
                <w:szCs w:val="22"/>
              </w:rPr>
              <w:t>ERC #</w:t>
            </w:r>
          </w:p>
        </w:tc>
        <w:tc>
          <w:tcPr>
            <w:tcW w:w="1350" w:type="dxa"/>
            <w:shd w:val="clear" w:color="auto" w:fill="D9D9D9" w:themeFill="background1" w:themeFillShade="D9"/>
            <w:vAlign w:val="center"/>
          </w:tcPr>
          <w:p w14:paraId="360FAB0E" w14:textId="77777777" w:rsidR="0048636F" w:rsidRPr="00A97C36" w:rsidRDefault="0048636F" w:rsidP="00461BE9">
            <w:pPr>
              <w:keepNext/>
              <w:widowControl w:val="0"/>
              <w:jc w:val="center"/>
              <w:rPr>
                <w:b/>
                <w:sz w:val="22"/>
                <w:szCs w:val="22"/>
              </w:rPr>
            </w:pPr>
            <w:r w:rsidRPr="00A97C36">
              <w:rPr>
                <w:b/>
                <w:sz w:val="22"/>
                <w:szCs w:val="22"/>
              </w:rPr>
              <w:t>1</w:t>
            </w:r>
            <w:r w:rsidRPr="00A97C36">
              <w:rPr>
                <w:b/>
                <w:sz w:val="22"/>
                <w:szCs w:val="22"/>
                <w:vertAlign w:val="superscript"/>
              </w:rPr>
              <w:t>st</w:t>
            </w:r>
            <w:r w:rsidRPr="00A97C36">
              <w:rPr>
                <w:b/>
                <w:sz w:val="22"/>
                <w:szCs w:val="22"/>
              </w:rPr>
              <w:t xml:space="preserve"> Quarter</w:t>
            </w:r>
          </w:p>
        </w:tc>
        <w:tc>
          <w:tcPr>
            <w:tcW w:w="1440" w:type="dxa"/>
            <w:shd w:val="clear" w:color="auto" w:fill="D9D9D9" w:themeFill="background1" w:themeFillShade="D9"/>
            <w:vAlign w:val="center"/>
          </w:tcPr>
          <w:p w14:paraId="122208F0" w14:textId="77777777" w:rsidR="0048636F" w:rsidRPr="00A97C36" w:rsidRDefault="0048636F" w:rsidP="00461BE9">
            <w:pPr>
              <w:keepNext/>
              <w:widowControl w:val="0"/>
              <w:jc w:val="center"/>
              <w:rPr>
                <w:b/>
                <w:sz w:val="22"/>
                <w:szCs w:val="22"/>
              </w:rPr>
            </w:pPr>
            <w:r w:rsidRPr="00A97C36">
              <w:rPr>
                <w:b/>
                <w:sz w:val="22"/>
                <w:szCs w:val="22"/>
              </w:rPr>
              <w:t>2</w:t>
            </w:r>
            <w:r w:rsidRPr="00A97C36">
              <w:rPr>
                <w:b/>
                <w:sz w:val="22"/>
                <w:szCs w:val="22"/>
                <w:vertAlign w:val="superscript"/>
              </w:rPr>
              <w:t>nd</w:t>
            </w:r>
            <w:r w:rsidRPr="00A97C36">
              <w:rPr>
                <w:b/>
                <w:sz w:val="22"/>
                <w:szCs w:val="22"/>
              </w:rPr>
              <w:t xml:space="preserve"> Quarter</w:t>
            </w:r>
          </w:p>
        </w:tc>
        <w:tc>
          <w:tcPr>
            <w:tcW w:w="1350" w:type="dxa"/>
            <w:shd w:val="clear" w:color="auto" w:fill="D9D9D9" w:themeFill="background1" w:themeFillShade="D9"/>
            <w:vAlign w:val="center"/>
          </w:tcPr>
          <w:p w14:paraId="3EBD924A" w14:textId="77777777" w:rsidR="0048636F" w:rsidRPr="00A97C36" w:rsidRDefault="0048636F" w:rsidP="00461BE9">
            <w:pPr>
              <w:keepNext/>
              <w:widowControl w:val="0"/>
              <w:jc w:val="center"/>
              <w:rPr>
                <w:b/>
                <w:sz w:val="22"/>
                <w:szCs w:val="22"/>
              </w:rPr>
            </w:pPr>
            <w:r w:rsidRPr="00A97C36">
              <w:rPr>
                <w:b/>
                <w:sz w:val="22"/>
                <w:szCs w:val="22"/>
              </w:rPr>
              <w:t>3</w:t>
            </w:r>
            <w:r w:rsidRPr="00A97C36">
              <w:rPr>
                <w:b/>
                <w:sz w:val="22"/>
                <w:szCs w:val="22"/>
                <w:vertAlign w:val="superscript"/>
              </w:rPr>
              <w:t>rd</w:t>
            </w:r>
            <w:r w:rsidRPr="00A97C36">
              <w:rPr>
                <w:b/>
                <w:sz w:val="22"/>
                <w:szCs w:val="22"/>
              </w:rPr>
              <w:t xml:space="preserve"> Quarter</w:t>
            </w:r>
          </w:p>
        </w:tc>
        <w:tc>
          <w:tcPr>
            <w:tcW w:w="1350" w:type="dxa"/>
            <w:shd w:val="clear" w:color="auto" w:fill="D9D9D9" w:themeFill="background1" w:themeFillShade="D9"/>
            <w:vAlign w:val="center"/>
          </w:tcPr>
          <w:p w14:paraId="09A1F614" w14:textId="77777777" w:rsidR="0048636F" w:rsidRPr="00A97C36" w:rsidRDefault="0048636F" w:rsidP="00461BE9">
            <w:pPr>
              <w:keepNext/>
              <w:widowControl w:val="0"/>
              <w:jc w:val="center"/>
              <w:rPr>
                <w:b/>
                <w:sz w:val="22"/>
                <w:szCs w:val="22"/>
              </w:rPr>
            </w:pPr>
            <w:r w:rsidRPr="00A97C36">
              <w:rPr>
                <w:b/>
                <w:sz w:val="22"/>
                <w:szCs w:val="22"/>
              </w:rPr>
              <w:t>4</w:t>
            </w:r>
            <w:r w:rsidRPr="00A97C36">
              <w:rPr>
                <w:b/>
                <w:sz w:val="22"/>
                <w:szCs w:val="22"/>
                <w:vertAlign w:val="superscript"/>
              </w:rPr>
              <w:t>th</w:t>
            </w:r>
            <w:r w:rsidRPr="00A97C36">
              <w:rPr>
                <w:b/>
                <w:sz w:val="22"/>
                <w:szCs w:val="22"/>
              </w:rPr>
              <w:t xml:space="preserve"> Quarter</w:t>
            </w:r>
          </w:p>
        </w:tc>
        <w:tc>
          <w:tcPr>
            <w:tcW w:w="1260" w:type="dxa"/>
            <w:shd w:val="clear" w:color="auto" w:fill="D9D9D9" w:themeFill="background1" w:themeFillShade="D9"/>
            <w:vAlign w:val="center"/>
          </w:tcPr>
          <w:p w14:paraId="256A24E6" w14:textId="77777777" w:rsidR="0048636F" w:rsidRPr="00A97C36" w:rsidRDefault="0048636F" w:rsidP="00461BE9">
            <w:pPr>
              <w:keepNext/>
              <w:widowControl w:val="0"/>
              <w:jc w:val="center"/>
              <w:rPr>
                <w:b/>
                <w:sz w:val="22"/>
                <w:szCs w:val="22"/>
              </w:rPr>
            </w:pPr>
            <w:r w:rsidRPr="00A97C36">
              <w:rPr>
                <w:b/>
                <w:sz w:val="22"/>
                <w:szCs w:val="22"/>
              </w:rPr>
              <w:t>Total Annual</w:t>
            </w:r>
          </w:p>
        </w:tc>
      </w:tr>
      <w:tr w:rsidR="00D20024" w:rsidRPr="00A97C36" w14:paraId="7257996B" w14:textId="77777777" w:rsidTr="00B31211">
        <w:trPr>
          <w:trHeight w:val="503"/>
        </w:trPr>
        <w:tc>
          <w:tcPr>
            <w:tcW w:w="1947" w:type="dxa"/>
            <w:shd w:val="clear" w:color="auto" w:fill="auto"/>
            <w:vAlign w:val="center"/>
          </w:tcPr>
          <w:p w14:paraId="18373CA5" w14:textId="53BD8AC9" w:rsidR="00D20024" w:rsidRPr="00A97C36" w:rsidRDefault="00D20024" w:rsidP="00461BE9">
            <w:pPr>
              <w:keepNext/>
              <w:widowControl w:val="0"/>
              <w:jc w:val="center"/>
              <w:rPr>
                <w:snapToGrid w:val="0"/>
                <w:color w:val="000000"/>
                <w:sz w:val="22"/>
                <w:szCs w:val="22"/>
              </w:rPr>
            </w:pPr>
            <w:r>
              <w:rPr>
                <w:color w:val="0000FF"/>
                <w:sz w:val="22"/>
              </w:rPr>
              <w:t>X</w:t>
            </w:r>
            <w:r w:rsidRPr="00993B55">
              <w:rPr>
                <w:color w:val="0000FF"/>
                <w:sz w:val="22"/>
              </w:rPr>
              <w:t>-XXXX-</w:t>
            </w:r>
            <w:r>
              <w:rPr>
                <w:color w:val="0000FF"/>
                <w:sz w:val="22"/>
              </w:rPr>
              <w:t>1</w:t>
            </w:r>
          </w:p>
        </w:tc>
        <w:tc>
          <w:tcPr>
            <w:tcW w:w="1350" w:type="dxa"/>
            <w:shd w:val="clear" w:color="auto" w:fill="auto"/>
            <w:vAlign w:val="center"/>
          </w:tcPr>
          <w:p w14:paraId="1A1E4602" w14:textId="65E1DAE4" w:rsidR="00D20024" w:rsidRPr="00A97C36" w:rsidRDefault="00D20024" w:rsidP="00461BE9">
            <w:pPr>
              <w:keepNext/>
              <w:widowControl w:val="0"/>
              <w:jc w:val="center"/>
              <w:rPr>
                <w:color w:val="0000FF"/>
                <w:sz w:val="22"/>
                <w:szCs w:val="22"/>
              </w:rPr>
            </w:pPr>
            <w:r w:rsidRPr="004076C1">
              <w:rPr>
                <w:rFonts w:eastAsia="Arial Unicode MS" w:cs="Arial"/>
                <w:bCs/>
                <w:color w:val="0000FF"/>
                <w:sz w:val="22"/>
                <w:szCs w:val="18"/>
              </w:rPr>
              <w:t>X,XXX</w:t>
            </w:r>
          </w:p>
        </w:tc>
        <w:tc>
          <w:tcPr>
            <w:tcW w:w="1440" w:type="dxa"/>
            <w:shd w:val="clear" w:color="auto" w:fill="auto"/>
            <w:vAlign w:val="center"/>
          </w:tcPr>
          <w:p w14:paraId="167079D2" w14:textId="5C65FE42" w:rsidR="00D20024" w:rsidRPr="00A97C36" w:rsidRDefault="00D20024" w:rsidP="00461BE9">
            <w:pPr>
              <w:keepNext/>
              <w:widowControl w:val="0"/>
              <w:jc w:val="center"/>
              <w:rPr>
                <w:color w:val="0000FF"/>
                <w:sz w:val="22"/>
                <w:szCs w:val="22"/>
              </w:rPr>
            </w:pPr>
            <w:r w:rsidRPr="004076C1">
              <w:rPr>
                <w:rFonts w:eastAsia="Arial Unicode MS" w:cs="Arial"/>
                <w:bCs/>
                <w:color w:val="0000FF"/>
                <w:sz w:val="22"/>
                <w:szCs w:val="18"/>
              </w:rPr>
              <w:t>X,XXX</w:t>
            </w:r>
          </w:p>
        </w:tc>
        <w:tc>
          <w:tcPr>
            <w:tcW w:w="1350" w:type="dxa"/>
            <w:vAlign w:val="center"/>
          </w:tcPr>
          <w:p w14:paraId="73FE1E84" w14:textId="31F3E29A" w:rsidR="00D20024" w:rsidRPr="00A97C36" w:rsidRDefault="00D20024" w:rsidP="00461BE9">
            <w:pPr>
              <w:keepNext/>
              <w:widowControl w:val="0"/>
              <w:jc w:val="center"/>
              <w:rPr>
                <w:color w:val="0000FF"/>
                <w:sz w:val="22"/>
                <w:szCs w:val="22"/>
              </w:rPr>
            </w:pPr>
            <w:r w:rsidRPr="004076C1">
              <w:rPr>
                <w:rFonts w:eastAsia="Arial Unicode MS" w:cs="Arial"/>
                <w:bCs/>
                <w:color w:val="0000FF"/>
                <w:sz w:val="22"/>
                <w:szCs w:val="18"/>
              </w:rPr>
              <w:t>X,XXX</w:t>
            </w:r>
          </w:p>
        </w:tc>
        <w:tc>
          <w:tcPr>
            <w:tcW w:w="1350" w:type="dxa"/>
            <w:vAlign w:val="center"/>
          </w:tcPr>
          <w:p w14:paraId="76E594C0" w14:textId="2DB73E7B" w:rsidR="00D20024" w:rsidRPr="00A97C36" w:rsidRDefault="00D20024" w:rsidP="00461BE9">
            <w:pPr>
              <w:keepNext/>
              <w:widowControl w:val="0"/>
              <w:jc w:val="center"/>
              <w:rPr>
                <w:color w:val="0000FF"/>
                <w:sz w:val="22"/>
                <w:szCs w:val="22"/>
              </w:rPr>
            </w:pPr>
            <w:r w:rsidRPr="004076C1">
              <w:rPr>
                <w:rFonts w:eastAsia="Arial Unicode MS" w:cs="Arial"/>
                <w:bCs/>
                <w:color w:val="0000FF"/>
                <w:sz w:val="22"/>
                <w:szCs w:val="18"/>
              </w:rPr>
              <w:t>X,XXX</w:t>
            </w:r>
          </w:p>
        </w:tc>
        <w:tc>
          <w:tcPr>
            <w:tcW w:w="1260" w:type="dxa"/>
            <w:shd w:val="clear" w:color="auto" w:fill="auto"/>
            <w:vAlign w:val="center"/>
          </w:tcPr>
          <w:p w14:paraId="6088920B" w14:textId="092D03DB" w:rsidR="00D20024" w:rsidRPr="00A97C36" w:rsidRDefault="00D20024" w:rsidP="00461BE9">
            <w:pPr>
              <w:keepNext/>
              <w:widowControl w:val="0"/>
              <w:jc w:val="center"/>
              <w:rPr>
                <w:color w:val="0000FF"/>
                <w:sz w:val="22"/>
                <w:szCs w:val="22"/>
              </w:rPr>
            </w:pPr>
            <w:r w:rsidRPr="00B31211">
              <w:rPr>
                <w:rFonts w:eastAsia="Arial Unicode MS" w:cs="Arial"/>
                <w:b/>
                <w:color w:val="0000FF"/>
                <w:sz w:val="22"/>
                <w:szCs w:val="18"/>
              </w:rPr>
              <w:t>X,XXX</w:t>
            </w:r>
          </w:p>
        </w:tc>
      </w:tr>
      <w:tr w:rsidR="00D20024" w:rsidRPr="00A97C36" w14:paraId="7D308BC7" w14:textId="77777777" w:rsidTr="00505E9F">
        <w:trPr>
          <w:trHeight w:val="504"/>
        </w:trPr>
        <w:tc>
          <w:tcPr>
            <w:tcW w:w="1947" w:type="dxa"/>
            <w:shd w:val="clear" w:color="auto" w:fill="auto"/>
            <w:vAlign w:val="center"/>
          </w:tcPr>
          <w:p w14:paraId="25A58D84" w14:textId="7E5BC674" w:rsidR="00D20024" w:rsidRPr="00A97C36" w:rsidRDefault="00D20024" w:rsidP="00461BE9">
            <w:pPr>
              <w:keepNext/>
              <w:widowControl w:val="0"/>
              <w:jc w:val="center"/>
              <w:rPr>
                <w:sz w:val="22"/>
                <w:szCs w:val="22"/>
              </w:rPr>
            </w:pPr>
            <w:r>
              <w:rPr>
                <w:color w:val="0000FF"/>
                <w:sz w:val="22"/>
              </w:rPr>
              <w:t>X</w:t>
            </w:r>
            <w:r w:rsidRPr="00993B55">
              <w:rPr>
                <w:color w:val="0000FF"/>
                <w:sz w:val="22"/>
              </w:rPr>
              <w:t>-XXXX-</w:t>
            </w:r>
            <w:r>
              <w:rPr>
                <w:color w:val="0000FF"/>
                <w:sz w:val="22"/>
              </w:rPr>
              <w:t>1</w:t>
            </w:r>
          </w:p>
        </w:tc>
        <w:tc>
          <w:tcPr>
            <w:tcW w:w="1350" w:type="dxa"/>
            <w:shd w:val="clear" w:color="auto" w:fill="auto"/>
            <w:vAlign w:val="center"/>
          </w:tcPr>
          <w:p w14:paraId="5B32CD4E" w14:textId="6A25C874" w:rsidR="00D20024" w:rsidRPr="00A97C36" w:rsidRDefault="00D20024" w:rsidP="00461BE9">
            <w:pPr>
              <w:keepNext/>
              <w:widowControl w:val="0"/>
              <w:jc w:val="center"/>
              <w:rPr>
                <w:sz w:val="22"/>
                <w:szCs w:val="22"/>
              </w:rPr>
            </w:pPr>
            <w:r w:rsidRPr="004076C1">
              <w:rPr>
                <w:rFonts w:eastAsia="Arial Unicode MS" w:cs="Arial"/>
                <w:bCs/>
                <w:color w:val="0000FF"/>
                <w:sz w:val="22"/>
                <w:szCs w:val="18"/>
              </w:rPr>
              <w:t>X,XXX</w:t>
            </w:r>
          </w:p>
        </w:tc>
        <w:tc>
          <w:tcPr>
            <w:tcW w:w="1440" w:type="dxa"/>
            <w:shd w:val="clear" w:color="auto" w:fill="auto"/>
            <w:vAlign w:val="center"/>
          </w:tcPr>
          <w:p w14:paraId="46FB06B2" w14:textId="6BC2667C" w:rsidR="00D20024" w:rsidRPr="00A97C36" w:rsidRDefault="00D20024" w:rsidP="00461BE9">
            <w:pPr>
              <w:keepNext/>
              <w:widowControl w:val="0"/>
              <w:jc w:val="center"/>
              <w:rPr>
                <w:sz w:val="22"/>
                <w:szCs w:val="22"/>
              </w:rPr>
            </w:pPr>
            <w:r w:rsidRPr="004076C1">
              <w:rPr>
                <w:rFonts w:eastAsia="Arial Unicode MS" w:cs="Arial"/>
                <w:bCs/>
                <w:color w:val="0000FF"/>
                <w:sz w:val="22"/>
                <w:szCs w:val="18"/>
              </w:rPr>
              <w:t>X,XXX</w:t>
            </w:r>
          </w:p>
        </w:tc>
        <w:tc>
          <w:tcPr>
            <w:tcW w:w="1350" w:type="dxa"/>
            <w:vAlign w:val="center"/>
          </w:tcPr>
          <w:p w14:paraId="273CC0F1" w14:textId="5CE34AEE" w:rsidR="00D20024" w:rsidRPr="00A97C36" w:rsidRDefault="00D20024" w:rsidP="00461BE9">
            <w:pPr>
              <w:keepNext/>
              <w:widowControl w:val="0"/>
              <w:jc w:val="center"/>
              <w:rPr>
                <w:sz w:val="22"/>
                <w:szCs w:val="22"/>
              </w:rPr>
            </w:pPr>
            <w:r w:rsidRPr="004076C1">
              <w:rPr>
                <w:rFonts w:eastAsia="Arial Unicode MS" w:cs="Arial"/>
                <w:bCs/>
                <w:color w:val="0000FF"/>
                <w:sz w:val="22"/>
                <w:szCs w:val="18"/>
              </w:rPr>
              <w:t>X,XXX</w:t>
            </w:r>
          </w:p>
        </w:tc>
        <w:tc>
          <w:tcPr>
            <w:tcW w:w="1350" w:type="dxa"/>
            <w:vAlign w:val="center"/>
          </w:tcPr>
          <w:p w14:paraId="60C2B511" w14:textId="2632D26D" w:rsidR="00D20024" w:rsidRPr="00A97C36" w:rsidRDefault="00D20024" w:rsidP="00461BE9">
            <w:pPr>
              <w:keepNext/>
              <w:widowControl w:val="0"/>
              <w:jc w:val="center"/>
              <w:rPr>
                <w:sz w:val="22"/>
                <w:szCs w:val="22"/>
              </w:rPr>
            </w:pPr>
            <w:r w:rsidRPr="004076C1">
              <w:rPr>
                <w:rFonts w:eastAsia="Arial Unicode MS" w:cs="Arial"/>
                <w:bCs/>
                <w:color w:val="0000FF"/>
                <w:sz w:val="22"/>
                <w:szCs w:val="18"/>
              </w:rPr>
              <w:t>X,XXX</w:t>
            </w:r>
          </w:p>
        </w:tc>
        <w:tc>
          <w:tcPr>
            <w:tcW w:w="1260" w:type="dxa"/>
            <w:shd w:val="clear" w:color="auto" w:fill="auto"/>
            <w:vAlign w:val="center"/>
          </w:tcPr>
          <w:p w14:paraId="28A92D03" w14:textId="759229AF" w:rsidR="00D20024" w:rsidRPr="00A97C36" w:rsidRDefault="00D20024" w:rsidP="00461BE9">
            <w:pPr>
              <w:keepNext/>
              <w:widowControl w:val="0"/>
              <w:jc w:val="center"/>
              <w:rPr>
                <w:sz w:val="22"/>
                <w:szCs w:val="22"/>
              </w:rPr>
            </w:pPr>
            <w:r w:rsidRPr="00B31211">
              <w:rPr>
                <w:rFonts w:eastAsia="Arial Unicode MS" w:cs="Arial"/>
                <w:b/>
                <w:color w:val="0000FF"/>
                <w:sz w:val="22"/>
                <w:szCs w:val="18"/>
              </w:rPr>
              <w:t>X,XXX</w:t>
            </w:r>
          </w:p>
        </w:tc>
      </w:tr>
    </w:tbl>
    <w:p w14:paraId="664B50DE" w14:textId="77777777" w:rsidR="00D2283D" w:rsidRPr="00993B55" w:rsidRDefault="00D2283D" w:rsidP="00964276">
      <w:pPr>
        <w:widowControl w:val="0"/>
        <w:ind w:left="720"/>
      </w:pPr>
    </w:p>
    <w:p w14:paraId="726A34C7" w14:textId="72FAA045" w:rsidR="00D2283D" w:rsidRPr="00993B55" w:rsidRDefault="00D2283D" w:rsidP="00964276">
      <w:pPr>
        <w:widowControl w:val="0"/>
        <w:autoSpaceDE w:val="0"/>
        <w:autoSpaceDN w:val="0"/>
        <w:adjustRightInd w:val="0"/>
        <w:ind w:left="720"/>
      </w:pPr>
      <w:r w:rsidRPr="00993B55">
        <w:t xml:space="preserve">As </w:t>
      </w:r>
      <w:r w:rsidRPr="00993B55">
        <w:rPr>
          <w:rFonts w:cs="Arial"/>
        </w:rPr>
        <w:t xml:space="preserve">discussed </w:t>
      </w:r>
      <w:r w:rsidRPr="00993B55">
        <w:t xml:space="preserve">above, the facility has sufficient credits to fully offset the </w:t>
      </w:r>
      <w:r w:rsidRPr="00993B55">
        <w:rPr>
          <w:color w:val="0000FF"/>
        </w:rPr>
        <w:t>NO</w:t>
      </w:r>
      <w:r>
        <w:rPr>
          <w:color w:val="0000FF"/>
        </w:rPr>
        <w:t>x</w:t>
      </w:r>
      <w:r w:rsidR="0048636F">
        <w:rPr>
          <w:color w:val="0000FF"/>
        </w:rPr>
        <w:t xml:space="preserve"> and VOC</w:t>
      </w:r>
      <w:r w:rsidRPr="00993B55">
        <w:rPr>
          <w:color w:val="0000FF"/>
        </w:rPr>
        <w:t xml:space="preserve"> </w:t>
      </w:r>
      <w:r w:rsidRPr="00993B55">
        <w:t>emissions increases associated with this project.</w:t>
      </w:r>
    </w:p>
    <w:p w14:paraId="6F77B837" w14:textId="77777777" w:rsidR="00D2283D" w:rsidRPr="00993B55" w:rsidRDefault="00D2283D" w:rsidP="00964276">
      <w:pPr>
        <w:widowControl w:val="0"/>
        <w:ind w:left="720"/>
      </w:pPr>
    </w:p>
    <w:p w14:paraId="5EE314FB" w14:textId="74F4662C" w:rsidR="00D2283D" w:rsidRPr="00993B55" w:rsidRDefault="00D2283D" w:rsidP="00964276">
      <w:pPr>
        <w:widowControl w:val="0"/>
        <w:ind w:left="720"/>
        <w:rPr>
          <w:i/>
          <w:iCs/>
          <w:color w:val="FF0000"/>
        </w:rPr>
      </w:pPr>
      <w:r w:rsidRPr="00993B55">
        <w:rPr>
          <w:i/>
          <w:iCs/>
          <w:color w:val="FF0000"/>
        </w:rPr>
        <w:t>(</w:t>
      </w:r>
      <w:r w:rsidRPr="00993B55">
        <w:rPr>
          <w:i/>
          <w:iCs/>
          <w:color w:val="FF0000"/>
          <w:u w:val="single"/>
        </w:rPr>
        <w:t>Note</w:t>
      </w:r>
      <w:r w:rsidRPr="00993B55">
        <w:rPr>
          <w:i/>
          <w:iCs/>
          <w:color w:val="FF0000"/>
        </w:rPr>
        <w:t>: interpollutant offsets may also be allowed; however, the facility must justify the proposed interpollutant offset ratio with an interpollutant offset ratio analysis.</w:t>
      </w:r>
      <w:r w:rsidR="006A76C1">
        <w:rPr>
          <w:i/>
          <w:iCs/>
          <w:color w:val="FF0000"/>
        </w:rPr>
        <w:t xml:space="preserve">  Discuss with your Supervisor if interpollutant offsets are requested.</w:t>
      </w:r>
      <w:r w:rsidRPr="00993B55">
        <w:rPr>
          <w:i/>
          <w:iCs/>
          <w:color w:val="FF0000"/>
        </w:rPr>
        <w:t>)</w:t>
      </w:r>
    </w:p>
    <w:p w14:paraId="48A8DCE4" w14:textId="77777777" w:rsidR="00D2283D" w:rsidRPr="00993B55" w:rsidRDefault="00D2283D" w:rsidP="00964276">
      <w:pPr>
        <w:widowControl w:val="0"/>
        <w:ind w:left="720"/>
      </w:pPr>
    </w:p>
    <w:p w14:paraId="112EEC66" w14:textId="6E31C310" w:rsidR="00D2283D" w:rsidRPr="00993B55" w:rsidRDefault="00D2283D" w:rsidP="00964276">
      <w:pPr>
        <w:widowControl w:val="0"/>
        <w:ind w:left="720"/>
        <w:rPr>
          <w:b/>
          <w:spacing w:val="-3"/>
        </w:rPr>
      </w:pPr>
      <w:r w:rsidRPr="00993B55">
        <w:rPr>
          <w:b/>
          <w:spacing w:val="-3"/>
          <w:u w:val="single"/>
        </w:rPr>
        <w:t xml:space="preserve">Proposed Rule 2201 </w:t>
      </w:r>
      <w:r w:rsidR="005907E0">
        <w:rPr>
          <w:b/>
          <w:spacing w:val="-3"/>
          <w:u w:val="single"/>
        </w:rPr>
        <w:t xml:space="preserve">Federal </w:t>
      </w:r>
      <w:r w:rsidRPr="00993B55">
        <w:rPr>
          <w:b/>
          <w:spacing w:val="-3"/>
          <w:u w:val="single"/>
        </w:rPr>
        <w:t>Offset Permit Conditions</w:t>
      </w:r>
    </w:p>
    <w:p w14:paraId="502FC92A" w14:textId="77777777" w:rsidR="00D2283D" w:rsidRPr="00993B55" w:rsidRDefault="00D2283D" w:rsidP="00964276">
      <w:pPr>
        <w:widowControl w:val="0"/>
        <w:ind w:left="720"/>
        <w:rPr>
          <w:bCs/>
          <w:iCs/>
          <w:spacing w:val="-2"/>
        </w:rPr>
      </w:pPr>
    </w:p>
    <w:p w14:paraId="54452E5E" w14:textId="77777777" w:rsidR="00D2283D" w:rsidRPr="00993B55" w:rsidRDefault="00D2283D" w:rsidP="00964276">
      <w:pPr>
        <w:widowControl w:val="0"/>
        <w:ind w:left="720"/>
        <w:rPr>
          <w:bCs/>
          <w:iCs/>
          <w:spacing w:val="-2"/>
        </w:rPr>
      </w:pPr>
      <w:r w:rsidRPr="00993B55">
        <w:rPr>
          <w:bCs/>
          <w:iCs/>
          <w:spacing w:val="-2"/>
        </w:rPr>
        <w:t>The following permit conditions will be added to the Authority(ies) to Construct:</w:t>
      </w:r>
    </w:p>
    <w:p w14:paraId="7D10AB61" w14:textId="36AFABAA" w:rsidR="00D2283D" w:rsidRDefault="00D2283D" w:rsidP="00964276">
      <w:pPr>
        <w:widowControl w:val="0"/>
        <w:ind w:left="720"/>
        <w:rPr>
          <w:bCs/>
          <w:iCs/>
          <w:spacing w:val="-2"/>
        </w:rPr>
      </w:pPr>
    </w:p>
    <w:p w14:paraId="5ECA8689" w14:textId="5F0A80C7" w:rsidR="00E830B4" w:rsidRPr="00FA50B0" w:rsidRDefault="00E830B4" w:rsidP="00E830B4">
      <w:pPr>
        <w:widowControl w:val="0"/>
        <w:numPr>
          <w:ilvl w:val="0"/>
          <w:numId w:val="7"/>
        </w:numPr>
        <w:tabs>
          <w:tab w:val="clear" w:pos="720"/>
        </w:tabs>
        <w:ind w:left="1080"/>
        <w:rPr>
          <w:szCs w:val="24"/>
        </w:rPr>
      </w:pPr>
      <w:r w:rsidRPr="00FA50B0">
        <w:rPr>
          <w:szCs w:val="24"/>
        </w:rPr>
        <w:t xml:space="preserve">Prior to operating equipment under this Authority to Construct, permittee shall surrender NOx emission reduction credits for the following quantity of emissions: 1st quarter </w:t>
      </w:r>
      <w:r>
        <w:rPr>
          <w:szCs w:val="24"/>
        </w:rPr>
        <w:t>-</w:t>
      </w:r>
      <w:r w:rsidRPr="00FA50B0">
        <w:rPr>
          <w:szCs w:val="24"/>
        </w:rPr>
        <w:t xml:space="preserve"> </w:t>
      </w:r>
      <w:r w:rsidRPr="00FA50B0">
        <w:rPr>
          <w:color w:val="0000FF"/>
        </w:rPr>
        <w:t xml:space="preserve">X,XXX </w:t>
      </w:r>
      <w:r w:rsidRPr="00FA50B0">
        <w:rPr>
          <w:szCs w:val="24"/>
        </w:rPr>
        <w:t xml:space="preserve">lb, 2nd quarter - </w:t>
      </w:r>
      <w:r w:rsidRPr="00FA50B0">
        <w:rPr>
          <w:color w:val="0000FF"/>
        </w:rPr>
        <w:t>X,XXX</w:t>
      </w:r>
      <w:r w:rsidRPr="00FA50B0">
        <w:t xml:space="preserve"> </w:t>
      </w:r>
      <w:r w:rsidRPr="00FA50B0">
        <w:rPr>
          <w:szCs w:val="24"/>
        </w:rPr>
        <w:t xml:space="preserve">lb, 3rd quarter - </w:t>
      </w:r>
      <w:r w:rsidRPr="00FA50B0">
        <w:rPr>
          <w:color w:val="0000FF"/>
        </w:rPr>
        <w:t>X,XXX</w:t>
      </w:r>
      <w:r w:rsidRPr="00FA50B0">
        <w:t xml:space="preserve"> </w:t>
      </w:r>
      <w:r w:rsidRPr="00FA50B0">
        <w:rPr>
          <w:szCs w:val="24"/>
        </w:rPr>
        <w:t xml:space="preserve">lb, and fourth quarter - </w:t>
      </w:r>
      <w:r w:rsidRPr="00FA50B0">
        <w:rPr>
          <w:color w:val="0000FF"/>
        </w:rPr>
        <w:t>X,XXX</w:t>
      </w:r>
      <w:r w:rsidRPr="00FA50B0">
        <w:t xml:space="preserve"> </w:t>
      </w:r>
      <w:r w:rsidRPr="00FA50B0">
        <w:rPr>
          <w:szCs w:val="24"/>
        </w:rPr>
        <w:t xml:space="preserve">lb.  These amounts include the applicable offset ratio specified in Rule 2201 Section 4.9 (as amended 4/20/23) for the ERC specified below. </w:t>
      </w:r>
      <w:r w:rsidR="003D1559">
        <w:rPr>
          <w:color w:val="0000FF"/>
          <w:szCs w:val="24"/>
        </w:rPr>
        <w:t>NOx</w:t>
      </w:r>
      <w:r w:rsidR="00E52B33" w:rsidRPr="00E52B33">
        <w:rPr>
          <w:szCs w:val="24"/>
        </w:rPr>
        <w:t xml:space="preserve"> ERCs used to satisfy the offset quantity required under District Rule 2201 must be surplus at the time of issuance of this ATC and the total quantity of ERCs surrendered shall be calculated based on the ERC surplus value percent discount of each ERC certificate used. </w:t>
      </w:r>
      <w:r w:rsidRPr="00FA50B0">
        <w:rPr>
          <w:szCs w:val="24"/>
        </w:rPr>
        <w:t>[District Rule 2201]</w:t>
      </w:r>
    </w:p>
    <w:p w14:paraId="1A982BB6" w14:textId="77777777" w:rsidR="00E830B4" w:rsidRPr="00FA50B0" w:rsidRDefault="00E830B4" w:rsidP="00E830B4">
      <w:pPr>
        <w:widowControl w:val="0"/>
        <w:ind w:left="1080"/>
        <w:rPr>
          <w:szCs w:val="24"/>
        </w:rPr>
      </w:pPr>
    </w:p>
    <w:p w14:paraId="5AD194D8" w14:textId="77777777" w:rsidR="00E830B4" w:rsidRPr="00FA50B0" w:rsidRDefault="00E830B4" w:rsidP="00E830B4">
      <w:pPr>
        <w:widowControl w:val="0"/>
        <w:numPr>
          <w:ilvl w:val="0"/>
          <w:numId w:val="6"/>
        </w:numPr>
        <w:tabs>
          <w:tab w:val="clear" w:pos="720"/>
        </w:tabs>
        <w:ind w:left="1080"/>
      </w:pPr>
      <w:r w:rsidRPr="00FA50B0">
        <w:t xml:space="preserve">{GC# 1983} ERC Certificate Number </w:t>
      </w:r>
      <w:r w:rsidRPr="00FA50B0">
        <w:rPr>
          <w:color w:val="0000FF"/>
        </w:rPr>
        <w:t xml:space="preserve">X-XXXX-X </w:t>
      </w:r>
      <w:r w:rsidRPr="00FA50B0">
        <w:t>(or a certificate split from this certificate) shall be used to supply the required offsets, unless a revised offsetting proposal is received and approved by the District, upon which this Authority to Construct shall be reissued, administratively specifying the new offsetting proposal.  Original public noticing requirements, if any, shall be duplicated prior to reissuance of this Authority to Construct. [District Rule 2201]</w:t>
      </w:r>
    </w:p>
    <w:p w14:paraId="0C59742C" w14:textId="77777777" w:rsidR="00E830B4" w:rsidRPr="00993B55" w:rsidRDefault="00E830B4" w:rsidP="00964276">
      <w:pPr>
        <w:widowControl w:val="0"/>
        <w:ind w:left="720"/>
        <w:rPr>
          <w:bCs/>
          <w:iCs/>
          <w:spacing w:val="-2"/>
        </w:rPr>
      </w:pPr>
    </w:p>
    <w:p w14:paraId="7D4945AB" w14:textId="548910C6" w:rsidR="009F2700" w:rsidRDefault="00421596" w:rsidP="007A60F3">
      <w:pPr>
        <w:widowControl w:val="0"/>
        <w:ind w:left="720"/>
        <w:rPr>
          <w:rFonts w:cs="Arial"/>
          <w:color w:val="FF0000"/>
        </w:rPr>
      </w:pPr>
      <w:r>
        <w:rPr>
          <w:rFonts w:cs="Arial"/>
          <w:color w:val="FF0000"/>
        </w:rPr>
        <w:t xml:space="preserve">Example c: </w:t>
      </w:r>
      <w:r w:rsidR="009F2700">
        <w:rPr>
          <w:rFonts w:cs="Arial"/>
          <w:color w:val="FF0000"/>
        </w:rPr>
        <w:t xml:space="preserve">Project requires FOQ for SOx, PM10, or PM2.5, use the following, otherwise delete: </w:t>
      </w:r>
    </w:p>
    <w:p w14:paraId="29556A87" w14:textId="77777777" w:rsidR="00E52190" w:rsidRPr="00993B55" w:rsidRDefault="00E52190" w:rsidP="007A60F3">
      <w:pPr>
        <w:widowControl w:val="0"/>
        <w:ind w:left="720"/>
        <w:rPr>
          <w:rFonts w:cs="Arial"/>
        </w:rPr>
      </w:pPr>
    </w:p>
    <w:p w14:paraId="559114BE" w14:textId="77777777" w:rsidR="0046265A" w:rsidRPr="00993B55" w:rsidRDefault="0046265A" w:rsidP="007A60F3">
      <w:pPr>
        <w:widowControl w:val="0"/>
        <w:ind w:left="630" w:right="-36"/>
        <w:contextualSpacing/>
        <w:jc w:val="center"/>
        <w:rPr>
          <w:rFonts w:cs="Arial"/>
          <w:i/>
          <w:color w:val="FF0000"/>
          <w:sz w:val="32"/>
        </w:rPr>
      </w:pPr>
      <w:r w:rsidRPr="00993B55">
        <w:rPr>
          <w:rFonts w:cs="Arial"/>
          <w:i/>
          <w:color w:val="FF0000"/>
          <w:sz w:val="32"/>
        </w:rPr>
        <w:t>*****PLEASE DISCUSS THE PROJECT WITH YOUR MANAGER/SUPERVISOR*****</w:t>
      </w:r>
    </w:p>
    <w:p w14:paraId="1698A784" w14:textId="56C4E34B" w:rsidR="000177D5" w:rsidRPr="0066396D" w:rsidRDefault="008D63FE" w:rsidP="008F20D3">
      <w:pPr>
        <w:pStyle w:val="Heading6"/>
      </w:pPr>
      <w:r w:rsidRPr="0066396D">
        <w:t>4</w:t>
      </w:r>
      <w:r w:rsidR="000177D5" w:rsidRPr="0066396D">
        <w:t>.</w:t>
      </w:r>
      <w:r w:rsidR="000177D5" w:rsidRPr="0066396D">
        <w:tab/>
        <w:t>ERC Withdrawal Calculations</w:t>
      </w:r>
    </w:p>
    <w:p w14:paraId="51524724" w14:textId="77777777" w:rsidR="000177D5" w:rsidRPr="00993B55" w:rsidRDefault="000177D5" w:rsidP="007A60F3">
      <w:pPr>
        <w:widowControl w:val="0"/>
        <w:ind w:left="720"/>
        <w:rPr>
          <w:i/>
          <w:color w:val="000000"/>
        </w:rPr>
      </w:pPr>
      <w:r w:rsidRPr="00993B55">
        <w:rPr>
          <w:b/>
          <w:i/>
          <w:color w:val="FF0000"/>
        </w:rPr>
        <w:t>NOTE:</w:t>
      </w:r>
      <w:r w:rsidRPr="00993B55">
        <w:rPr>
          <w:i/>
          <w:color w:val="FF0000"/>
        </w:rPr>
        <w:tab/>
        <w:t>This section is required when offset is triggered and required, otherwise, delete this section.</w:t>
      </w:r>
    </w:p>
    <w:p w14:paraId="5C801F0C" w14:textId="77777777" w:rsidR="000177D5" w:rsidRPr="00993B55" w:rsidRDefault="000177D5" w:rsidP="007A60F3">
      <w:pPr>
        <w:widowControl w:val="0"/>
        <w:ind w:left="720"/>
        <w:rPr>
          <w:color w:val="000000"/>
        </w:rPr>
      </w:pPr>
    </w:p>
    <w:p w14:paraId="3A33E993" w14:textId="70937145" w:rsidR="000177D5" w:rsidRPr="00993B55" w:rsidRDefault="000177D5" w:rsidP="007A60F3">
      <w:pPr>
        <w:widowControl w:val="0"/>
        <w:ind w:left="720"/>
        <w:rPr>
          <w:color w:val="000000"/>
        </w:rPr>
      </w:pPr>
      <w:r w:rsidRPr="00993B55">
        <w:rPr>
          <w:color w:val="000000"/>
        </w:rPr>
        <w:t xml:space="preserve">The applicant must identify the ERC Certificate(s) to be used to offset the increase of </w:t>
      </w:r>
      <w:r w:rsidRPr="00993B55">
        <w:rPr>
          <w:color w:val="0000FF"/>
        </w:rPr>
        <w:t>X</w:t>
      </w:r>
      <w:r w:rsidR="00937B9A">
        <w:rPr>
          <w:color w:val="0000FF"/>
        </w:rPr>
        <w:t>,X</w:t>
      </w:r>
      <w:r w:rsidRPr="00993B55">
        <w:rPr>
          <w:color w:val="0000FF"/>
        </w:rPr>
        <w:t xml:space="preserve">XX </w:t>
      </w:r>
      <w:r w:rsidRPr="00993B55">
        <w:rPr>
          <w:color w:val="000000"/>
        </w:rPr>
        <w:t xml:space="preserve">emissions for the project. As </w:t>
      </w:r>
      <w:r w:rsidR="00FD1E9B" w:rsidRPr="00993B55">
        <w:rPr>
          <w:color w:val="000000"/>
        </w:rPr>
        <w:t>previous</w:t>
      </w:r>
      <w:r w:rsidR="00FD1E9B">
        <w:rPr>
          <w:color w:val="000000"/>
        </w:rPr>
        <w:t>ly</w:t>
      </w:r>
      <w:r w:rsidR="00FD1E9B" w:rsidRPr="00993B55">
        <w:rPr>
          <w:color w:val="000000"/>
        </w:rPr>
        <w:t xml:space="preserve"> </w:t>
      </w:r>
      <w:r w:rsidRPr="00993B55">
        <w:rPr>
          <w:color w:val="000000"/>
        </w:rPr>
        <w:t>indicated, the applicant is proposing to use ERC certificate #</w:t>
      </w:r>
      <w:r w:rsidRPr="00993B55">
        <w:rPr>
          <w:color w:val="0000FF"/>
        </w:rPr>
        <w:t xml:space="preserve">X-XXXX-X </w:t>
      </w:r>
      <w:r w:rsidRPr="00993B55">
        <w:rPr>
          <w:color w:val="000000"/>
        </w:rPr>
        <w:t xml:space="preserve">to mitigate the increases of </w:t>
      </w:r>
      <w:r w:rsidRPr="00993B55">
        <w:rPr>
          <w:color w:val="0000FF"/>
        </w:rPr>
        <w:t>X</w:t>
      </w:r>
      <w:r w:rsidR="00937B9A">
        <w:rPr>
          <w:color w:val="0000FF"/>
        </w:rPr>
        <w:t>,X</w:t>
      </w:r>
      <w:r w:rsidRPr="00993B55">
        <w:rPr>
          <w:color w:val="0000FF"/>
        </w:rPr>
        <w:t xml:space="preserve">XX </w:t>
      </w:r>
      <w:r w:rsidRPr="00993B55">
        <w:rPr>
          <w:color w:val="000000"/>
        </w:rPr>
        <w:t xml:space="preserve">emissions associated with this project.  See </w:t>
      </w:r>
      <w:r w:rsidRPr="00993B55">
        <w:rPr>
          <w:color w:val="0000FF"/>
        </w:rPr>
        <w:t>Appendix XXX</w:t>
      </w:r>
      <w:r w:rsidRPr="00993B55">
        <w:rPr>
          <w:color w:val="000000"/>
        </w:rPr>
        <w:t xml:space="preserve"> for detailed ERC Withdrawal Calculations.</w:t>
      </w:r>
    </w:p>
    <w:p w14:paraId="7F2E5E5E" w14:textId="77777777" w:rsidR="000177D5" w:rsidRPr="00F33E30" w:rsidRDefault="000177D5" w:rsidP="00366F05">
      <w:pPr>
        <w:pStyle w:val="Heading5"/>
      </w:pPr>
      <w:r w:rsidRPr="00F33E30">
        <w:t>C.</w:t>
      </w:r>
      <w:r w:rsidRPr="00F33E30">
        <w:tab/>
        <w:t>Public Notification</w:t>
      </w:r>
    </w:p>
    <w:p w14:paraId="30932AFF" w14:textId="77777777" w:rsidR="000177D5" w:rsidRPr="00F33E30" w:rsidRDefault="000177D5" w:rsidP="008F20D3">
      <w:pPr>
        <w:pStyle w:val="Heading6"/>
      </w:pPr>
      <w:r w:rsidRPr="00F33E30">
        <w:t>1.</w:t>
      </w:r>
      <w:r w:rsidRPr="00F33E30">
        <w:tab/>
        <w:t>Applicability</w:t>
      </w:r>
    </w:p>
    <w:p w14:paraId="3024094C" w14:textId="77777777" w:rsidR="000177D5" w:rsidRPr="00993B55" w:rsidRDefault="000177D5" w:rsidP="007A60F3">
      <w:pPr>
        <w:widowControl w:val="0"/>
        <w:tabs>
          <w:tab w:val="left" w:pos="1080"/>
        </w:tabs>
        <w:ind w:left="720"/>
        <w:rPr>
          <w:color w:val="000000"/>
        </w:rPr>
      </w:pPr>
      <w:r w:rsidRPr="00993B55">
        <w:rPr>
          <w:color w:val="000000"/>
        </w:rPr>
        <w:t>Pursuant to District Rule 2201, Section 5.4, public noticing is required for:</w:t>
      </w:r>
    </w:p>
    <w:p w14:paraId="71856B25" w14:textId="77777777" w:rsidR="000177D5" w:rsidRPr="00993B55" w:rsidRDefault="000177D5" w:rsidP="007A60F3">
      <w:pPr>
        <w:widowControl w:val="0"/>
        <w:tabs>
          <w:tab w:val="left" w:pos="1080"/>
        </w:tabs>
        <w:ind w:left="720"/>
        <w:rPr>
          <w:color w:val="000000"/>
        </w:rPr>
      </w:pPr>
    </w:p>
    <w:p w14:paraId="266C4FAC" w14:textId="77777777" w:rsidR="000177D5" w:rsidRPr="00993B55" w:rsidRDefault="000177D5" w:rsidP="007A60F3">
      <w:pPr>
        <w:widowControl w:val="0"/>
        <w:tabs>
          <w:tab w:val="left" w:pos="810"/>
          <w:tab w:val="left" w:pos="1080"/>
        </w:tabs>
        <w:ind w:left="720"/>
        <w:rPr>
          <w:color w:val="000000"/>
        </w:rPr>
      </w:pPr>
      <w:r w:rsidRPr="00993B55">
        <w:rPr>
          <w:color w:val="000000"/>
        </w:rPr>
        <w:t>a.</w:t>
      </w:r>
      <w:r w:rsidRPr="00993B55">
        <w:rPr>
          <w:color w:val="000000"/>
        </w:rPr>
        <w:tab/>
        <w:t>New Major Sources, Federal Major Modifications, and SB 288 Major Modifications,</w:t>
      </w:r>
    </w:p>
    <w:p w14:paraId="24393C3F" w14:textId="77777777" w:rsidR="000177D5" w:rsidRPr="00993B55" w:rsidRDefault="000177D5" w:rsidP="007A60F3">
      <w:pPr>
        <w:widowControl w:val="0"/>
        <w:tabs>
          <w:tab w:val="left" w:pos="1080"/>
        </w:tabs>
        <w:ind w:left="1080" w:hanging="360"/>
        <w:rPr>
          <w:color w:val="000000"/>
        </w:rPr>
      </w:pPr>
      <w:r w:rsidRPr="00993B55">
        <w:rPr>
          <w:color w:val="000000"/>
        </w:rPr>
        <w:t>b.</w:t>
      </w:r>
      <w:r w:rsidRPr="00993B55">
        <w:rPr>
          <w:color w:val="000000"/>
        </w:rPr>
        <w:tab/>
        <w:t>Any new emissions unit with a Potential to Emit greater than 100 pounds during any one day for any one pollutant,</w:t>
      </w:r>
    </w:p>
    <w:p w14:paraId="42C910A8" w14:textId="77777777" w:rsidR="000177D5" w:rsidRPr="00993B55" w:rsidRDefault="000177D5" w:rsidP="007A60F3">
      <w:pPr>
        <w:widowControl w:val="0"/>
        <w:tabs>
          <w:tab w:val="left" w:pos="1080"/>
        </w:tabs>
        <w:ind w:left="720"/>
        <w:rPr>
          <w:color w:val="000000"/>
        </w:rPr>
      </w:pPr>
      <w:r w:rsidRPr="00993B55">
        <w:rPr>
          <w:color w:val="000000"/>
        </w:rPr>
        <w:t>c.</w:t>
      </w:r>
      <w:r w:rsidRPr="00993B55">
        <w:rPr>
          <w:color w:val="000000"/>
        </w:rPr>
        <w:tab/>
        <w:t>Any project which results in the offset thresholds being surpassed,</w:t>
      </w:r>
    </w:p>
    <w:p w14:paraId="49590843" w14:textId="0B90B72D" w:rsidR="00AF4FFB" w:rsidRDefault="000177D5" w:rsidP="007A60F3">
      <w:pPr>
        <w:widowControl w:val="0"/>
        <w:tabs>
          <w:tab w:val="left" w:pos="1080"/>
        </w:tabs>
        <w:ind w:left="720"/>
        <w:rPr>
          <w:color w:val="000000"/>
        </w:rPr>
      </w:pPr>
      <w:r w:rsidRPr="00993B55">
        <w:rPr>
          <w:color w:val="000000"/>
        </w:rPr>
        <w:t>d.</w:t>
      </w:r>
      <w:r w:rsidRPr="00993B55">
        <w:rPr>
          <w:color w:val="000000"/>
        </w:rPr>
        <w:tab/>
        <w:t xml:space="preserve">Any project with an SSIPE of greater than 20,000 lb/year for any pollutant, </w:t>
      </w:r>
    </w:p>
    <w:p w14:paraId="3690D9B8" w14:textId="733C254A" w:rsidR="000177D5" w:rsidRPr="00993B55" w:rsidRDefault="00AF4FFB" w:rsidP="007A60F3">
      <w:pPr>
        <w:widowControl w:val="0"/>
        <w:tabs>
          <w:tab w:val="left" w:pos="1080"/>
        </w:tabs>
        <w:ind w:left="1080" w:hanging="360"/>
        <w:rPr>
          <w:color w:val="000000"/>
        </w:rPr>
      </w:pPr>
      <w:r>
        <w:rPr>
          <w:color w:val="000000"/>
        </w:rPr>
        <w:t>e.</w:t>
      </w:r>
      <w:r>
        <w:rPr>
          <w:color w:val="000000"/>
        </w:rPr>
        <w:tab/>
        <w:t>Any project at a minor source which results in an SSPE exceeding 80% of the major source threshold for any pollutant,</w:t>
      </w:r>
      <w:r w:rsidRPr="00993B55">
        <w:rPr>
          <w:color w:val="000000"/>
        </w:rPr>
        <w:t xml:space="preserve"> </w:t>
      </w:r>
      <w:r w:rsidR="000177D5" w:rsidRPr="00993B55">
        <w:rPr>
          <w:color w:val="000000"/>
        </w:rPr>
        <w:t>and/or</w:t>
      </w:r>
    </w:p>
    <w:p w14:paraId="6DFD35C4" w14:textId="2917784B" w:rsidR="000177D5" w:rsidRPr="00993B55" w:rsidRDefault="00AF4FFB" w:rsidP="007A60F3">
      <w:pPr>
        <w:widowControl w:val="0"/>
        <w:tabs>
          <w:tab w:val="left" w:pos="1080"/>
        </w:tabs>
        <w:ind w:left="1080" w:hanging="360"/>
        <w:rPr>
          <w:color w:val="000000"/>
        </w:rPr>
      </w:pPr>
      <w:r>
        <w:rPr>
          <w:color w:val="000000"/>
        </w:rPr>
        <w:t>f</w:t>
      </w:r>
      <w:r w:rsidR="000177D5" w:rsidRPr="00993B55">
        <w:rPr>
          <w:color w:val="000000"/>
        </w:rPr>
        <w:t>.</w:t>
      </w:r>
      <w:r w:rsidR="000177D5" w:rsidRPr="00993B55">
        <w:rPr>
          <w:color w:val="000000"/>
        </w:rPr>
        <w:tab/>
        <w:t>Any project which results in a Title V significant permit modification</w:t>
      </w:r>
    </w:p>
    <w:p w14:paraId="1A008DBD" w14:textId="3F382B77" w:rsidR="000177D5" w:rsidRPr="00F33E30" w:rsidRDefault="000177D5" w:rsidP="008F20D3">
      <w:pPr>
        <w:pStyle w:val="Heading7"/>
      </w:pPr>
      <w:r w:rsidRPr="00F33E30">
        <w:t>a.</w:t>
      </w:r>
      <w:r w:rsidRPr="00F33E30">
        <w:tab/>
        <w:t xml:space="preserve">New Major Sources, </w:t>
      </w:r>
      <w:bookmarkStart w:id="2" w:name="_Hlk51885169"/>
      <w:r w:rsidRPr="00F33E30">
        <w:t>Federal Major Modifications, and SB 288 Major Modifications</w:t>
      </w:r>
      <w:bookmarkEnd w:id="2"/>
    </w:p>
    <w:p w14:paraId="1744FDCB" w14:textId="77777777" w:rsidR="000177D5" w:rsidRPr="00993B55" w:rsidRDefault="000177D5" w:rsidP="007A60F3">
      <w:pPr>
        <w:widowControl w:val="0"/>
        <w:tabs>
          <w:tab w:val="left" w:pos="2610"/>
        </w:tabs>
        <w:ind w:left="1080"/>
        <w:rPr>
          <w:i/>
          <w:iCs/>
          <w:color w:val="0000FF"/>
        </w:rPr>
      </w:pPr>
      <w:r w:rsidRPr="00993B55">
        <w:rPr>
          <w:i/>
          <w:iCs/>
          <w:color w:val="0000FF"/>
          <w:u w:val="single"/>
        </w:rPr>
        <w:t>Example (a)</w:t>
      </w:r>
      <w:r w:rsidRPr="00993B55">
        <w:rPr>
          <w:i/>
          <w:iCs/>
          <w:color w:val="0000FF"/>
        </w:rPr>
        <w:t>:</w:t>
      </w:r>
      <w:r w:rsidRPr="00993B55">
        <w:rPr>
          <w:i/>
          <w:iCs/>
          <w:color w:val="0000FF"/>
        </w:rPr>
        <w:tab/>
      </w:r>
      <w:r w:rsidRPr="00993B55">
        <w:rPr>
          <w:b/>
          <w:bCs/>
          <w:i/>
          <w:iCs/>
          <w:color w:val="0000FF"/>
        </w:rPr>
        <w:t>Existing minor source facility NOT becoming a Major Source</w:t>
      </w:r>
    </w:p>
    <w:p w14:paraId="4CC90A18" w14:textId="77777777" w:rsidR="000177D5" w:rsidRPr="00993B55" w:rsidRDefault="000177D5" w:rsidP="007A60F3">
      <w:pPr>
        <w:widowControl w:val="0"/>
        <w:ind w:left="1080"/>
        <w:rPr>
          <w:noProof/>
        </w:rPr>
      </w:pPr>
      <w:r w:rsidRPr="00993B55">
        <w:t xml:space="preserve">As shown in Section VII.C.5 above, this existing minor source facility is not becoming a Major Source as a result of this project.  Therefore, this facility is not a New Major Source and </w:t>
      </w:r>
      <w:r w:rsidRPr="00993B55">
        <w:rPr>
          <w:color w:val="000000"/>
        </w:rPr>
        <w:t xml:space="preserve">this project does not constitute an SB 288 or a Federal Major Modification.  Consequently, </w:t>
      </w:r>
      <w:r w:rsidRPr="00993B55">
        <w:t>p</w:t>
      </w:r>
      <w:r w:rsidRPr="00993B55">
        <w:rPr>
          <w:noProof/>
        </w:rPr>
        <w:t>ublic noticing for this project for New Major Source, Federal Major Modification, or SB 288 Major Modification purposes is not required.</w:t>
      </w:r>
    </w:p>
    <w:p w14:paraId="57952125" w14:textId="77777777" w:rsidR="000177D5" w:rsidRPr="00993B55" w:rsidRDefault="000177D5" w:rsidP="007A60F3">
      <w:pPr>
        <w:widowControl w:val="0"/>
        <w:ind w:left="1080"/>
        <w:rPr>
          <w:color w:val="000000"/>
        </w:rPr>
      </w:pPr>
    </w:p>
    <w:p w14:paraId="0F256DE6" w14:textId="77777777" w:rsidR="000177D5" w:rsidRPr="00993B55" w:rsidRDefault="000177D5" w:rsidP="007A60F3">
      <w:pPr>
        <w:widowControl w:val="0"/>
        <w:tabs>
          <w:tab w:val="left" w:pos="2610"/>
        </w:tabs>
        <w:ind w:left="1080"/>
        <w:rPr>
          <w:i/>
          <w:iCs/>
          <w:color w:val="0000FF"/>
        </w:rPr>
      </w:pPr>
      <w:r w:rsidRPr="00993B55">
        <w:rPr>
          <w:i/>
          <w:iCs/>
          <w:color w:val="0000FF"/>
          <w:u w:val="single"/>
        </w:rPr>
        <w:t>Example (b)</w:t>
      </w:r>
      <w:r w:rsidRPr="00993B55">
        <w:rPr>
          <w:i/>
          <w:iCs/>
          <w:color w:val="0000FF"/>
        </w:rPr>
        <w:t>:</w:t>
      </w:r>
      <w:r w:rsidRPr="00993B55">
        <w:rPr>
          <w:i/>
          <w:iCs/>
          <w:color w:val="0000FF"/>
        </w:rPr>
        <w:tab/>
      </w:r>
      <w:r w:rsidRPr="00993B55">
        <w:rPr>
          <w:b/>
          <w:bCs/>
          <w:i/>
          <w:iCs/>
          <w:color w:val="0000FF"/>
        </w:rPr>
        <w:t>Existing minor source facility</w:t>
      </w:r>
      <w:r w:rsidRPr="00993B55">
        <w:rPr>
          <w:i/>
          <w:iCs/>
          <w:color w:val="0000FF"/>
        </w:rPr>
        <w:t xml:space="preserve"> becoming Major Source but </w:t>
      </w:r>
      <w:r w:rsidRPr="00993B55">
        <w:rPr>
          <w:b/>
          <w:bCs/>
          <w:i/>
          <w:iCs/>
          <w:color w:val="0000FF"/>
        </w:rPr>
        <w:t xml:space="preserve">NOT becoming a New Major Source </w:t>
      </w:r>
      <w:r w:rsidRPr="00993B55">
        <w:rPr>
          <w:i/>
          <w:iCs/>
          <w:color w:val="0000FF"/>
        </w:rPr>
        <w:t>(as described in Section VII.C.8 above – New Major Source)</w:t>
      </w:r>
    </w:p>
    <w:p w14:paraId="29F5C1C9" w14:textId="77777777" w:rsidR="000177D5" w:rsidRPr="00993B55" w:rsidRDefault="000177D5" w:rsidP="007A60F3">
      <w:pPr>
        <w:widowControl w:val="0"/>
        <w:ind w:left="1080"/>
        <w:rPr>
          <w:noProof/>
        </w:rPr>
      </w:pPr>
      <w:r w:rsidRPr="00993B55">
        <w:rPr>
          <w:bCs/>
        </w:rPr>
        <w:t>A New Major Source is a new facility which is also a Major Source or is an existing minor source facility becoming a New Major Source as a result of the project (</w:t>
      </w:r>
      <w:r w:rsidRPr="00993B55">
        <w:rPr>
          <w:rFonts w:cs="Arial"/>
        </w:rPr>
        <w:t xml:space="preserve">the project itself has an emission increase as large as a new major source).  </w:t>
      </w:r>
      <w:r w:rsidRPr="00993B55">
        <w:t xml:space="preserve">As shown in Section VII.C.8 above, this existing minor source facility is becoming a Major Source as a result of this project but is not a New Major Source pursuant to 40 CFR 51.165 a(1)(iv)(A)(3).  Therefore, this facility is not a New Major Source and </w:t>
      </w:r>
      <w:r w:rsidRPr="00993B55">
        <w:rPr>
          <w:color w:val="000000"/>
        </w:rPr>
        <w:t xml:space="preserve">this project does </w:t>
      </w:r>
      <w:r w:rsidRPr="00993B55">
        <w:rPr>
          <w:color w:val="000000"/>
        </w:rPr>
        <w:lastRenderedPageBreak/>
        <w:t xml:space="preserve">not constitute an SB 288 or a Federal Major Modification.  Consequently, </w:t>
      </w:r>
      <w:r w:rsidRPr="00993B55">
        <w:t>p</w:t>
      </w:r>
      <w:r w:rsidRPr="00993B55">
        <w:rPr>
          <w:noProof/>
        </w:rPr>
        <w:t>ublic noticing for this project for New Major Source, Federal Major Modification, or SB 288 Major Modification purposes is not required.</w:t>
      </w:r>
    </w:p>
    <w:p w14:paraId="5417FC75" w14:textId="77777777" w:rsidR="000177D5" w:rsidRPr="00993B55" w:rsidRDefault="000177D5" w:rsidP="007A60F3">
      <w:pPr>
        <w:widowControl w:val="0"/>
        <w:ind w:left="1080"/>
      </w:pPr>
    </w:p>
    <w:p w14:paraId="373CF670" w14:textId="77777777" w:rsidR="000177D5" w:rsidRPr="00993B55" w:rsidRDefault="000177D5" w:rsidP="007A60F3">
      <w:pPr>
        <w:widowControl w:val="0"/>
        <w:ind w:left="1080"/>
        <w:rPr>
          <w:i/>
          <w:iCs/>
          <w:color w:val="0000FF"/>
        </w:rPr>
      </w:pPr>
      <w:r w:rsidRPr="00993B55">
        <w:rPr>
          <w:i/>
          <w:iCs/>
          <w:color w:val="0000FF"/>
          <w:u w:val="single"/>
        </w:rPr>
        <w:t>Example (c)</w:t>
      </w:r>
      <w:r w:rsidRPr="00993B55">
        <w:rPr>
          <w:i/>
          <w:iCs/>
          <w:color w:val="0000FF"/>
        </w:rPr>
        <w:t>:</w:t>
      </w:r>
      <w:r w:rsidRPr="00993B55">
        <w:rPr>
          <w:i/>
          <w:iCs/>
          <w:color w:val="0000FF"/>
        </w:rPr>
        <w:tab/>
      </w:r>
      <w:r w:rsidRPr="00993B55">
        <w:rPr>
          <w:b/>
          <w:bCs/>
          <w:i/>
          <w:iCs/>
          <w:color w:val="0000FF"/>
        </w:rPr>
        <w:t>Existing minor source facility becoming a New Major Source)</w:t>
      </w:r>
    </w:p>
    <w:p w14:paraId="38C6E9AD" w14:textId="5CF3E1F7" w:rsidR="000177D5" w:rsidRPr="00993B55" w:rsidRDefault="000177D5" w:rsidP="007A60F3">
      <w:pPr>
        <w:widowControl w:val="0"/>
        <w:ind w:left="1080"/>
        <w:rPr>
          <w:noProof/>
        </w:rPr>
      </w:pPr>
      <w:r w:rsidRPr="00993B55">
        <w:rPr>
          <w:bCs/>
        </w:rPr>
        <w:t>A New Major Source is a new facility, which is also a Major Source or an existing minor source facility becoming a New Major Source as a result of the project (</w:t>
      </w:r>
      <w:r w:rsidRPr="00993B55">
        <w:rPr>
          <w:rFonts w:cs="Arial"/>
        </w:rPr>
        <w:t>the project itself has an emission increase as large as a new major source).</w:t>
      </w:r>
      <w:r w:rsidRPr="00993B55">
        <w:t xml:space="preserve">  As shown in Section VII.C.8 above, pursuant to 40 CFR 51.165 a(1)(iv)(A)(3), this existing minor source facility is becoming a New Major Source for </w:t>
      </w:r>
      <w:r w:rsidRPr="00993B55">
        <w:rPr>
          <w:color w:val="0000FF"/>
        </w:rPr>
        <w:t>NO</w:t>
      </w:r>
      <w:r w:rsidR="00FC4D95">
        <w:rPr>
          <w:color w:val="0000FF"/>
        </w:rPr>
        <w:t>x</w:t>
      </w:r>
      <w:r w:rsidRPr="00993B55">
        <w:rPr>
          <w:color w:val="0000FF"/>
        </w:rPr>
        <w:t xml:space="preserve"> and VOC </w:t>
      </w:r>
      <w:r w:rsidRPr="00993B55">
        <w:t>as a result of this project.  Therefore, p</w:t>
      </w:r>
      <w:r w:rsidRPr="00993B55">
        <w:rPr>
          <w:noProof/>
        </w:rPr>
        <w:t>ublic noticing is required for this project for New Major Source purposes.</w:t>
      </w:r>
    </w:p>
    <w:p w14:paraId="7B4C7937" w14:textId="77777777" w:rsidR="000177D5" w:rsidRPr="00993B55" w:rsidRDefault="000177D5" w:rsidP="007A60F3">
      <w:pPr>
        <w:widowControl w:val="0"/>
        <w:ind w:left="1080"/>
        <w:rPr>
          <w:i/>
          <w:iCs/>
          <w:color w:val="000000" w:themeColor="text1"/>
        </w:rPr>
      </w:pPr>
      <w:r w:rsidRPr="00993B55">
        <w:rPr>
          <w:i/>
          <w:iCs/>
          <w:color w:val="FF0000"/>
        </w:rPr>
        <w:t>(</w:t>
      </w:r>
      <w:r w:rsidRPr="00993B55">
        <w:rPr>
          <w:i/>
          <w:iCs/>
          <w:color w:val="FF0000"/>
          <w:u w:val="single"/>
        </w:rPr>
        <w:t>Note</w:t>
      </w:r>
      <w:r w:rsidRPr="00993B55">
        <w:rPr>
          <w:i/>
          <w:iCs/>
          <w:color w:val="FF0000"/>
        </w:rPr>
        <w:t xml:space="preserve">: </w:t>
      </w:r>
      <w:r w:rsidRPr="00993B55">
        <w:rPr>
          <w:i/>
          <w:color w:val="FF0000"/>
        </w:rPr>
        <w:t>For New Major Sources/Federal Major Modifications</w:t>
      </w:r>
      <w:r w:rsidRPr="00993B55">
        <w:rPr>
          <w:i/>
          <w:iCs/>
          <w:color w:val="FF0000"/>
        </w:rPr>
        <w:t>, an additional section in the EE gets added, Section VIII-Rule 2201-G, see below)</w:t>
      </w:r>
    </w:p>
    <w:p w14:paraId="3FD32865" w14:textId="77777777" w:rsidR="000177D5" w:rsidRPr="00993B55" w:rsidRDefault="000177D5" w:rsidP="007A60F3">
      <w:pPr>
        <w:widowControl w:val="0"/>
        <w:ind w:left="1080"/>
        <w:rPr>
          <w:color w:val="000000"/>
        </w:rPr>
      </w:pPr>
    </w:p>
    <w:p w14:paraId="22C17672" w14:textId="77777777" w:rsidR="000177D5" w:rsidRPr="00993B55" w:rsidRDefault="000177D5" w:rsidP="007A60F3">
      <w:pPr>
        <w:widowControl w:val="0"/>
        <w:tabs>
          <w:tab w:val="left" w:pos="2610"/>
        </w:tabs>
        <w:autoSpaceDE w:val="0"/>
        <w:autoSpaceDN w:val="0"/>
        <w:adjustRightInd w:val="0"/>
        <w:ind w:left="1080"/>
        <w:rPr>
          <w:i/>
          <w:iCs/>
          <w:color w:val="0000FF"/>
        </w:rPr>
      </w:pPr>
      <w:r w:rsidRPr="00993B55">
        <w:rPr>
          <w:i/>
          <w:iCs/>
          <w:color w:val="0000FF"/>
          <w:u w:val="single"/>
        </w:rPr>
        <w:t>Example (d)</w:t>
      </w:r>
      <w:r w:rsidRPr="00993B55">
        <w:rPr>
          <w:i/>
          <w:iCs/>
          <w:color w:val="0000FF"/>
        </w:rPr>
        <w:t>:</w:t>
      </w:r>
      <w:r w:rsidRPr="00993B55">
        <w:rPr>
          <w:i/>
          <w:iCs/>
          <w:color w:val="0000FF"/>
        </w:rPr>
        <w:tab/>
      </w:r>
      <w:r w:rsidRPr="00993B55">
        <w:rPr>
          <w:b/>
          <w:bCs/>
          <w:i/>
          <w:iCs/>
          <w:color w:val="0000FF"/>
        </w:rPr>
        <w:t>Existing Major Source facility NOT</w:t>
      </w:r>
      <w:r w:rsidRPr="00993B55">
        <w:rPr>
          <w:i/>
          <w:iCs/>
          <w:color w:val="0000FF"/>
        </w:rPr>
        <w:t xml:space="preserve"> triggering SB 288 Major Modification or Federal Major Modification, and facility is NOT a New Major Source</w:t>
      </w:r>
    </w:p>
    <w:p w14:paraId="72E9BF63" w14:textId="77777777" w:rsidR="000177D5" w:rsidRPr="00993B55" w:rsidRDefault="000177D5" w:rsidP="007A60F3">
      <w:pPr>
        <w:widowControl w:val="0"/>
        <w:ind w:left="1080"/>
        <w:rPr>
          <w:color w:val="000000"/>
        </w:rPr>
      </w:pPr>
      <w:r w:rsidRPr="00993B55">
        <w:rPr>
          <w:color w:val="000000"/>
        </w:rPr>
        <w:t xml:space="preserve">As demonstrated in Sections VII.C.7 and VII.C.8, this project does not trigger an SB 288 or a Federal Major Modification and the facility is not a New Major Source.  Therefore, public noticing </w:t>
      </w:r>
      <w:r w:rsidRPr="00993B55">
        <w:rPr>
          <w:noProof/>
        </w:rPr>
        <w:t xml:space="preserve">for this project </w:t>
      </w:r>
      <w:r w:rsidRPr="00993B55">
        <w:rPr>
          <w:color w:val="000000"/>
        </w:rPr>
        <w:t xml:space="preserve">for </w:t>
      </w:r>
      <w:r w:rsidRPr="00993B55">
        <w:rPr>
          <w:noProof/>
        </w:rPr>
        <w:t>New Major Source, Federal Major Modification, or SB 288 Major Modification</w:t>
      </w:r>
      <w:r w:rsidRPr="00993B55">
        <w:rPr>
          <w:color w:val="000000"/>
        </w:rPr>
        <w:t xml:space="preserve"> purposes is not required.</w:t>
      </w:r>
    </w:p>
    <w:p w14:paraId="0C604037" w14:textId="77777777" w:rsidR="000177D5" w:rsidRPr="00993B55" w:rsidRDefault="000177D5" w:rsidP="007A60F3">
      <w:pPr>
        <w:widowControl w:val="0"/>
        <w:ind w:left="1080"/>
        <w:rPr>
          <w:rFonts w:cs="Arial"/>
          <w:color w:val="000000"/>
          <w:spacing w:val="-3"/>
        </w:rPr>
      </w:pPr>
    </w:p>
    <w:p w14:paraId="638C2C36" w14:textId="77777777" w:rsidR="000177D5" w:rsidRPr="00993B55" w:rsidRDefault="000177D5" w:rsidP="007A60F3">
      <w:pPr>
        <w:widowControl w:val="0"/>
        <w:tabs>
          <w:tab w:val="left" w:pos="2610"/>
        </w:tabs>
        <w:ind w:left="1080"/>
        <w:rPr>
          <w:i/>
          <w:iCs/>
          <w:color w:val="0000FF"/>
        </w:rPr>
      </w:pPr>
      <w:r w:rsidRPr="00993B55">
        <w:rPr>
          <w:i/>
          <w:iCs/>
          <w:color w:val="0000FF"/>
          <w:u w:val="single"/>
        </w:rPr>
        <w:t>Example (e)</w:t>
      </w:r>
      <w:r w:rsidRPr="00993B55">
        <w:rPr>
          <w:i/>
          <w:iCs/>
          <w:color w:val="0000FF"/>
        </w:rPr>
        <w:t>:</w:t>
      </w:r>
      <w:r w:rsidRPr="00993B55">
        <w:rPr>
          <w:i/>
          <w:iCs/>
          <w:color w:val="0000FF"/>
        </w:rPr>
        <w:tab/>
      </w:r>
      <w:r w:rsidRPr="00993B55">
        <w:rPr>
          <w:b/>
          <w:bCs/>
          <w:i/>
          <w:iCs/>
          <w:color w:val="0000FF"/>
        </w:rPr>
        <w:t>Existing Major Source facility triggering SB 288 Major Modification and/or Federal Major Modification</w:t>
      </w:r>
    </w:p>
    <w:p w14:paraId="1388F03B" w14:textId="77777777" w:rsidR="000177D5" w:rsidRPr="00993B55" w:rsidRDefault="000177D5" w:rsidP="007A60F3">
      <w:pPr>
        <w:widowControl w:val="0"/>
        <w:ind w:left="1080"/>
        <w:rPr>
          <w:color w:val="000000"/>
        </w:rPr>
      </w:pPr>
      <w:r w:rsidRPr="00993B55">
        <w:rPr>
          <w:color w:val="000000"/>
        </w:rPr>
        <w:t xml:space="preserve">As demonstrated in Section VII.C.7 of this evaluation, this project is </w:t>
      </w:r>
      <w:r w:rsidRPr="00993B55">
        <w:rPr>
          <w:color w:val="0000FF"/>
        </w:rPr>
        <w:t>an SB 288 Major Modification / a Federal Major Modification</w:t>
      </w:r>
      <w:r w:rsidRPr="00993B55">
        <w:rPr>
          <w:color w:val="000000"/>
        </w:rPr>
        <w:t xml:space="preserve">.  Therefore, public noticing </w:t>
      </w:r>
      <w:r w:rsidRPr="00993B55">
        <w:rPr>
          <w:noProof/>
        </w:rPr>
        <w:t xml:space="preserve">is required for this project </w:t>
      </w:r>
      <w:r w:rsidRPr="00993B55">
        <w:rPr>
          <w:color w:val="000000"/>
        </w:rPr>
        <w:t xml:space="preserve">for </w:t>
      </w:r>
      <w:r w:rsidRPr="00993B55">
        <w:rPr>
          <w:color w:val="0000FF"/>
        </w:rPr>
        <w:t>SB 288 Major Modification / Federal Major Modification</w:t>
      </w:r>
      <w:r w:rsidRPr="00993B55">
        <w:rPr>
          <w:color w:val="000000"/>
        </w:rPr>
        <w:t xml:space="preserve"> purposes.</w:t>
      </w:r>
    </w:p>
    <w:p w14:paraId="0774CE65" w14:textId="77777777" w:rsidR="000177D5" w:rsidRPr="00993B55" w:rsidRDefault="000177D5" w:rsidP="007A60F3">
      <w:pPr>
        <w:widowControl w:val="0"/>
        <w:ind w:left="1080"/>
        <w:rPr>
          <w:color w:val="000000"/>
        </w:rPr>
      </w:pPr>
    </w:p>
    <w:p w14:paraId="271EACB2" w14:textId="77777777" w:rsidR="000177D5" w:rsidRPr="00993B55" w:rsidRDefault="000177D5" w:rsidP="007A60F3">
      <w:pPr>
        <w:widowControl w:val="0"/>
        <w:ind w:left="1080"/>
        <w:rPr>
          <w:i/>
          <w:iCs/>
          <w:color w:val="FF0000"/>
        </w:rPr>
      </w:pPr>
      <w:r w:rsidRPr="00993B55">
        <w:rPr>
          <w:i/>
          <w:iCs/>
          <w:color w:val="FF0000"/>
        </w:rPr>
        <w:t>(</w:t>
      </w:r>
      <w:r w:rsidRPr="00993B55">
        <w:rPr>
          <w:i/>
          <w:iCs/>
          <w:color w:val="FF0000"/>
          <w:u w:val="single"/>
        </w:rPr>
        <w:t>Note</w:t>
      </w:r>
      <w:r w:rsidRPr="00993B55">
        <w:rPr>
          <w:i/>
          <w:iCs/>
          <w:color w:val="FF0000"/>
        </w:rPr>
        <w:t xml:space="preserve">: </w:t>
      </w:r>
      <w:r w:rsidRPr="00993B55">
        <w:rPr>
          <w:i/>
          <w:color w:val="FF0000"/>
        </w:rPr>
        <w:t>For New Major Sources/Major Modifications</w:t>
      </w:r>
      <w:r w:rsidRPr="00993B55">
        <w:rPr>
          <w:i/>
          <w:iCs/>
          <w:color w:val="FF0000"/>
        </w:rPr>
        <w:t>, an additional section in the EE gets added, Section VIII-Rule 2201-G, see below)</w:t>
      </w:r>
    </w:p>
    <w:p w14:paraId="5ED3DE63" w14:textId="77777777" w:rsidR="000177D5" w:rsidRPr="00993B55" w:rsidRDefault="000177D5" w:rsidP="007A60F3">
      <w:pPr>
        <w:widowControl w:val="0"/>
        <w:ind w:left="1080"/>
        <w:rPr>
          <w:color w:val="000000"/>
        </w:rPr>
      </w:pPr>
    </w:p>
    <w:p w14:paraId="01075EE0" w14:textId="77777777" w:rsidR="000177D5" w:rsidRPr="00993B55" w:rsidRDefault="000177D5" w:rsidP="007A60F3">
      <w:pPr>
        <w:widowControl w:val="0"/>
        <w:tabs>
          <w:tab w:val="left" w:pos="2610"/>
        </w:tabs>
        <w:autoSpaceDE w:val="0"/>
        <w:autoSpaceDN w:val="0"/>
        <w:adjustRightInd w:val="0"/>
        <w:ind w:left="1080"/>
        <w:rPr>
          <w:i/>
          <w:iCs/>
          <w:color w:val="0000FF"/>
        </w:rPr>
      </w:pPr>
      <w:r w:rsidRPr="00993B55">
        <w:rPr>
          <w:i/>
          <w:iCs/>
          <w:color w:val="0000FF"/>
          <w:u w:val="single"/>
        </w:rPr>
        <w:t>Example (f)</w:t>
      </w:r>
      <w:r w:rsidRPr="00993B55">
        <w:rPr>
          <w:i/>
          <w:iCs/>
          <w:color w:val="0000FF"/>
        </w:rPr>
        <w:t>:</w:t>
      </w:r>
      <w:r w:rsidRPr="00993B55">
        <w:rPr>
          <w:i/>
          <w:iCs/>
          <w:color w:val="0000FF"/>
        </w:rPr>
        <w:tab/>
      </w:r>
      <w:r w:rsidRPr="00993B55">
        <w:rPr>
          <w:b/>
          <w:bCs/>
          <w:i/>
          <w:iCs/>
          <w:color w:val="0000FF"/>
        </w:rPr>
        <w:t>New facility</w:t>
      </w:r>
      <w:r w:rsidRPr="00993B55">
        <w:rPr>
          <w:i/>
          <w:iCs/>
          <w:color w:val="0000FF"/>
        </w:rPr>
        <w:t xml:space="preserve"> </w:t>
      </w:r>
      <w:r w:rsidRPr="00993B55">
        <w:rPr>
          <w:b/>
          <w:bCs/>
          <w:i/>
          <w:iCs/>
          <w:color w:val="0000FF"/>
        </w:rPr>
        <w:t>NOT becoming New Major Source</w:t>
      </w:r>
    </w:p>
    <w:p w14:paraId="12CF61DD" w14:textId="77777777" w:rsidR="000177D5" w:rsidRPr="00993B55" w:rsidRDefault="000177D5" w:rsidP="007A60F3">
      <w:pPr>
        <w:widowControl w:val="0"/>
        <w:ind w:left="1080"/>
        <w:rPr>
          <w:color w:val="000000"/>
        </w:rPr>
      </w:pPr>
      <w:r w:rsidRPr="00993B55">
        <w:t>As shown in Section VII.C.5 above, the SSPE2 of this new facility is not greater than the Major Source threshold for any pollutant.  Therefore, this new facility is not a New Major Source and</w:t>
      </w:r>
      <w:r w:rsidRPr="00993B55">
        <w:rPr>
          <w:color w:val="000000"/>
        </w:rPr>
        <w:t xml:space="preserve"> public noticing for this project for </w:t>
      </w:r>
      <w:r w:rsidRPr="00993B55">
        <w:rPr>
          <w:noProof/>
        </w:rPr>
        <w:t>New Major Source, Federal Major Modification, or SB 288 Major Modification</w:t>
      </w:r>
      <w:r w:rsidRPr="00993B55">
        <w:rPr>
          <w:color w:val="000000"/>
        </w:rPr>
        <w:t xml:space="preserve"> purposes is not required.</w:t>
      </w:r>
    </w:p>
    <w:p w14:paraId="38EA0E63" w14:textId="77777777" w:rsidR="000177D5" w:rsidRPr="00993B55" w:rsidRDefault="000177D5" w:rsidP="007A60F3">
      <w:pPr>
        <w:widowControl w:val="0"/>
        <w:ind w:left="1080"/>
        <w:rPr>
          <w:i/>
          <w:iCs/>
          <w:color w:val="000000"/>
        </w:rPr>
      </w:pPr>
    </w:p>
    <w:p w14:paraId="0636CCAA" w14:textId="77777777" w:rsidR="000177D5" w:rsidRPr="00993B55" w:rsidRDefault="000177D5" w:rsidP="007A60F3">
      <w:pPr>
        <w:widowControl w:val="0"/>
        <w:tabs>
          <w:tab w:val="left" w:pos="2610"/>
        </w:tabs>
        <w:autoSpaceDE w:val="0"/>
        <w:autoSpaceDN w:val="0"/>
        <w:adjustRightInd w:val="0"/>
        <w:ind w:left="1080"/>
        <w:rPr>
          <w:i/>
          <w:iCs/>
          <w:color w:val="0000FF"/>
        </w:rPr>
      </w:pPr>
      <w:bookmarkStart w:id="3" w:name="_Hlk51881963"/>
      <w:r w:rsidRPr="00993B55">
        <w:rPr>
          <w:i/>
          <w:iCs/>
          <w:color w:val="0000FF"/>
          <w:u w:val="single"/>
        </w:rPr>
        <w:t>Example (g)</w:t>
      </w:r>
      <w:r w:rsidRPr="00993B55">
        <w:rPr>
          <w:i/>
          <w:iCs/>
          <w:color w:val="0000FF"/>
        </w:rPr>
        <w:t>:</w:t>
      </w:r>
      <w:r w:rsidRPr="00993B55">
        <w:rPr>
          <w:i/>
          <w:iCs/>
          <w:color w:val="0000FF"/>
        </w:rPr>
        <w:tab/>
      </w:r>
      <w:bookmarkEnd w:id="3"/>
      <w:r w:rsidRPr="00993B55">
        <w:rPr>
          <w:b/>
          <w:bCs/>
          <w:i/>
          <w:iCs/>
          <w:color w:val="0000FF"/>
        </w:rPr>
        <w:t>New facility</w:t>
      </w:r>
      <w:r w:rsidRPr="00993B55">
        <w:rPr>
          <w:i/>
          <w:iCs/>
          <w:color w:val="0000FF"/>
        </w:rPr>
        <w:t xml:space="preserve"> </w:t>
      </w:r>
      <w:r w:rsidRPr="00993B55">
        <w:rPr>
          <w:b/>
          <w:bCs/>
          <w:i/>
          <w:iCs/>
          <w:color w:val="0000FF"/>
        </w:rPr>
        <w:t>becoming New Major Source</w:t>
      </w:r>
    </w:p>
    <w:p w14:paraId="7F5645B5" w14:textId="06ED1DE4" w:rsidR="000177D5" w:rsidRPr="00993B55" w:rsidRDefault="000177D5" w:rsidP="007A60F3">
      <w:pPr>
        <w:widowControl w:val="0"/>
        <w:ind w:left="1080"/>
        <w:rPr>
          <w:noProof/>
        </w:rPr>
      </w:pPr>
      <w:r w:rsidRPr="00993B55">
        <w:rPr>
          <w:bCs/>
        </w:rPr>
        <w:t>A New Major Source is a new facility, which is also a Major Source or an existing minor source facility becoming a New Major Source as a result of the project (</w:t>
      </w:r>
      <w:r w:rsidRPr="00993B55">
        <w:rPr>
          <w:rFonts w:cs="Arial"/>
        </w:rPr>
        <w:t xml:space="preserve">the project itself has an emission increase as large as a new major source).  </w:t>
      </w:r>
      <w:r w:rsidRPr="00993B55">
        <w:t xml:space="preserve">As shown in Section VII.C.5 above, the SSPE2 of this new facility is greater than the Major Source threshold for </w:t>
      </w:r>
      <w:r w:rsidRPr="00993B55">
        <w:rPr>
          <w:color w:val="0000FF"/>
        </w:rPr>
        <w:t>NO</w:t>
      </w:r>
      <w:r w:rsidR="00FC4D95">
        <w:rPr>
          <w:color w:val="0000FF"/>
        </w:rPr>
        <w:t>x</w:t>
      </w:r>
      <w:r w:rsidRPr="00993B55">
        <w:rPr>
          <w:color w:val="0000FF"/>
        </w:rPr>
        <w:t xml:space="preserve"> and VOC</w:t>
      </w:r>
      <w:r w:rsidRPr="00993B55">
        <w:t>.  Therefore, this new facility is a New Major Source and p</w:t>
      </w:r>
      <w:r w:rsidRPr="00993B55">
        <w:rPr>
          <w:noProof/>
        </w:rPr>
        <w:t>ublic noticing is required for this project for New Major Source purposes.</w:t>
      </w:r>
    </w:p>
    <w:p w14:paraId="2BBD3A8C" w14:textId="77777777" w:rsidR="000177D5" w:rsidRPr="00993B55" w:rsidRDefault="000177D5" w:rsidP="007A60F3">
      <w:pPr>
        <w:widowControl w:val="0"/>
        <w:ind w:left="1080"/>
        <w:rPr>
          <w:noProof/>
        </w:rPr>
      </w:pPr>
    </w:p>
    <w:p w14:paraId="157BE833" w14:textId="6C106CBE" w:rsidR="000177D5" w:rsidRDefault="000177D5" w:rsidP="007A60F3">
      <w:pPr>
        <w:widowControl w:val="0"/>
        <w:ind w:left="1080"/>
        <w:rPr>
          <w:i/>
          <w:iCs/>
          <w:color w:val="FF0000"/>
        </w:rPr>
      </w:pPr>
      <w:r w:rsidRPr="00993B55">
        <w:rPr>
          <w:i/>
          <w:iCs/>
          <w:color w:val="FF0000"/>
        </w:rPr>
        <w:t>(</w:t>
      </w:r>
      <w:r w:rsidRPr="00993B55">
        <w:rPr>
          <w:i/>
          <w:iCs/>
          <w:color w:val="FF0000"/>
          <w:u w:val="single"/>
        </w:rPr>
        <w:t>Note</w:t>
      </w:r>
      <w:r w:rsidRPr="00993B55">
        <w:rPr>
          <w:i/>
          <w:iCs/>
          <w:color w:val="FF0000"/>
        </w:rPr>
        <w:t xml:space="preserve">: </w:t>
      </w:r>
      <w:r w:rsidRPr="00993B55">
        <w:rPr>
          <w:i/>
          <w:color w:val="FF0000"/>
        </w:rPr>
        <w:t>For New Major Sources/Major Modifications</w:t>
      </w:r>
      <w:r w:rsidRPr="00993B55">
        <w:rPr>
          <w:i/>
          <w:iCs/>
          <w:color w:val="FF0000"/>
        </w:rPr>
        <w:t>, an additional section in the EE gets added, Section VIII-Rule 2201-G, see below)</w:t>
      </w:r>
    </w:p>
    <w:p w14:paraId="697C1C3A" w14:textId="77777777" w:rsidR="000177D5" w:rsidRPr="00F33E30" w:rsidRDefault="000177D5" w:rsidP="008F20D3">
      <w:pPr>
        <w:pStyle w:val="Heading7"/>
      </w:pPr>
      <w:r w:rsidRPr="00F33E30">
        <w:lastRenderedPageBreak/>
        <w:t>b.</w:t>
      </w:r>
      <w:r w:rsidRPr="00F33E30">
        <w:tab/>
        <w:t>PE &gt; 100 lb/day</w:t>
      </w:r>
    </w:p>
    <w:p w14:paraId="00BE7F38" w14:textId="630BC54A" w:rsidR="000177D5" w:rsidRPr="00993B55" w:rsidRDefault="000177D5" w:rsidP="007A60F3">
      <w:pPr>
        <w:widowControl w:val="0"/>
        <w:ind w:left="1080"/>
        <w:rPr>
          <w:color w:val="FF0000"/>
        </w:rPr>
      </w:pPr>
      <w:r w:rsidRPr="00993B55">
        <w:rPr>
          <w:color w:val="FF0000"/>
        </w:rPr>
        <w:t xml:space="preserve">For new emissions units, public notification is required if the PE exceeds 100 lb/day for any </w:t>
      </w:r>
      <w:r w:rsidR="0066717D">
        <w:rPr>
          <w:color w:val="FF0000"/>
        </w:rPr>
        <w:t xml:space="preserve">affected </w:t>
      </w:r>
      <w:r w:rsidRPr="00993B55">
        <w:rPr>
          <w:color w:val="FF0000"/>
        </w:rPr>
        <w:t>pollutant</w:t>
      </w:r>
      <w:r w:rsidR="00DF644F">
        <w:rPr>
          <w:color w:val="FF0000"/>
        </w:rPr>
        <w:t xml:space="preserve"> under Rule 2201</w:t>
      </w:r>
      <w:r w:rsidRPr="00993B55">
        <w:rPr>
          <w:color w:val="FF0000"/>
        </w:rPr>
        <w:t>.</w:t>
      </w:r>
    </w:p>
    <w:p w14:paraId="272336DA" w14:textId="77777777" w:rsidR="000177D5" w:rsidRPr="00993B55" w:rsidRDefault="000177D5" w:rsidP="007A60F3">
      <w:pPr>
        <w:widowControl w:val="0"/>
        <w:ind w:left="1080"/>
        <w:rPr>
          <w:color w:val="000000"/>
        </w:rPr>
      </w:pPr>
    </w:p>
    <w:p w14:paraId="0CFC02D2" w14:textId="77777777" w:rsidR="000177D5" w:rsidRPr="00993B55" w:rsidRDefault="000177D5" w:rsidP="007A60F3">
      <w:pPr>
        <w:widowControl w:val="0"/>
        <w:tabs>
          <w:tab w:val="left" w:pos="2610"/>
        </w:tabs>
        <w:autoSpaceDE w:val="0"/>
        <w:autoSpaceDN w:val="0"/>
        <w:adjustRightInd w:val="0"/>
        <w:ind w:left="1080"/>
        <w:rPr>
          <w:i/>
          <w:iCs/>
          <w:color w:val="0000FF"/>
        </w:rPr>
      </w:pPr>
      <w:r w:rsidRPr="00993B55">
        <w:rPr>
          <w:i/>
          <w:iCs/>
          <w:color w:val="0000FF"/>
          <w:u w:val="single"/>
        </w:rPr>
        <w:t>Example (a)</w:t>
      </w:r>
      <w:r w:rsidRPr="00993B55">
        <w:rPr>
          <w:i/>
          <w:iCs/>
          <w:color w:val="0000FF"/>
        </w:rPr>
        <w:t>:</w:t>
      </w:r>
      <w:r w:rsidRPr="00993B55">
        <w:rPr>
          <w:i/>
          <w:iCs/>
          <w:color w:val="0000FF"/>
        </w:rPr>
        <w:tab/>
        <w:t>(For a project not including a new emissions unit.)</w:t>
      </w:r>
    </w:p>
    <w:p w14:paraId="3B04E50E" w14:textId="1B5F0B5E" w:rsidR="000177D5" w:rsidRPr="00993B55" w:rsidRDefault="000177D5" w:rsidP="007A60F3">
      <w:pPr>
        <w:widowControl w:val="0"/>
        <w:ind w:left="1080"/>
        <w:rPr>
          <w:color w:val="000000"/>
        </w:rPr>
      </w:pPr>
      <w:r w:rsidRPr="00993B55">
        <w:t>Applications which include a new emissions unit with a PE greater than 100 pounds during any one day for any pollutant will trigger public noticing requirements.  There are no new emissions units associated with this project. Therefore</w:t>
      </w:r>
      <w:r w:rsidR="000253A4">
        <w:t>,</w:t>
      </w:r>
      <w:r w:rsidRPr="00993B55">
        <w:t xml:space="preserve"> public noticing is not required for this project for </w:t>
      </w:r>
      <w:r w:rsidRPr="00993B55">
        <w:rPr>
          <w:rFonts w:cs="Arial"/>
        </w:rPr>
        <w:t>PE &gt; 100 lb/day.</w:t>
      </w:r>
    </w:p>
    <w:p w14:paraId="35C853F4" w14:textId="77777777" w:rsidR="006A7035" w:rsidRPr="00993B55" w:rsidRDefault="006A7035" w:rsidP="007A60F3">
      <w:pPr>
        <w:widowControl w:val="0"/>
        <w:ind w:left="1080"/>
        <w:rPr>
          <w:color w:val="000000"/>
        </w:rPr>
      </w:pPr>
    </w:p>
    <w:p w14:paraId="73EDB9D6" w14:textId="77777777" w:rsidR="000177D5" w:rsidRPr="00993B55" w:rsidRDefault="000177D5" w:rsidP="007A60F3">
      <w:pPr>
        <w:widowControl w:val="0"/>
        <w:tabs>
          <w:tab w:val="left" w:pos="2610"/>
        </w:tabs>
        <w:autoSpaceDE w:val="0"/>
        <w:autoSpaceDN w:val="0"/>
        <w:adjustRightInd w:val="0"/>
        <w:ind w:left="1080"/>
        <w:rPr>
          <w:i/>
          <w:iCs/>
          <w:color w:val="0000FF"/>
        </w:rPr>
      </w:pPr>
      <w:r w:rsidRPr="00993B55">
        <w:rPr>
          <w:i/>
          <w:iCs/>
          <w:color w:val="0000FF"/>
          <w:u w:val="single"/>
        </w:rPr>
        <w:t>Example (b)</w:t>
      </w:r>
      <w:r w:rsidRPr="00993B55">
        <w:rPr>
          <w:i/>
          <w:iCs/>
          <w:color w:val="0000FF"/>
        </w:rPr>
        <w:t>:</w:t>
      </w:r>
      <w:r w:rsidRPr="00993B55">
        <w:rPr>
          <w:i/>
          <w:iCs/>
          <w:color w:val="0000FF"/>
        </w:rPr>
        <w:tab/>
        <w:t xml:space="preserve">(For a project including a new emissions unit – PE </w:t>
      </w:r>
      <w:r w:rsidRPr="00993B55">
        <w:rPr>
          <w:i/>
          <w:iCs/>
          <w:color w:val="0000FF"/>
        </w:rPr>
        <w:sym w:font="Symbol" w:char="F0A3"/>
      </w:r>
      <w:r w:rsidRPr="00993B55">
        <w:rPr>
          <w:i/>
          <w:iCs/>
          <w:color w:val="0000FF"/>
        </w:rPr>
        <w:t xml:space="preserve"> 100 lb/day.)</w:t>
      </w:r>
    </w:p>
    <w:p w14:paraId="01FF4E71" w14:textId="3BA6C6D8" w:rsidR="000177D5" w:rsidRPr="00993B55" w:rsidRDefault="000177D5" w:rsidP="007A60F3">
      <w:pPr>
        <w:widowControl w:val="0"/>
        <w:ind w:left="1080"/>
        <w:rPr>
          <w:rFonts w:cs="Arial"/>
        </w:rPr>
      </w:pPr>
      <w:r w:rsidRPr="00993B55">
        <w:t xml:space="preserve">Applications which include a new emissions unit with a PE greater than 100 pounds during any one day for any pollutant will trigger public noticing requirements.  </w:t>
      </w:r>
      <w:r w:rsidRPr="00993B55">
        <w:rPr>
          <w:rFonts w:cs="Arial"/>
        </w:rPr>
        <w:t>As seen in Section VII.C.2 above, this project does not include a new emissions unit which has daily emissions greater than 100 lb/day for any pollutant</w:t>
      </w:r>
      <w:r w:rsidR="000253A4">
        <w:rPr>
          <w:rFonts w:cs="Arial"/>
        </w:rPr>
        <w:t>.</w:t>
      </w:r>
      <w:r w:rsidRPr="00993B55">
        <w:rPr>
          <w:rFonts w:cs="Arial"/>
        </w:rPr>
        <w:t xml:space="preserve"> </w:t>
      </w:r>
      <w:r w:rsidR="000253A4">
        <w:rPr>
          <w:rFonts w:cs="Arial"/>
        </w:rPr>
        <w:t>T</w:t>
      </w:r>
      <w:r w:rsidRPr="00993B55">
        <w:rPr>
          <w:rFonts w:cs="Arial"/>
        </w:rPr>
        <w:t>herefore</w:t>
      </w:r>
      <w:r w:rsidR="000253A4">
        <w:rPr>
          <w:rFonts w:cs="Arial"/>
        </w:rPr>
        <w:t>,</w:t>
      </w:r>
      <w:r w:rsidRPr="00993B55">
        <w:rPr>
          <w:rFonts w:cs="Arial"/>
        </w:rPr>
        <w:t xml:space="preserve"> public noticing for PE &gt; 100 lb/day purposes is not required.</w:t>
      </w:r>
    </w:p>
    <w:p w14:paraId="3A70F6BB" w14:textId="77777777" w:rsidR="000177D5" w:rsidRPr="00993B55" w:rsidRDefault="000177D5" w:rsidP="007A60F3">
      <w:pPr>
        <w:widowControl w:val="0"/>
        <w:ind w:left="1080"/>
        <w:rPr>
          <w:rFonts w:cs="Arial"/>
        </w:rPr>
      </w:pPr>
    </w:p>
    <w:p w14:paraId="1AB627D3" w14:textId="77777777" w:rsidR="000177D5" w:rsidRPr="00993B55" w:rsidRDefault="000177D5" w:rsidP="007A60F3">
      <w:pPr>
        <w:widowControl w:val="0"/>
        <w:tabs>
          <w:tab w:val="left" w:pos="2610"/>
        </w:tabs>
        <w:autoSpaceDE w:val="0"/>
        <w:autoSpaceDN w:val="0"/>
        <w:adjustRightInd w:val="0"/>
        <w:ind w:left="1080"/>
        <w:rPr>
          <w:i/>
          <w:iCs/>
          <w:color w:val="0000FF"/>
        </w:rPr>
      </w:pPr>
      <w:r w:rsidRPr="00993B55">
        <w:rPr>
          <w:i/>
          <w:iCs/>
          <w:color w:val="0000FF"/>
          <w:u w:val="single"/>
        </w:rPr>
        <w:t>Example (c)</w:t>
      </w:r>
      <w:r w:rsidRPr="00993B55">
        <w:rPr>
          <w:i/>
          <w:iCs/>
          <w:color w:val="0000FF"/>
        </w:rPr>
        <w:t>:</w:t>
      </w:r>
      <w:r w:rsidRPr="00993B55">
        <w:rPr>
          <w:i/>
          <w:iCs/>
          <w:color w:val="0000FF"/>
        </w:rPr>
        <w:tab/>
        <w:t>(For a project including a new emissions unit – PE &gt; 100 lb/day.)</w:t>
      </w:r>
    </w:p>
    <w:p w14:paraId="5922837F" w14:textId="77777777" w:rsidR="000177D5" w:rsidRPr="00993B55" w:rsidRDefault="000177D5" w:rsidP="007A60F3">
      <w:pPr>
        <w:widowControl w:val="0"/>
        <w:ind w:left="1080"/>
        <w:rPr>
          <w:color w:val="000000"/>
        </w:rPr>
      </w:pPr>
      <w:r w:rsidRPr="00993B55">
        <w:rPr>
          <w:color w:val="000000"/>
        </w:rPr>
        <w:t>The PE2 for this new unit is compared to the daily PE Public Notice thresholds in the following table:</w:t>
      </w:r>
    </w:p>
    <w:p w14:paraId="724F9433" w14:textId="77777777" w:rsidR="00505E9F" w:rsidRPr="00993B55" w:rsidRDefault="00505E9F" w:rsidP="007A60F3">
      <w:pPr>
        <w:widowControl w:val="0"/>
        <w:ind w:left="1080"/>
        <w:rPr>
          <w:color w:val="000000"/>
        </w:rPr>
      </w:pPr>
    </w:p>
    <w:tbl>
      <w:tblPr>
        <w:tblW w:w="8190"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070"/>
        <w:gridCol w:w="2520"/>
        <w:gridCol w:w="2070"/>
      </w:tblGrid>
      <w:tr w:rsidR="000177D5" w:rsidRPr="00993B55" w14:paraId="4C25167B" w14:textId="77777777" w:rsidTr="00505E9F">
        <w:trPr>
          <w:trHeight w:val="555"/>
        </w:trPr>
        <w:tc>
          <w:tcPr>
            <w:tcW w:w="8190" w:type="dxa"/>
            <w:gridSpan w:val="4"/>
            <w:shd w:val="clear" w:color="auto" w:fill="D9D9D9" w:themeFill="background1" w:themeFillShade="D9"/>
            <w:vAlign w:val="center"/>
          </w:tcPr>
          <w:p w14:paraId="664A517D" w14:textId="77777777" w:rsidR="000177D5" w:rsidRPr="00993B55" w:rsidRDefault="000177D5" w:rsidP="00461BE9">
            <w:pPr>
              <w:keepNext/>
              <w:widowControl w:val="0"/>
              <w:jc w:val="center"/>
              <w:rPr>
                <w:b/>
                <w:bCs/>
                <w:color w:val="000000"/>
                <w:sz w:val="22"/>
                <w:szCs w:val="22"/>
              </w:rPr>
            </w:pPr>
            <w:r w:rsidRPr="00993B55">
              <w:rPr>
                <w:b/>
                <w:bCs/>
                <w:color w:val="000000"/>
                <w:sz w:val="22"/>
                <w:szCs w:val="22"/>
              </w:rPr>
              <w:t>PE &gt; 100 lb/day Public Notice Thresholds</w:t>
            </w:r>
          </w:p>
        </w:tc>
      </w:tr>
      <w:tr w:rsidR="000177D5" w:rsidRPr="00993B55" w14:paraId="2866EA33" w14:textId="77777777" w:rsidTr="00505E9F">
        <w:trPr>
          <w:trHeight w:val="663"/>
        </w:trPr>
        <w:tc>
          <w:tcPr>
            <w:tcW w:w="1530" w:type="dxa"/>
            <w:shd w:val="clear" w:color="auto" w:fill="D9D9D9" w:themeFill="background1" w:themeFillShade="D9"/>
            <w:vAlign w:val="center"/>
          </w:tcPr>
          <w:p w14:paraId="45DC4001" w14:textId="77777777" w:rsidR="000177D5" w:rsidRPr="00993B55" w:rsidRDefault="000177D5" w:rsidP="00461BE9">
            <w:pPr>
              <w:keepNext/>
              <w:widowControl w:val="0"/>
              <w:jc w:val="center"/>
              <w:rPr>
                <w:color w:val="000000"/>
                <w:sz w:val="22"/>
                <w:szCs w:val="22"/>
              </w:rPr>
            </w:pPr>
            <w:r w:rsidRPr="00993B55">
              <w:rPr>
                <w:b/>
                <w:color w:val="000000"/>
                <w:sz w:val="22"/>
              </w:rPr>
              <w:t>Pollutant</w:t>
            </w:r>
          </w:p>
        </w:tc>
        <w:tc>
          <w:tcPr>
            <w:tcW w:w="2070" w:type="dxa"/>
            <w:shd w:val="clear" w:color="auto" w:fill="D9D9D9" w:themeFill="background1" w:themeFillShade="D9"/>
            <w:vAlign w:val="center"/>
          </w:tcPr>
          <w:p w14:paraId="2D903F9B" w14:textId="77777777" w:rsidR="000177D5" w:rsidRPr="00993B55" w:rsidRDefault="000177D5" w:rsidP="00461BE9">
            <w:pPr>
              <w:keepNext/>
              <w:widowControl w:val="0"/>
              <w:jc w:val="center"/>
              <w:rPr>
                <w:b/>
                <w:color w:val="000000"/>
                <w:sz w:val="22"/>
                <w:szCs w:val="22"/>
              </w:rPr>
            </w:pPr>
            <w:r w:rsidRPr="00993B55">
              <w:rPr>
                <w:b/>
                <w:color w:val="000000"/>
                <w:sz w:val="22"/>
                <w:szCs w:val="22"/>
              </w:rPr>
              <w:t>PE2</w:t>
            </w:r>
          </w:p>
          <w:p w14:paraId="11E4DD9A" w14:textId="77777777" w:rsidR="000177D5" w:rsidRPr="00993B55" w:rsidRDefault="000177D5" w:rsidP="00461BE9">
            <w:pPr>
              <w:keepNext/>
              <w:widowControl w:val="0"/>
              <w:jc w:val="center"/>
              <w:rPr>
                <w:b/>
                <w:color w:val="000000"/>
                <w:sz w:val="22"/>
                <w:szCs w:val="22"/>
              </w:rPr>
            </w:pPr>
            <w:r w:rsidRPr="00993B55">
              <w:rPr>
                <w:b/>
                <w:color w:val="000000"/>
                <w:sz w:val="22"/>
                <w:szCs w:val="22"/>
              </w:rPr>
              <w:t>(lb/day)</w:t>
            </w:r>
          </w:p>
        </w:tc>
        <w:tc>
          <w:tcPr>
            <w:tcW w:w="2520" w:type="dxa"/>
            <w:shd w:val="clear" w:color="auto" w:fill="D9D9D9" w:themeFill="background1" w:themeFillShade="D9"/>
            <w:vAlign w:val="center"/>
          </w:tcPr>
          <w:p w14:paraId="14160A94" w14:textId="77777777" w:rsidR="000177D5" w:rsidRPr="00993B55" w:rsidRDefault="000177D5" w:rsidP="00461BE9">
            <w:pPr>
              <w:keepNext/>
              <w:widowControl w:val="0"/>
              <w:jc w:val="center"/>
              <w:rPr>
                <w:b/>
                <w:color w:val="000000"/>
                <w:sz w:val="22"/>
                <w:szCs w:val="22"/>
              </w:rPr>
            </w:pPr>
            <w:r w:rsidRPr="00993B55">
              <w:rPr>
                <w:b/>
                <w:color w:val="000000"/>
                <w:sz w:val="22"/>
                <w:szCs w:val="22"/>
              </w:rPr>
              <w:t>Public Notice Threshold</w:t>
            </w:r>
          </w:p>
        </w:tc>
        <w:tc>
          <w:tcPr>
            <w:tcW w:w="2070" w:type="dxa"/>
            <w:shd w:val="clear" w:color="auto" w:fill="D9D9D9" w:themeFill="background1" w:themeFillShade="D9"/>
            <w:vAlign w:val="center"/>
          </w:tcPr>
          <w:p w14:paraId="2CA09AFF" w14:textId="77777777" w:rsidR="000177D5" w:rsidRPr="00993B55" w:rsidRDefault="000177D5" w:rsidP="00461BE9">
            <w:pPr>
              <w:keepNext/>
              <w:widowControl w:val="0"/>
              <w:jc w:val="center"/>
              <w:rPr>
                <w:b/>
                <w:color w:val="000000"/>
                <w:sz w:val="22"/>
                <w:szCs w:val="22"/>
              </w:rPr>
            </w:pPr>
            <w:r w:rsidRPr="00993B55">
              <w:rPr>
                <w:b/>
                <w:color w:val="000000"/>
                <w:sz w:val="22"/>
                <w:szCs w:val="22"/>
              </w:rPr>
              <w:t>Public Notice Triggered?</w:t>
            </w:r>
          </w:p>
        </w:tc>
      </w:tr>
      <w:tr w:rsidR="000177D5" w:rsidRPr="00993B55" w14:paraId="720A2A43" w14:textId="77777777" w:rsidTr="00505E9F">
        <w:trPr>
          <w:trHeight w:val="313"/>
        </w:trPr>
        <w:tc>
          <w:tcPr>
            <w:tcW w:w="1530" w:type="dxa"/>
            <w:shd w:val="clear" w:color="auto" w:fill="auto"/>
            <w:vAlign w:val="center"/>
          </w:tcPr>
          <w:p w14:paraId="0F337DE6" w14:textId="02D75ED8" w:rsidR="000177D5" w:rsidRPr="00993B55" w:rsidRDefault="000177D5" w:rsidP="00461BE9">
            <w:pPr>
              <w:keepNext/>
              <w:widowControl w:val="0"/>
              <w:jc w:val="center"/>
              <w:rPr>
                <w:color w:val="000000"/>
                <w:sz w:val="22"/>
                <w:szCs w:val="22"/>
              </w:rPr>
            </w:pPr>
            <w:r w:rsidRPr="00993B55">
              <w:rPr>
                <w:color w:val="000000"/>
                <w:sz w:val="22"/>
                <w:szCs w:val="22"/>
              </w:rPr>
              <w:t>NO</w:t>
            </w:r>
            <w:r w:rsidR="00FC4D95" w:rsidRPr="00A71660">
              <w:rPr>
                <w:color w:val="000000"/>
                <w:sz w:val="22"/>
                <w:szCs w:val="22"/>
              </w:rPr>
              <w:t>x</w:t>
            </w:r>
          </w:p>
        </w:tc>
        <w:tc>
          <w:tcPr>
            <w:tcW w:w="2070" w:type="dxa"/>
            <w:shd w:val="clear" w:color="auto" w:fill="auto"/>
            <w:vAlign w:val="center"/>
          </w:tcPr>
          <w:p w14:paraId="45718C17" w14:textId="51CD4036" w:rsidR="000177D5" w:rsidRPr="00993B55" w:rsidRDefault="006D177B" w:rsidP="00461BE9">
            <w:pPr>
              <w:keepNext/>
              <w:widowControl w:val="0"/>
              <w:jc w:val="center"/>
              <w:rPr>
                <w:color w:val="000000"/>
                <w:sz w:val="22"/>
                <w:szCs w:val="22"/>
              </w:rPr>
            </w:pPr>
            <w:r>
              <w:rPr>
                <w:color w:val="0000FF"/>
                <w:sz w:val="22"/>
                <w:szCs w:val="22"/>
              </w:rPr>
              <w:t>XX.X</w:t>
            </w:r>
          </w:p>
        </w:tc>
        <w:tc>
          <w:tcPr>
            <w:tcW w:w="2520" w:type="dxa"/>
            <w:shd w:val="clear" w:color="auto" w:fill="auto"/>
            <w:vAlign w:val="center"/>
          </w:tcPr>
          <w:p w14:paraId="3018164A" w14:textId="3005A60F" w:rsidR="000177D5" w:rsidRPr="00993B55" w:rsidRDefault="000177D5" w:rsidP="00461BE9">
            <w:pPr>
              <w:keepNext/>
              <w:widowControl w:val="0"/>
              <w:jc w:val="center"/>
              <w:rPr>
                <w:color w:val="000000"/>
                <w:sz w:val="22"/>
                <w:szCs w:val="22"/>
              </w:rPr>
            </w:pPr>
            <w:r w:rsidRPr="00993B55">
              <w:rPr>
                <w:color w:val="000000"/>
                <w:sz w:val="22"/>
                <w:szCs w:val="22"/>
              </w:rPr>
              <w:t>100 lb/day</w:t>
            </w:r>
          </w:p>
        </w:tc>
        <w:tc>
          <w:tcPr>
            <w:tcW w:w="2070" w:type="dxa"/>
            <w:shd w:val="clear" w:color="auto" w:fill="auto"/>
            <w:vAlign w:val="center"/>
          </w:tcPr>
          <w:p w14:paraId="271BD6BF" w14:textId="77777777" w:rsidR="000177D5" w:rsidRPr="00993B55" w:rsidRDefault="000177D5" w:rsidP="00461BE9">
            <w:pPr>
              <w:keepNext/>
              <w:widowControl w:val="0"/>
              <w:jc w:val="center"/>
              <w:rPr>
                <w:color w:val="0000FF"/>
                <w:sz w:val="22"/>
                <w:szCs w:val="22"/>
              </w:rPr>
            </w:pPr>
            <w:r w:rsidRPr="00993B55">
              <w:rPr>
                <w:color w:val="0000FF"/>
                <w:sz w:val="22"/>
                <w:szCs w:val="22"/>
              </w:rPr>
              <w:t>Yes</w:t>
            </w:r>
          </w:p>
        </w:tc>
      </w:tr>
      <w:tr w:rsidR="000177D5" w:rsidRPr="00993B55" w14:paraId="4AFCC717" w14:textId="77777777" w:rsidTr="00505E9F">
        <w:trPr>
          <w:trHeight w:val="313"/>
        </w:trPr>
        <w:tc>
          <w:tcPr>
            <w:tcW w:w="1530" w:type="dxa"/>
            <w:shd w:val="clear" w:color="auto" w:fill="auto"/>
            <w:vAlign w:val="center"/>
          </w:tcPr>
          <w:p w14:paraId="0B04341E" w14:textId="1E948C17" w:rsidR="000177D5" w:rsidRPr="00993B55" w:rsidRDefault="000177D5" w:rsidP="00461BE9">
            <w:pPr>
              <w:keepNext/>
              <w:widowControl w:val="0"/>
              <w:jc w:val="center"/>
              <w:rPr>
                <w:color w:val="000000"/>
                <w:sz w:val="22"/>
                <w:szCs w:val="22"/>
              </w:rPr>
            </w:pPr>
            <w:r w:rsidRPr="00993B55">
              <w:rPr>
                <w:color w:val="000000"/>
                <w:sz w:val="22"/>
                <w:szCs w:val="22"/>
              </w:rPr>
              <w:t>SO</w:t>
            </w:r>
            <w:r w:rsidR="00FC4D95">
              <w:rPr>
                <w:color w:val="000000"/>
                <w:sz w:val="22"/>
                <w:szCs w:val="22"/>
              </w:rPr>
              <w:t>x</w:t>
            </w:r>
          </w:p>
        </w:tc>
        <w:tc>
          <w:tcPr>
            <w:tcW w:w="2070" w:type="dxa"/>
            <w:shd w:val="clear" w:color="auto" w:fill="auto"/>
            <w:vAlign w:val="center"/>
          </w:tcPr>
          <w:p w14:paraId="3B502C67" w14:textId="161E43E2" w:rsidR="000177D5" w:rsidRPr="00993B55" w:rsidRDefault="006D177B" w:rsidP="00461BE9">
            <w:pPr>
              <w:keepNext/>
              <w:widowControl w:val="0"/>
              <w:jc w:val="center"/>
              <w:rPr>
                <w:color w:val="000000"/>
                <w:sz w:val="22"/>
                <w:szCs w:val="22"/>
              </w:rPr>
            </w:pPr>
            <w:r>
              <w:rPr>
                <w:color w:val="0000FF"/>
                <w:sz w:val="22"/>
                <w:szCs w:val="22"/>
              </w:rPr>
              <w:t>XX.X</w:t>
            </w:r>
          </w:p>
        </w:tc>
        <w:tc>
          <w:tcPr>
            <w:tcW w:w="2520" w:type="dxa"/>
            <w:shd w:val="clear" w:color="auto" w:fill="auto"/>
            <w:vAlign w:val="center"/>
          </w:tcPr>
          <w:p w14:paraId="0DC44C87" w14:textId="645BF52D" w:rsidR="000177D5" w:rsidRPr="00993B55" w:rsidRDefault="000177D5" w:rsidP="00461BE9">
            <w:pPr>
              <w:keepNext/>
              <w:widowControl w:val="0"/>
              <w:jc w:val="center"/>
              <w:rPr>
                <w:color w:val="000000"/>
                <w:sz w:val="22"/>
                <w:szCs w:val="22"/>
              </w:rPr>
            </w:pPr>
            <w:r w:rsidRPr="00993B55">
              <w:rPr>
                <w:color w:val="000000"/>
                <w:sz w:val="22"/>
                <w:szCs w:val="22"/>
              </w:rPr>
              <w:t>100 lb/day</w:t>
            </w:r>
          </w:p>
        </w:tc>
        <w:tc>
          <w:tcPr>
            <w:tcW w:w="2070" w:type="dxa"/>
            <w:shd w:val="clear" w:color="auto" w:fill="auto"/>
            <w:vAlign w:val="center"/>
          </w:tcPr>
          <w:p w14:paraId="3EB89A1B" w14:textId="77777777" w:rsidR="000177D5" w:rsidRPr="00993B55" w:rsidRDefault="000177D5" w:rsidP="00461BE9">
            <w:pPr>
              <w:keepNext/>
              <w:widowControl w:val="0"/>
              <w:jc w:val="center"/>
              <w:rPr>
                <w:color w:val="0000FF"/>
                <w:sz w:val="22"/>
                <w:szCs w:val="22"/>
              </w:rPr>
            </w:pPr>
            <w:r w:rsidRPr="00993B55">
              <w:rPr>
                <w:color w:val="0000FF"/>
                <w:sz w:val="22"/>
                <w:szCs w:val="22"/>
              </w:rPr>
              <w:t>No</w:t>
            </w:r>
          </w:p>
        </w:tc>
      </w:tr>
      <w:tr w:rsidR="000177D5" w:rsidRPr="00993B55" w14:paraId="3059BF5D" w14:textId="77777777" w:rsidTr="00505E9F">
        <w:trPr>
          <w:trHeight w:val="313"/>
        </w:trPr>
        <w:tc>
          <w:tcPr>
            <w:tcW w:w="1530" w:type="dxa"/>
            <w:shd w:val="clear" w:color="auto" w:fill="auto"/>
            <w:vAlign w:val="center"/>
          </w:tcPr>
          <w:p w14:paraId="5E6E898E" w14:textId="3255BF87" w:rsidR="000177D5" w:rsidRPr="00993B55" w:rsidRDefault="000177D5" w:rsidP="00461BE9">
            <w:pPr>
              <w:keepNext/>
              <w:widowControl w:val="0"/>
              <w:jc w:val="center"/>
              <w:rPr>
                <w:color w:val="000000"/>
                <w:sz w:val="22"/>
                <w:szCs w:val="22"/>
              </w:rPr>
            </w:pPr>
            <w:r w:rsidRPr="00993B55">
              <w:rPr>
                <w:color w:val="000000"/>
                <w:sz w:val="22"/>
                <w:szCs w:val="22"/>
              </w:rPr>
              <w:t>PM</w:t>
            </w:r>
            <w:r w:rsidR="00FC4D95">
              <w:rPr>
                <w:color w:val="000000"/>
                <w:sz w:val="22"/>
                <w:szCs w:val="22"/>
              </w:rPr>
              <w:t>10</w:t>
            </w:r>
          </w:p>
        </w:tc>
        <w:tc>
          <w:tcPr>
            <w:tcW w:w="2070" w:type="dxa"/>
            <w:shd w:val="clear" w:color="auto" w:fill="auto"/>
            <w:vAlign w:val="center"/>
          </w:tcPr>
          <w:p w14:paraId="51A0025F" w14:textId="199BE71C" w:rsidR="000177D5" w:rsidRPr="00993B55" w:rsidRDefault="006D177B" w:rsidP="00461BE9">
            <w:pPr>
              <w:keepNext/>
              <w:widowControl w:val="0"/>
              <w:jc w:val="center"/>
              <w:rPr>
                <w:color w:val="000000"/>
                <w:sz w:val="22"/>
                <w:szCs w:val="22"/>
              </w:rPr>
            </w:pPr>
            <w:r>
              <w:rPr>
                <w:color w:val="0000FF"/>
                <w:sz w:val="22"/>
                <w:szCs w:val="22"/>
              </w:rPr>
              <w:t>XX.X</w:t>
            </w:r>
          </w:p>
        </w:tc>
        <w:tc>
          <w:tcPr>
            <w:tcW w:w="2520" w:type="dxa"/>
            <w:shd w:val="clear" w:color="auto" w:fill="auto"/>
            <w:vAlign w:val="center"/>
          </w:tcPr>
          <w:p w14:paraId="0287E509" w14:textId="5A1D9B53" w:rsidR="000177D5" w:rsidRPr="00993B55" w:rsidRDefault="000177D5" w:rsidP="00461BE9">
            <w:pPr>
              <w:keepNext/>
              <w:widowControl w:val="0"/>
              <w:jc w:val="center"/>
              <w:rPr>
                <w:color w:val="000000"/>
                <w:sz w:val="22"/>
                <w:szCs w:val="22"/>
              </w:rPr>
            </w:pPr>
            <w:r w:rsidRPr="00993B55">
              <w:rPr>
                <w:color w:val="000000"/>
                <w:sz w:val="22"/>
                <w:szCs w:val="22"/>
              </w:rPr>
              <w:t>100 lb/day</w:t>
            </w:r>
          </w:p>
        </w:tc>
        <w:tc>
          <w:tcPr>
            <w:tcW w:w="2070" w:type="dxa"/>
            <w:shd w:val="clear" w:color="auto" w:fill="auto"/>
            <w:vAlign w:val="center"/>
          </w:tcPr>
          <w:p w14:paraId="326A3AAD" w14:textId="77777777" w:rsidR="000177D5" w:rsidRPr="00993B55" w:rsidRDefault="000177D5" w:rsidP="00461BE9">
            <w:pPr>
              <w:keepNext/>
              <w:widowControl w:val="0"/>
              <w:jc w:val="center"/>
              <w:rPr>
                <w:color w:val="0000FF"/>
                <w:sz w:val="22"/>
                <w:szCs w:val="22"/>
              </w:rPr>
            </w:pPr>
            <w:r w:rsidRPr="00993B55">
              <w:rPr>
                <w:color w:val="0000FF"/>
                <w:sz w:val="22"/>
                <w:szCs w:val="22"/>
              </w:rPr>
              <w:t>No</w:t>
            </w:r>
          </w:p>
        </w:tc>
      </w:tr>
      <w:tr w:rsidR="000177D5" w:rsidRPr="00993B55" w14:paraId="4BB593A1" w14:textId="77777777" w:rsidTr="00505E9F">
        <w:trPr>
          <w:trHeight w:val="313"/>
        </w:trPr>
        <w:tc>
          <w:tcPr>
            <w:tcW w:w="1530" w:type="dxa"/>
            <w:shd w:val="clear" w:color="auto" w:fill="auto"/>
            <w:vAlign w:val="center"/>
          </w:tcPr>
          <w:p w14:paraId="7E0F2C52" w14:textId="77777777" w:rsidR="000177D5" w:rsidRPr="00993B55" w:rsidRDefault="000177D5" w:rsidP="00461BE9">
            <w:pPr>
              <w:keepNext/>
              <w:widowControl w:val="0"/>
              <w:jc w:val="center"/>
              <w:rPr>
                <w:color w:val="000000"/>
                <w:sz w:val="22"/>
                <w:szCs w:val="22"/>
              </w:rPr>
            </w:pPr>
            <w:r w:rsidRPr="00993B55">
              <w:rPr>
                <w:color w:val="000000"/>
                <w:sz w:val="22"/>
                <w:szCs w:val="22"/>
              </w:rPr>
              <w:t>CO</w:t>
            </w:r>
          </w:p>
        </w:tc>
        <w:tc>
          <w:tcPr>
            <w:tcW w:w="2070" w:type="dxa"/>
            <w:shd w:val="clear" w:color="auto" w:fill="auto"/>
            <w:vAlign w:val="center"/>
          </w:tcPr>
          <w:p w14:paraId="27244851" w14:textId="00FDB930" w:rsidR="000177D5" w:rsidRPr="00993B55" w:rsidRDefault="006D177B" w:rsidP="00461BE9">
            <w:pPr>
              <w:keepNext/>
              <w:widowControl w:val="0"/>
              <w:jc w:val="center"/>
              <w:rPr>
                <w:color w:val="000000"/>
                <w:sz w:val="22"/>
                <w:szCs w:val="22"/>
              </w:rPr>
            </w:pPr>
            <w:r>
              <w:rPr>
                <w:color w:val="0000FF"/>
                <w:sz w:val="22"/>
                <w:szCs w:val="22"/>
              </w:rPr>
              <w:t>XX.X</w:t>
            </w:r>
          </w:p>
        </w:tc>
        <w:tc>
          <w:tcPr>
            <w:tcW w:w="2520" w:type="dxa"/>
            <w:shd w:val="clear" w:color="auto" w:fill="auto"/>
            <w:vAlign w:val="center"/>
          </w:tcPr>
          <w:p w14:paraId="35F70F16" w14:textId="78C5F8D6" w:rsidR="000177D5" w:rsidRPr="00993B55" w:rsidRDefault="000177D5" w:rsidP="00461BE9">
            <w:pPr>
              <w:keepNext/>
              <w:widowControl w:val="0"/>
              <w:jc w:val="center"/>
              <w:rPr>
                <w:color w:val="000000"/>
                <w:sz w:val="22"/>
                <w:szCs w:val="22"/>
              </w:rPr>
            </w:pPr>
            <w:r w:rsidRPr="00993B55">
              <w:rPr>
                <w:color w:val="000000"/>
                <w:sz w:val="22"/>
                <w:szCs w:val="22"/>
              </w:rPr>
              <w:t>100 lb/day</w:t>
            </w:r>
          </w:p>
        </w:tc>
        <w:tc>
          <w:tcPr>
            <w:tcW w:w="2070" w:type="dxa"/>
            <w:shd w:val="clear" w:color="auto" w:fill="auto"/>
            <w:vAlign w:val="center"/>
          </w:tcPr>
          <w:p w14:paraId="620A99A7" w14:textId="77777777" w:rsidR="000177D5" w:rsidRPr="00993B55" w:rsidRDefault="000177D5" w:rsidP="00461BE9">
            <w:pPr>
              <w:keepNext/>
              <w:widowControl w:val="0"/>
              <w:jc w:val="center"/>
              <w:rPr>
                <w:color w:val="0000FF"/>
                <w:sz w:val="22"/>
                <w:szCs w:val="22"/>
              </w:rPr>
            </w:pPr>
            <w:r w:rsidRPr="00993B55">
              <w:rPr>
                <w:color w:val="0000FF"/>
                <w:sz w:val="22"/>
                <w:szCs w:val="22"/>
              </w:rPr>
              <w:t>Yes</w:t>
            </w:r>
          </w:p>
        </w:tc>
      </w:tr>
      <w:tr w:rsidR="000177D5" w:rsidRPr="00993B55" w14:paraId="479646BF" w14:textId="77777777" w:rsidTr="00505E9F">
        <w:trPr>
          <w:trHeight w:val="313"/>
        </w:trPr>
        <w:tc>
          <w:tcPr>
            <w:tcW w:w="1530" w:type="dxa"/>
            <w:shd w:val="clear" w:color="auto" w:fill="auto"/>
            <w:vAlign w:val="center"/>
          </w:tcPr>
          <w:p w14:paraId="0FED59EA" w14:textId="77777777" w:rsidR="000177D5" w:rsidRPr="00993B55" w:rsidRDefault="000177D5" w:rsidP="00461BE9">
            <w:pPr>
              <w:keepNext/>
              <w:widowControl w:val="0"/>
              <w:jc w:val="center"/>
              <w:rPr>
                <w:color w:val="000000"/>
                <w:sz w:val="22"/>
                <w:szCs w:val="22"/>
              </w:rPr>
            </w:pPr>
            <w:r w:rsidRPr="00993B55">
              <w:rPr>
                <w:color w:val="000000"/>
                <w:sz w:val="22"/>
                <w:szCs w:val="22"/>
              </w:rPr>
              <w:t>VOC</w:t>
            </w:r>
          </w:p>
        </w:tc>
        <w:tc>
          <w:tcPr>
            <w:tcW w:w="2070" w:type="dxa"/>
            <w:shd w:val="clear" w:color="auto" w:fill="auto"/>
            <w:vAlign w:val="center"/>
          </w:tcPr>
          <w:p w14:paraId="1F9F11FE" w14:textId="033B4CA3" w:rsidR="000177D5" w:rsidRPr="00993B55" w:rsidRDefault="006D177B" w:rsidP="00461BE9">
            <w:pPr>
              <w:keepNext/>
              <w:widowControl w:val="0"/>
              <w:jc w:val="center"/>
              <w:rPr>
                <w:color w:val="000000"/>
                <w:sz w:val="22"/>
                <w:szCs w:val="22"/>
              </w:rPr>
            </w:pPr>
            <w:r>
              <w:rPr>
                <w:color w:val="0000FF"/>
                <w:sz w:val="22"/>
                <w:szCs w:val="22"/>
              </w:rPr>
              <w:t>XX.X</w:t>
            </w:r>
          </w:p>
        </w:tc>
        <w:tc>
          <w:tcPr>
            <w:tcW w:w="2520" w:type="dxa"/>
            <w:shd w:val="clear" w:color="auto" w:fill="auto"/>
            <w:vAlign w:val="center"/>
          </w:tcPr>
          <w:p w14:paraId="348208A7" w14:textId="2BACDC8C" w:rsidR="000177D5" w:rsidRPr="00993B55" w:rsidRDefault="000177D5" w:rsidP="00461BE9">
            <w:pPr>
              <w:keepNext/>
              <w:widowControl w:val="0"/>
              <w:jc w:val="center"/>
              <w:rPr>
                <w:color w:val="000000"/>
                <w:sz w:val="22"/>
                <w:szCs w:val="22"/>
              </w:rPr>
            </w:pPr>
            <w:r w:rsidRPr="00993B55">
              <w:rPr>
                <w:color w:val="000000"/>
                <w:sz w:val="22"/>
                <w:szCs w:val="22"/>
              </w:rPr>
              <w:t>100 lb/day</w:t>
            </w:r>
          </w:p>
        </w:tc>
        <w:tc>
          <w:tcPr>
            <w:tcW w:w="2070" w:type="dxa"/>
            <w:shd w:val="clear" w:color="auto" w:fill="auto"/>
            <w:vAlign w:val="center"/>
          </w:tcPr>
          <w:p w14:paraId="7B92BE2A" w14:textId="77777777" w:rsidR="000177D5" w:rsidRPr="00993B55" w:rsidRDefault="000177D5" w:rsidP="00461BE9">
            <w:pPr>
              <w:keepNext/>
              <w:widowControl w:val="0"/>
              <w:jc w:val="center"/>
              <w:rPr>
                <w:color w:val="0000FF"/>
                <w:sz w:val="22"/>
                <w:szCs w:val="22"/>
              </w:rPr>
            </w:pPr>
            <w:r w:rsidRPr="00993B55">
              <w:rPr>
                <w:color w:val="0000FF"/>
                <w:sz w:val="22"/>
                <w:szCs w:val="22"/>
              </w:rPr>
              <w:t>No</w:t>
            </w:r>
          </w:p>
        </w:tc>
      </w:tr>
    </w:tbl>
    <w:p w14:paraId="6B24E008" w14:textId="77777777" w:rsidR="000177D5" w:rsidRPr="00993B55" w:rsidRDefault="000177D5" w:rsidP="007A60F3">
      <w:pPr>
        <w:widowControl w:val="0"/>
        <w:ind w:left="1080"/>
        <w:rPr>
          <w:color w:val="000000"/>
        </w:rPr>
      </w:pPr>
    </w:p>
    <w:p w14:paraId="00B37A29" w14:textId="051D7219" w:rsidR="000177D5" w:rsidRPr="00993B55" w:rsidRDefault="000177D5" w:rsidP="007A60F3">
      <w:pPr>
        <w:widowControl w:val="0"/>
        <w:ind w:left="1080"/>
        <w:rPr>
          <w:color w:val="000000"/>
        </w:rPr>
      </w:pPr>
      <w:r w:rsidRPr="00993B55">
        <w:rPr>
          <w:color w:val="000000"/>
        </w:rPr>
        <w:t xml:space="preserve">Therefore, public noticing for </w:t>
      </w:r>
      <w:r w:rsidRPr="00993B55">
        <w:rPr>
          <w:rFonts w:cs="Arial"/>
        </w:rPr>
        <w:t xml:space="preserve">PE &gt; 100 lb/day </w:t>
      </w:r>
      <w:r w:rsidRPr="00993B55">
        <w:rPr>
          <w:color w:val="000000"/>
        </w:rPr>
        <w:t>purposes is required.</w:t>
      </w:r>
    </w:p>
    <w:p w14:paraId="52C0BC02" w14:textId="77777777" w:rsidR="000177D5" w:rsidRPr="00F33E30" w:rsidRDefault="000177D5" w:rsidP="008F20D3">
      <w:pPr>
        <w:pStyle w:val="Heading7"/>
      </w:pPr>
      <w:r w:rsidRPr="00F33E30">
        <w:t>c.</w:t>
      </w:r>
      <w:r w:rsidRPr="00F33E30">
        <w:tab/>
        <w:t>Offset Threshold</w:t>
      </w:r>
    </w:p>
    <w:p w14:paraId="6DB94F1D" w14:textId="77777777" w:rsidR="000177D5" w:rsidRPr="00993B55" w:rsidRDefault="000177D5" w:rsidP="007A60F3">
      <w:pPr>
        <w:widowControl w:val="0"/>
        <w:ind w:left="1080"/>
        <w:rPr>
          <w:color w:val="FF0000"/>
        </w:rPr>
      </w:pPr>
      <w:r w:rsidRPr="00993B55">
        <w:rPr>
          <w:color w:val="FF0000"/>
        </w:rPr>
        <w:t>Public notification is required if the SSPE1 is increased from a level below the offset threshold to a level exceeding the emissions offset threshold, for any pollutant.</w:t>
      </w:r>
    </w:p>
    <w:p w14:paraId="791D0DC2" w14:textId="77777777" w:rsidR="000177D5" w:rsidRPr="00993B55" w:rsidRDefault="000177D5" w:rsidP="007A60F3">
      <w:pPr>
        <w:widowControl w:val="0"/>
        <w:ind w:left="1080"/>
        <w:rPr>
          <w:color w:val="000000"/>
        </w:rPr>
      </w:pPr>
    </w:p>
    <w:p w14:paraId="6AA5BFFD" w14:textId="45F54DA1" w:rsidR="000177D5" w:rsidRDefault="000177D5" w:rsidP="007A60F3">
      <w:pPr>
        <w:widowControl w:val="0"/>
        <w:ind w:left="1080"/>
        <w:rPr>
          <w:color w:val="000000"/>
        </w:rPr>
      </w:pPr>
      <w:r w:rsidRPr="00993B55">
        <w:rPr>
          <w:color w:val="000000"/>
        </w:rPr>
        <w:t>Public notification is required if the pre-project Stationary Source Potential to Emit (SSPE1)</w:t>
      </w:r>
      <w:r w:rsidRPr="00993B55">
        <w:rPr>
          <w:color w:val="1F497D"/>
        </w:rPr>
        <w:t xml:space="preserve"> </w:t>
      </w:r>
      <w:r w:rsidRPr="00993B55">
        <w:t>is</w:t>
      </w:r>
      <w:r w:rsidRPr="00993B55">
        <w:rPr>
          <w:color w:val="000000"/>
        </w:rPr>
        <w:t xml:space="preserve"> increased to a level exceeding the offset threshold levels.  The following table compares the SSPE1 with the SSPE2 in order to determine if any offset thresholds have been surpassed with this project.</w:t>
      </w:r>
    </w:p>
    <w:p w14:paraId="3B391C14" w14:textId="77777777" w:rsidR="00A440A8" w:rsidRDefault="00A440A8" w:rsidP="007A60F3">
      <w:pPr>
        <w:widowControl w:val="0"/>
        <w:ind w:left="1080"/>
        <w:rPr>
          <w:color w:val="000000"/>
        </w:rPr>
      </w:pPr>
    </w:p>
    <w:tbl>
      <w:tblPr>
        <w:tblW w:w="8820"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080"/>
        <w:gridCol w:w="1170"/>
        <w:gridCol w:w="1170"/>
        <w:gridCol w:w="1080"/>
        <w:gridCol w:w="1080"/>
      </w:tblGrid>
      <w:tr w:rsidR="00102B4F" w:rsidRPr="00993B55" w14:paraId="0B257348" w14:textId="77777777" w:rsidTr="00505E9F">
        <w:trPr>
          <w:cantSplit/>
          <w:trHeight w:val="467"/>
        </w:trPr>
        <w:tc>
          <w:tcPr>
            <w:tcW w:w="8820" w:type="dxa"/>
            <w:gridSpan w:val="6"/>
            <w:shd w:val="clear" w:color="auto" w:fill="D9D9D9" w:themeFill="background1" w:themeFillShade="D9"/>
            <w:vAlign w:val="center"/>
          </w:tcPr>
          <w:p w14:paraId="2567689F" w14:textId="5C9D8F50" w:rsidR="00102B4F" w:rsidRPr="00993B55" w:rsidRDefault="00102B4F" w:rsidP="00461BE9">
            <w:pPr>
              <w:keepNext/>
              <w:widowControl w:val="0"/>
              <w:jc w:val="center"/>
              <w:rPr>
                <w:b/>
                <w:sz w:val="22"/>
                <w:szCs w:val="22"/>
              </w:rPr>
            </w:pPr>
            <w:r>
              <w:rPr>
                <w:b/>
                <w:sz w:val="22"/>
                <w:szCs w:val="22"/>
              </w:rPr>
              <w:lastRenderedPageBreak/>
              <w:t>Offset Thresholds</w:t>
            </w:r>
            <w:r w:rsidR="00505E9F">
              <w:rPr>
                <w:b/>
                <w:sz w:val="22"/>
                <w:szCs w:val="22"/>
              </w:rPr>
              <w:t xml:space="preserve"> </w:t>
            </w:r>
            <w:r w:rsidRPr="00993B55">
              <w:rPr>
                <w:b/>
                <w:sz w:val="22"/>
                <w:szCs w:val="22"/>
              </w:rPr>
              <w:t>(lb/year)</w:t>
            </w:r>
          </w:p>
        </w:tc>
      </w:tr>
      <w:tr w:rsidR="00102B4F" w:rsidRPr="00993B55" w14:paraId="0F67204F" w14:textId="77777777" w:rsidTr="00505E9F">
        <w:trPr>
          <w:trHeight w:val="438"/>
        </w:trPr>
        <w:tc>
          <w:tcPr>
            <w:tcW w:w="3240" w:type="dxa"/>
            <w:shd w:val="clear" w:color="auto" w:fill="D9D9D9" w:themeFill="background1" w:themeFillShade="D9"/>
            <w:vAlign w:val="center"/>
          </w:tcPr>
          <w:p w14:paraId="36C44AA1" w14:textId="77777777" w:rsidR="00102B4F" w:rsidRPr="00993B55" w:rsidRDefault="00102B4F" w:rsidP="00461BE9">
            <w:pPr>
              <w:keepNext/>
              <w:widowControl w:val="0"/>
              <w:jc w:val="center"/>
              <w:rPr>
                <w:sz w:val="22"/>
                <w:szCs w:val="22"/>
              </w:rPr>
            </w:pPr>
          </w:p>
        </w:tc>
        <w:tc>
          <w:tcPr>
            <w:tcW w:w="1080" w:type="dxa"/>
            <w:shd w:val="clear" w:color="auto" w:fill="D9D9D9" w:themeFill="background1" w:themeFillShade="D9"/>
            <w:vAlign w:val="center"/>
          </w:tcPr>
          <w:p w14:paraId="236FC22E" w14:textId="77777777" w:rsidR="00102B4F" w:rsidRPr="00993B55" w:rsidRDefault="00102B4F" w:rsidP="00461BE9">
            <w:pPr>
              <w:keepNext/>
              <w:widowControl w:val="0"/>
              <w:jc w:val="center"/>
              <w:rPr>
                <w:b/>
                <w:sz w:val="22"/>
                <w:szCs w:val="22"/>
              </w:rPr>
            </w:pPr>
            <w:r w:rsidRPr="00993B55">
              <w:rPr>
                <w:b/>
                <w:sz w:val="22"/>
                <w:szCs w:val="22"/>
              </w:rPr>
              <w:t>NO</w:t>
            </w:r>
            <w:r>
              <w:rPr>
                <w:b/>
                <w:sz w:val="22"/>
                <w:szCs w:val="22"/>
              </w:rPr>
              <w:t>x</w:t>
            </w:r>
          </w:p>
        </w:tc>
        <w:tc>
          <w:tcPr>
            <w:tcW w:w="1170" w:type="dxa"/>
            <w:shd w:val="clear" w:color="auto" w:fill="D9D9D9" w:themeFill="background1" w:themeFillShade="D9"/>
            <w:vAlign w:val="center"/>
          </w:tcPr>
          <w:p w14:paraId="11792153" w14:textId="77777777" w:rsidR="00102B4F" w:rsidRPr="00993B55" w:rsidRDefault="00102B4F" w:rsidP="00461BE9">
            <w:pPr>
              <w:keepNext/>
              <w:widowControl w:val="0"/>
              <w:jc w:val="center"/>
              <w:rPr>
                <w:b/>
                <w:sz w:val="22"/>
                <w:szCs w:val="22"/>
              </w:rPr>
            </w:pPr>
            <w:r w:rsidRPr="00993B55">
              <w:rPr>
                <w:b/>
                <w:sz w:val="22"/>
                <w:szCs w:val="22"/>
              </w:rPr>
              <w:t>SO</w:t>
            </w:r>
            <w:r>
              <w:rPr>
                <w:b/>
                <w:sz w:val="22"/>
                <w:szCs w:val="22"/>
              </w:rPr>
              <w:t>x</w:t>
            </w:r>
          </w:p>
        </w:tc>
        <w:tc>
          <w:tcPr>
            <w:tcW w:w="1170" w:type="dxa"/>
            <w:shd w:val="clear" w:color="auto" w:fill="D9D9D9" w:themeFill="background1" w:themeFillShade="D9"/>
            <w:vAlign w:val="center"/>
          </w:tcPr>
          <w:p w14:paraId="6F0032FC" w14:textId="77777777" w:rsidR="00102B4F" w:rsidRPr="00993B55" w:rsidRDefault="00102B4F" w:rsidP="00461BE9">
            <w:pPr>
              <w:keepNext/>
              <w:widowControl w:val="0"/>
              <w:jc w:val="center"/>
              <w:rPr>
                <w:b/>
                <w:sz w:val="22"/>
                <w:szCs w:val="22"/>
              </w:rPr>
            </w:pPr>
            <w:r w:rsidRPr="00993B55">
              <w:rPr>
                <w:b/>
                <w:sz w:val="22"/>
                <w:szCs w:val="22"/>
              </w:rPr>
              <w:t>PM</w:t>
            </w:r>
            <w:r>
              <w:rPr>
                <w:b/>
                <w:sz w:val="22"/>
                <w:szCs w:val="22"/>
              </w:rPr>
              <w:t>10</w:t>
            </w:r>
          </w:p>
        </w:tc>
        <w:tc>
          <w:tcPr>
            <w:tcW w:w="1080" w:type="dxa"/>
            <w:shd w:val="clear" w:color="auto" w:fill="D9D9D9" w:themeFill="background1" w:themeFillShade="D9"/>
            <w:vAlign w:val="center"/>
          </w:tcPr>
          <w:p w14:paraId="1B875F93" w14:textId="77777777" w:rsidR="00102B4F" w:rsidRPr="00993B55" w:rsidRDefault="00102B4F" w:rsidP="00461BE9">
            <w:pPr>
              <w:keepNext/>
              <w:widowControl w:val="0"/>
              <w:jc w:val="center"/>
              <w:rPr>
                <w:b/>
                <w:sz w:val="22"/>
                <w:szCs w:val="22"/>
              </w:rPr>
            </w:pPr>
            <w:r w:rsidRPr="00993B55">
              <w:rPr>
                <w:b/>
                <w:sz w:val="22"/>
                <w:szCs w:val="22"/>
              </w:rPr>
              <w:t>CO</w:t>
            </w:r>
          </w:p>
        </w:tc>
        <w:tc>
          <w:tcPr>
            <w:tcW w:w="1080" w:type="dxa"/>
            <w:shd w:val="clear" w:color="auto" w:fill="D9D9D9" w:themeFill="background1" w:themeFillShade="D9"/>
            <w:vAlign w:val="center"/>
          </w:tcPr>
          <w:p w14:paraId="336A485E" w14:textId="77777777" w:rsidR="00102B4F" w:rsidRPr="00993B55" w:rsidRDefault="00102B4F" w:rsidP="00461BE9">
            <w:pPr>
              <w:keepNext/>
              <w:widowControl w:val="0"/>
              <w:jc w:val="center"/>
              <w:rPr>
                <w:b/>
                <w:sz w:val="22"/>
                <w:szCs w:val="22"/>
              </w:rPr>
            </w:pPr>
            <w:r w:rsidRPr="00993B55">
              <w:rPr>
                <w:b/>
                <w:sz w:val="22"/>
                <w:szCs w:val="22"/>
              </w:rPr>
              <w:t>VOC</w:t>
            </w:r>
          </w:p>
        </w:tc>
      </w:tr>
      <w:tr w:rsidR="006D177B" w:rsidRPr="00993B55" w14:paraId="173D3C62" w14:textId="77777777" w:rsidTr="00505E9F">
        <w:trPr>
          <w:trHeight w:val="393"/>
        </w:trPr>
        <w:tc>
          <w:tcPr>
            <w:tcW w:w="3240" w:type="dxa"/>
            <w:shd w:val="clear" w:color="auto" w:fill="auto"/>
            <w:vAlign w:val="center"/>
          </w:tcPr>
          <w:p w14:paraId="024F283B" w14:textId="77777777" w:rsidR="006D177B" w:rsidRPr="00993B55" w:rsidRDefault="006D177B" w:rsidP="00461BE9">
            <w:pPr>
              <w:keepNext/>
              <w:widowControl w:val="0"/>
              <w:jc w:val="center"/>
              <w:rPr>
                <w:sz w:val="22"/>
                <w:szCs w:val="22"/>
              </w:rPr>
            </w:pPr>
            <w:r w:rsidRPr="00993B55">
              <w:rPr>
                <w:snapToGrid w:val="0"/>
                <w:color w:val="000000"/>
                <w:sz w:val="22"/>
                <w:szCs w:val="22"/>
              </w:rPr>
              <w:t>SSPE1</w:t>
            </w:r>
          </w:p>
        </w:tc>
        <w:tc>
          <w:tcPr>
            <w:tcW w:w="1080" w:type="dxa"/>
            <w:shd w:val="clear" w:color="auto" w:fill="auto"/>
            <w:vAlign w:val="center"/>
          </w:tcPr>
          <w:p w14:paraId="31C71562" w14:textId="15FDA696" w:rsidR="006D177B" w:rsidRPr="006D177B" w:rsidRDefault="006D177B" w:rsidP="00461BE9">
            <w:pPr>
              <w:keepNext/>
              <w:widowControl w:val="0"/>
              <w:jc w:val="center"/>
              <w:rPr>
                <w:color w:val="0000FF"/>
                <w:sz w:val="22"/>
                <w:szCs w:val="22"/>
              </w:rPr>
            </w:pPr>
            <w:r w:rsidRPr="006D177B">
              <w:rPr>
                <w:color w:val="0000FF"/>
                <w:sz w:val="22"/>
                <w:szCs w:val="22"/>
              </w:rPr>
              <w:t>X,XXX</w:t>
            </w:r>
          </w:p>
        </w:tc>
        <w:tc>
          <w:tcPr>
            <w:tcW w:w="1170" w:type="dxa"/>
            <w:shd w:val="clear" w:color="auto" w:fill="auto"/>
            <w:vAlign w:val="center"/>
          </w:tcPr>
          <w:p w14:paraId="3D8C220D" w14:textId="7F66858B" w:rsidR="006D177B" w:rsidRPr="006D177B" w:rsidRDefault="006D177B" w:rsidP="00461BE9">
            <w:pPr>
              <w:keepNext/>
              <w:widowControl w:val="0"/>
              <w:jc w:val="center"/>
              <w:rPr>
                <w:color w:val="0000FF"/>
                <w:sz w:val="22"/>
                <w:szCs w:val="22"/>
              </w:rPr>
            </w:pPr>
            <w:r w:rsidRPr="006D177B">
              <w:rPr>
                <w:color w:val="0000FF"/>
                <w:sz w:val="22"/>
                <w:szCs w:val="22"/>
              </w:rPr>
              <w:t>X,XXX</w:t>
            </w:r>
          </w:p>
        </w:tc>
        <w:tc>
          <w:tcPr>
            <w:tcW w:w="1170" w:type="dxa"/>
            <w:shd w:val="clear" w:color="auto" w:fill="auto"/>
            <w:vAlign w:val="center"/>
          </w:tcPr>
          <w:p w14:paraId="44032836" w14:textId="1B1E3284" w:rsidR="006D177B" w:rsidRPr="006D177B" w:rsidRDefault="006D177B" w:rsidP="00461BE9">
            <w:pPr>
              <w:keepNext/>
              <w:widowControl w:val="0"/>
              <w:jc w:val="center"/>
              <w:rPr>
                <w:color w:val="0000FF"/>
                <w:sz w:val="22"/>
                <w:szCs w:val="22"/>
              </w:rPr>
            </w:pPr>
            <w:r w:rsidRPr="006D177B">
              <w:rPr>
                <w:color w:val="0000FF"/>
                <w:sz w:val="22"/>
                <w:szCs w:val="22"/>
              </w:rPr>
              <w:t>X,XXX</w:t>
            </w:r>
          </w:p>
        </w:tc>
        <w:tc>
          <w:tcPr>
            <w:tcW w:w="1080" w:type="dxa"/>
            <w:shd w:val="clear" w:color="auto" w:fill="auto"/>
            <w:vAlign w:val="center"/>
          </w:tcPr>
          <w:p w14:paraId="1F433D89" w14:textId="7084B6A9" w:rsidR="006D177B" w:rsidRPr="006D177B" w:rsidRDefault="006D177B" w:rsidP="00461BE9">
            <w:pPr>
              <w:keepNext/>
              <w:widowControl w:val="0"/>
              <w:jc w:val="center"/>
              <w:rPr>
                <w:color w:val="0000FF"/>
                <w:sz w:val="22"/>
                <w:szCs w:val="22"/>
              </w:rPr>
            </w:pPr>
            <w:r w:rsidRPr="006D177B">
              <w:rPr>
                <w:color w:val="0000FF"/>
                <w:sz w:val="22"/>
                <w:szCs w:val="22"/>
              </w:rPr>
              <w:t>X,XXX</w:t>
            </w:r>
          </w:p>
        </w:tc>
        <w:tc>
          <w:tcPr>
            <w:tcW w:w="1080" w:type="dxa"/>
            <w:shd w:val="clear" w:color="auto" w:fill="auto"/>
            <w:vAlign w:val="center"/>
          </w:tcPr>
          <w:p w14:paraId="719C60DF" w14:textId="2E6060E4" w:rsidR="006D177B" w:rsidRPr="006D177B" w:rsidRDefault="006D177B" w:rsidP="00461BE9">
            <w:pPr>
              <w:keepNext/>
              <w:widowControl w:val="0"/>
              <w:jc w:val="center"/>
              <w:rPr>
                <w:color w:val="0000FF"/>
                <w:sz w:val="22"/>
                <w:szCs w:val="22"/>
              </w:rPr>
            </w:pPr>
            <w:r w:rsidRPr="006D177B">
              <w:rPr>
                <w:color w:val="0000FF"/>
                <w:sz w:val="22"/>
                <w:szCs w:val="22"/>
              </w:rPr>
              <w:t>X,XXX</w:t>
            </w:r>
          </w:p>
        </w:tc>
      </w:tr>
      <w:tr w:rsidR="006D177B" w:rsidRPr="00993B55" w14:paraId="056281F9" w14:textId="77777777" w:rsidTr="00505E9F">
        <w:trPr>
          <w:trHeight w:val="359"/>
        </w:trPr>
        <w:tc>
          <w:tcPr>
            <w:tcW w:w="3240" w:type="dxa"/>
            <w:shd w:val="clear" w:color="auto" w:fill="auto"/>
            <w:vAlign w:val="center"/>
          </w:tcPr>
          <w:p w14:paraId="23422856" w14:textId="77777777" w:rsidR="006D177B" w:rsidRPr="00993B55" w:rsidRDefault="006D177B" w:rsidP="00461BE9">
            <w:pPr>
              <w:keepNext/>
              <w:widowControl w:val="0"/>
              <w:jc w:val="center"/>
              <w:rPr>
                <w:snapToGrid w:val="0"/>
                <w:color w:val="000000"/>
                <w:sz w:val="22"/>
                <w:szCs w:val="22"/>
              </w:rPr>
            </w:pPr>
            <w:r w:rsidRPr="00993B55">
              <w:rPr>
                <w:snapToGrid w:val="0"/>
                <w:color w:val="000000"/>
                <w:sz w:val="22"/>
                <w:szCs w:val="22"/>
              </w:rPr>
              <w:t>SSPE2</w:t>
            </w:r>
          </w:p>
        </w:tc>
        <w:tc>
          <w:tcPr>
            <w:tcW w:w="1080" w:type="dxa"/>
            <w:shd w:val="clear" w:color="auto" w:fill="auto"/>
            <w:vAlign w:val="center"/>
          </w:tcPr>
          <w:p w14:paraId="3C122F94" w14:textId="1DFB3384" w:rsidR="006D177B" w:rsidRPr="006D177B" w:rsidRDefault="006D177B" w:rsidP="00461BE9">
            <w:pPr>
              <w:keepNext/>
              <w:widowControl w:val="0"/>
              <w:jc w:val="center"/>
              <w:rPr>
                <w:color w:val="0000FF"/>
                <w:sz w:val="22"/>
                <w:szCs w:val="22"/>
              </w:rPr>
            </w:pPr>
            <w:r w:rsidRPr="006D177B">
              <w:rPr>
                <w:color w:val="0000FF"/>
                <w:sz w:val="22"/>
                <w:szCs w:val="22"/>
              </w:rPr>
              <w:t>X,XXX</w:t>
            </w:r>
          </w:p>
        </w:tc>
        <w:tc>
          <w:tcPr>
            <w:tcW w:w="1170" w:type="dxa"/>
            <w:shd w:val="clear" w:color="auto" w:fill="auto"/>
            <w:vAlign w:val="center"/>
          </w:tcPr>
          <w:p w14:paraId="20B80D6B" w14:textId="48F40DBE" w:rsidR="006D177B" w:rsidRPr="006D177B" w:rsidRDefault="006D177B" w:rsidP="00461BE9">
            <w:pPr>
              <w:keepNext/>
              <w:widowControl w:val="0"/>
              <w:jc w:val="center"/>
              <w:rPr>
                <w:color w:val="0000FF"/>
                <w:sz w:val="22"/>
                <w:szCs w:val="22"/>
              </w:rPr>
            </w:pPr>
            <w:r w:rsidRPr="006D177B">
              <w:rPr>
                <w:color w:val="0000FF"/>
                <w:sz w:val="22"/>
                <w:szCs w:val="22"/>
              </w:rPr>
              <w:t>X,XXX</w:t>
            </w:r>
          </w:p>
        </w:tc>
        <w:tc>
          <w:tcPr>
            <w:tcW w:w="1170" w:type="dxa"/>
            <w:shd w:val="clear" w:color="auto" w:fill="auto"/>
            <w:vAlign w:val="center"/>
          </w:tcPr>
          <w:p w14:paraId="4FE794BE" w14:textId="55C0141B" w:rsidR="006D177B" w:rsidRPr="006D177B" w:rsidRDefault="006D177B" w:rsidP="00461BE9">
            <w:pPr>
              <w:keepNext/>
              <w:widowControl w:val="0"/>
              <w:jc w:val="center"/>
              <w:rPr>
                <w:color w:val="0000FF"/>
                <w:sz w:val="22"/>
                <w:szCs w:val="22"/>
              </w:rPr>
            </w:pPr>
            <w:r w:rsidRPr="006D177B">
              <w:rPr>
                <w:color w:val="0000FF"/>
                <w:sz w:val="22"/>
                <w:szCs w:val="22"/>
              </w:rPr>
              <w:t>X,XXX</w:t>
            </w:r>
          </w:p>
        </w:tc>
        <w:tc>
          <w:tcPr>
            <w:tcW w:w="1080" w:type="dxa"/>
            <w:shd w:val="clear" w:color="auto" w:fill="auto"/>
            <w:vAlign w:val="center"/>
          </w:tcPr>
          <w:p w14:paraId="3BD8B4F1" w14:textId="44D020BB" w:rsidR="006D177B" w:rsidRPr="006D177B" w:rsidRDefault="006D177B" w:rsidP="00461BE9">
            <w:pPr>
              <w:keepNext/>
              <w:widowControl w:val="0"/>
              <w:jc w:val="center"/>
              <w:rPr>
                <w:color w:val="0000FF"/>
                <w:sz w:val="22"/>
                <w:szCs w:val="22"/>
              </w:rPr>
            </w:pPr>
            <w:r w:rsidRPr="006D177B">
              <w:rPr>
                <w:color w:val="0000FF"/>
                <w:sz w:val="22"/>
                <w:szCs w:val="22"/>
              </w:rPr>
              <w:t>X,XXX</w:t>
            </w:r>
          </w:p>
        </w:tc>
        <w:tc>
          <w:tcPr>
            <w:tcW w:w="1080" w:type="dxa"/>
            <w:shd w:val="clear" w:color="auto" w:fill="auto"/>
            <w:vAlign w:val="center"/>
          </w:tcPr>
          <w:p w14:paraId="03A2534E" w14:textId="7F84865D" w:rsidR="006D177B" w:rsidRPr="006D177B" w:rsidRDefault="006D177B" w:rsidP="00461BE9">
            <w:pPr>
              <w:keepNext/>
              <w:widowControl w:val="0"/>
              <w:jc w:val="center"/>
              <w:rPr>
                <w:color w:val="0000FF"/>
                <w:sz w:val="22"/>
                <w:szCs w:val="22"/>
              </w:rPr>
            </w:pPr>
            <w:r w:rsidRPr="006D177B">
              <w:rPr>
                <w:color w:val="0000FF"/>
                <w:sz w:val="22"/>
                <w:szCs w:val="22"/>
              </w:rPr>
              <w:t>X,XXX</w:t>
            </w:r>
          </w:p>
        </w:tc>
      </w:tr>
      <w:tr w:rsidR="00102B4F" w:rsidRPr="00993B55" w14:paraId="2DA1BC19" w14:textId="77777777" w:rsidTr="00505E9F">
        <w:trPr>
          <w:trHeight w:val="449"/>
        </w:trPr>
        <w:tc>
          <w:tcPr>
            <w:tcW w:w="3240" w:type="dxa"/>
            <w:shd w:val="clear" w:color="auto" w:fill="auto"/>
            <w:vAlign w:val="center"/>
          </w:tcPr>
          <w:p w14:paraId="2F20EE7F" w14:textId="427507DA" w:rsidR="00102B4F" w:rsidRPr="00993B55" w:rsidRDefault="002760AA" w:rsidP="00461BE9">
            <w:pPr>
              <w:keepNext/>
              <w:widowControl w:val="0"/>
              <w:jc w:val="center"/>
              <w:rPr>
                <w:sz w:val="22"/>
                <w:szCs w:val="22"/>
              </w:rPr>
            </w:pPr>
            <w:r>
              <w:rPr>
                <w:sz w:val="22"/>
                <w:szCs w:val="22"/>
              </w:rPr>
              <w:t>Offset</w:t>
            </w:r>
            <w:r w:rsidR="00102B4F" w:rsidRPr="00993B55">
              <w:rPr>
                <w:sz w:val="22"/>
                <w:szCs w:val="22"/>
              </w:rPr>
              <w:t xml:space="preserve"> Threshold</w:t>
            </w:r>
          </w:p>
        </w:tc>
        <w:tc>
          <w:tcPr>
            <w:tcW w:w="1080" w:type="dxa"/>
            <w:shd w:val="clear" w:color="auto" w:fill="auto"/>
            <w:vAlign w:val="center"/>
          </w:tcPr>
          <w:p w14:paraId="1D6A4B17" w14:textId="77777777" w:rsidR="00102B4F" w:rsidRPr="00993B55" w:rsidRDefault="00102B4F" w:rsidP="00461BE9">
            <w:pPr>
              <w:keepNext/>
              <w:widowControl w:val="0"/>
              <w:jc w:val="center"/>
              <w:rPr>
                <w:sz w:val="22"/>
                <w:szCs w:val="22"/>
              </w:rPr>
            </w:pPr>
            <w:r w:rsidRPr="00993B55">
              <w:rPr>
                <w:sz w:val="22"/>
                <w:szCs w:val="22"/>
              </w:rPr>
              <w:t>20,000</w:t>
            </w:r>
          </w:p>
        </w:tc>
        <w:tc>
          <w:tcPr>
            <w:tcW w:w="1170" w:type="dxa"/>
            <w:shd w:val="clear" w:color="auto" w:fill="auto"/>
            <w:vAlign w:val="center"/>
          </w:tcPr>
          <w:p w14:paraId="11CF79BD" w14:textId="7EA6EBA8" w:rsidR="00102B4F" w:rsidRPr="00993B55" w:rsidRDefault="002760AA" w:rsidP="00461BE9">
            <w:pPr>
              <w:keepNext/>
              <w:widowControl w:val="0"/>
              <w:jc w:val="center"/>
              <w:rPr>
                <w:sz w:val="22"/>
                <w:szCs w:val="22"/>
              </w:rPr>
            </w:pPr>
            <w:r>
              <w:rPr>
                <w:sz w:val="22"/>
                <w:szCs w:val="22"/>
              </w:rPr>
              <w:t>54,750</w:t>
            </w:r>
          </w:p>
        </w:tc>
        <w:tc>
          <w:tcPr>
            <w:tcW w:w="1170" w:type="dxa"/>
            <w:shd w:val="clear" w:color="auto" w:fill="auto"/>
            <w:vAlign w:val="center"/>
          </w:tcPr>
          <w:p w14:paraId="5F7E0CF8" w14:textId="0B1D04B2" w:rsidR="00102B4F" w:rsidRPr="00993B55" w:rsidRDefault="002760AA" w:rsidP="00461BE9">
            <w:pPr>
              <w:keepNext/>
              <w:widowControl w:val="0"/>
              <w:jc w:val="center"/>
              <w:rPr>
                <w:sz w:val="22"/>
                <w:szCs w:val="22"/>
              </w:rPr>
            </w:pPr>
            <w:r>
              <w:rPr>
                <w:sz w:val="22"/>
                <w:szCs w:val="22"/>
              </w:rPr>
              <w:t>29,200</w:t>
            </w:r>
          </w:p>
        </w:tc>
        <w:tc>
          <w:tcPr>
            <w:tcW w:w="1080" w:type="dxa"/>
            <w:shd w:val="clear" w:color="auto" w:fill="auto"/>
            <w:vAlign w:val="center"/>
          </w:tcPr>
          <w:p w14:paraId="65BB0455" w14:textId="77777777" w:rsidR="00102B4F" w:rsidRPr="00993B55" w:rsidRDefault="00102B4F" w:rsidP="00461BE9">
            <w:pPr>
              <w:keepNext/>
              <w:widowControl w:val="0"/>
              <w:jc w:val="center"/>
              <w:rPr>
                <w:sz w:val="22"/>
                <w:szCs w:val="22"/>
              </w:rPr>
            </w:pPr>
            <w:r w:rsidRPr="00993B55">
              <w:rPr>
                <w:sz w:val="22"/>
                <w:szCs w:val="22"/>
              </w:rPr>
              <w:t>200,000</w:t>
            </w:r>
          </w:p>
        </w:tc>
        <w:tc>
          <w:tcPr>
            <w:tcW w:w="1080" w:type="dxa"/>
            <w:shd w:val="clear" w:color="auto" w:fill="auto"/>
            <w:vAlign w:val="center"/>
          </w:tcPr>
          <w:p w14:paraId="52A20B8B" w14:textId="77777777" w:rsidR="00102B4F" w:rsidRPr="00993B55" w:rsidRDefault="00102B4F" w:rsidP="00461BE9">
            <w:pPr>
              <w:keepNext/>
              <w:widowControl w:val="0"/>
              <w:jc w:val="center"/>
              <w:rPr>
                <w:sz w:val="22"/>
                <w:szCs w:val="22"/>
              </w:rPr>
            </w:pPr>
            <w:r w:rsidRPr="00993B55">
              <w:rPr>
                <w:sz w:val="22"/>
                <w:szCs w:val="22"/>
              </w:rPr>
              <w:t>20,000</w:t>
            </w:r>
          </w:p>
        </w:tc>
      </w:tr>
      <w:tr w:rsidR="002760AA" w:rsidRPr="00993B55" w14:paraId="65A29792" w14:textId="77777777" w:rsidTr="006616E4">
        <w:trPr>
          <w:trHeight w:val="504"/>
        </w:trPr>
        <w:tc>
          <w:tcPr>
            <w:tcW w:w="3240" w:type="dxa"/>
            <w:shd w:val="clear" w:color="auto" w:fill="D9D9D9" w:themeFill="background1" w:themeFillShade="D9"/>
            <w:vAlign w:val="center"/>
          </w:tcPr>
          <w:p w14:paraId="30B9D470" w14:textId="1124E29B" w:rsidR="002760AA" w:rsidRPr="00505E9F" w:rsidRDefault="002760AA" w:rsidP="00461BE9">
            <w:pPr>
              <w:keepNext/>
              <w:widowControl w:val="0"/>
              <w:jc w:val="center"/>
              <w:rPr>
                <w:b/>
                <w:bCs/>
                <w:sz w:val="22"/>
                <w:szCs w:val="22"/>
              </w:rPr>
            </w:pPr>
            <w:r w:rsidRPr="00505E9F">
              <w:rPr>
                <w:b/>
                <w:bCs/>
                <w:sz w:val="22"/>
                <w:szCs w:val="22"/>
              </w:rPr>
              <w:t>Public Notice Required?</w:t>
            </w:r>
          </w:p>
        </w:tc>
        <w:tc>
          <w:tcPr>
            <w:tcW w:w="1080" w:type="dxa"/>
            <w:shd w:val="clear" w:color="auto" w:fill="D9D9D9" w:themeFill="background1" w:themeFillShade="D9"/>
            <w:vAlign w:val="center"/>
          </w:tcPr>
          <w:p w14:paraId="64179FDB" w14:textId="6D538A5F" w:rsidR="002760AA" w:rsidRPr="00505E9F" w:rsidRDefault="002760AA" w:rsidP="00461BE9">
            <w:pPr>
              <w:keepNext/>
              <w:widowControl w:val="0"/>
              <w:jc w:val="center"/>
              <w:rPr>
                <w:b/>
                <w:bCs/>
                <w:color w:val="0000FF"/>
                <w:sz w:val="22"/>
                <w:szCs w:val="22"/>
              </w:rPr>
            </w:pPr>
            <w:r w:rsidRPr="00505E9F">
              <w:rPr>
                <w:rFonts w:cs="Arial"/>
                <w:b/>
                <w:bCs/>
                <w:color w:val="0000FF"/>
                <w:sz w:val="22"/>
                <w:szCs w:val="22"/>
              </w:rPr>
              <w:t>Yes/No</w:t>
            </w:r>
          </w:p>
        </w:tc>
        <w:tc>
          <w:tcPr>
            <w:tcW w:w="1170" w:type="dxa"/>
            <w:shd w:val="clear" w:color="auto" w:fill="D9D9D9" w:themeFill="background1" w:themeFillShade="D9"/>
            <w:vAlign w:val="center"/>
          </w:tcPr>
          <w:p w14:paraId="795C8639" w14:textId="746392C8" w:rsidR="002760AA" w:rsidRPr="00505E9F" w:rsidRDefault="002760AA" w:rsidP="00461BE9">
            <w:pPr>
              <w:keepNext/>
              <w:widowControl w:val="0"/>
              <w:jc w:val="center"/>
              <w:rPr>
                <w:b/>
                <w:bCs/>
                <w:color w:val="0000FF"/>
                <w:sz w:val="22"/>
                <w:szCs w:val="22"/>
              </w:rPr>
            </w:pPr>
            <w:r w:rsidRPr="00505E9F">
              <w:rPr>
                <w:rFonts w:cs="Arial"/>
                <w:b/>
                <w:bCs/>
                <w:color w:val="0000FF"/>
                <w:sz w:val="22"/>
                <w:szCs w:val="22"/>
              </w:rPr>
              <w:t>Yes/No</w:t>
            </w:r>
          </w:p>
        </w:tc>
        <w:tc>
          <w:tcPr>
            <w:tcW w:w="1170" w:type="dxa"/>
            <w:shd w:val="clear" w:color="auto" w:fill="D9D9D9" w:themeFill="background1" w:themeFillShade="D9"/>
            <w:vAlign w:val="center"/>
          </w:tcPr>
          <w:p w14:paraId="6D962799" w14:textId="2CA8AE38" w:rsidR="002760AA" w:rsidRPr="00505E9F" w:rsidRDefault="002760AA" w:rsidP="00461BE9">
            <w:pPr>
              <w:keepNext/>
              <w:widowControl w:val="0"/>
              <w:jc w:val="center"/>
              <w:rPr>
                <w:b/>
                <w:bCs/>
                <w:color w:val="0000FF"/>
                <w:sz w:val="22"/>
                <w:szCs w:val="22"/>
              </w:rPr>
            </w:pPr>
            <w:r w:rsidRPr="00505E9F">
              <w:rPr>
                <w:rFonts w:cs="Arial"/>
                <w:b/>
                <w:bCs/>
                <w:color w:val="0000FF"/>
                <w:sz w:val="22"/>
                <w:szCs w:val="22"/>
              </w:rPr>
              <w:t>Yes/No</w:t>
            </w:r>
          </w:p>
        </w:tc>
        <w:tc>
          <w:tcPr>
            <w:tcW w:w="1080" w:type="dxa"/>
            <w:shd w:val="clear" w:color="auto" w:fill="D9D9D9" w:themeFill="background1" w:themeFillShade="D9"/>
            <w:vAlign w:val="center"/>
          </w:tcPr>
          <w:p w14:paraId="4A18B426" w14:textId="04339D42" w:rsidR="002760AA" w:rsidRPr="00505E9F" w:rsidRDefault="002760AA" w:rsidP="00461BE9">
            <w:pPr>
              <w:keepNext/>
              <w:widowControl w:val="0"/>
              <w:jc w:val="center"/>
              <w:rPr>
                <w:b/>
                <w:bCs/>
                <w:color w:val="0000FF"/>
                <w:sz w:val="22"/>
                <w:szCs w:val="22"/>
              </w:rPr>
            </w:pPr>
            <w:r w:rsidRPr="00505E9F">
              <w:rPr>
                <w:rFonts w:cs="Arial"/>
                <w:b/>
                <w:bCs/>
                <w:color w:val="0000FF"/>
                <w:sz w:val="22"/>
                <w:szCs w:val="22"/>
              </w:rPr>
              <w:t>Yes/No</w:t>
            </w:r>
          </w:p>
        </w:tc>
        <w:tc>
          <w:tcPr>
            <w:tcW w:w="1080" w:type="dxa"/>
            <w:shd w:val="clear" w:color="auto" w:fill="D9D9D9" w:themeFill="background1" w:themeFillShade="D9"/>
            <w:vAlign w:val="center"/>
          </w:tcPr>
          <w:p w14:paraId="30C3E12F" w14:textId="57ADADFE" w:rsidR="002760AA" w:rsidRPr="00505E9F" w:rsidRDefault="002760AA" w:rsidP="00461BE9">
            <w:pPr>
              <w:keepNext/>
              <w:widowControl w:val="0"/>
              <w:jc w:val="center"/>
              <w:rPr>
                <w:b/>
                <w:bCs/>
                <w:color w:val="0000FF"/>
                <w:sz w:val="22"/>
                <w:szCs w:val="22"/>
              </w:rPr>
            </w:pPr>
            <w:r w:rsidRPr="00505E9F">
              <w:rPr>
                <w:rFonts w:cs="Arial"/>
                <w:b/>
                <w:bCs/>
                <w:color w:val="0000FF"/>
                <w:sz w:val="22"/>
                <w:szCs w:val="22"/>
              </w:rPr>
              <w:t>Yes/No</w:t>
            </w:r>
          </w:p>
        </w:tc>
      </w:tr>
    </w:tbl>
    <w:p w14:paraId="65971CB2" w14:textId="77777777" w:rsidR="000177D5" w:rsidRPr="00993B55" w:rsidRDefault="000177D5" w:rsidP="007A60F3">
      <w:pPr>
        <w:widowControl w:val="0"/>
        <w:ind w:left="1080"/>
        <w:rPr>
          <w:rFonts w:cs="Arial"/>
        </w:rPr>
      </w:pPr>
    </w:p>
    <w:p w14:paraId="7134D68B" w14:textId="77777777" w:rsidR="000177D5" w:rsidRPr="00993B55" w:rsidRDefault="000177D5" w:rsidP="007A60F3">
      <w:pPr>
        <w:widowControl w:val="0"/>
        <w:tabs>
          <w:tab w:val="left" w:pos="2610"/>
        </w:tabs>
        <w:autoSpaceDE w:val="0"/>
        <w:autoSpaceDN w:val="0"/>
        <w:adjustRightInd w:val="0"/>
        <w:ind w:left="1080"/>
        <w:rPr>
          <w:i/>
          <w:iCs/>
          <w:color w:val="0000FF"/>
        </w:rPr>
      </w:pPr>
      <w:r w:rsidRPr="00993B55">
        <w:rPr>
          <w:i/>
          <w:iCs/>
          <w:color w:val="0000FF"/>
          <w:u w:val="single"/>
        </w:rPr>
        <w:t>Example (a)</w:t>
      </w:r>
      <w:r w:rsidRPr="00993B55">
        <w:rPr>
          <w:i/>
          <w:iCs/>
          <w:color w:val="0000FF"/>
        </w:rPr>
        <w:t>:</w:t>
      </w:r>
      <w:r w:rsidRPr="00993B55">
        <w:rPr>
          <w:i/>
          <w:iCs/>
          <w:color w:val="0000FF"/>
        </w:rPr>
        <w:tab/>
        <w:t>(For a project not surpassing the offset threshold.)</w:t>
      </w:r>
    </w:p>
    <w:p w14:paraId="131780B8" w14:textId="082719B9" w:rsidR="000177D5" w:rsidRPr="00993B55" w:rsidRDefault="000177D5" w:rsidP="007A60F3">
      <w:pPr>
        <w:widowControl w:val="0"/>
        <w:ind w:left="1080"/>
        <w:rPr>
          <w:rFonts w:cs="Arial"/>
        </w:rPr>
      </w:pPr>
      <w:r w:rsidRPr="00993B55">
        <w:t>As demonstrated above, there were no thresholds surpassed with this project; therefore</w:t>
      </w:r>
      <w:r w:rsidR="000253A4">
        <w:t>,</w:t>
      </w:r>
      <w:r w:rsidRPr="00993B55">
        <w:t xml:space="preserve"> public noticing is not required for offset purposes.</w:t>
      </w:r>
    </w:p>
    <w:p w14:paraId="07B1CDD1" w14:textId="77777777" w:rsidR="000177D5" w:rsidRPr="00993B55" w:rsidRDefault="000177D5" w:rsidP="007A60F3">
      <w:pPr>
        <w:widowControl w:val="0"/>
        <w:ind w:left="1080"/>
        <w:rPr>
          <w:rFonts w:cs="Arial"/>
        </w:rPr>
      </w:pPr>
    </w:p>
    <w:p w14:paraId="4B317C87" w14:textId="77777777" w:rsidR="000177D5" w:rsidRPr="00993B55" w:rsidRDefault="000177D5" w:rsidP="007A60F3">
      <w:pPr>
        <w:widowControl w:val="0"/>
        <w:tabs>
          <w:tab w:val="left" w:pos="2610"/>
        </w:tabs>
        <w:autoSpaceDE w:val="0"/>
        <w:autoSpaceDN w:val="0"/>
        <w:adjustRightInd w:val="0"/>
        <w:ind w:left="1080"/>
        <w:rPr>
          <w:i/>
          <w:iCs/>
          <w:color w:val="0000FF"/>
        </w:rPr>
      </w:pPr>
      <w:r w:rsidRPr="00993B55">
        <w:rPr>
          <w:i/>
          <w:iCs/>
          <w:color w:val="0000FF"/>
          <w:u w:val="single"/>
        </w:rPr>
        <w:t>Example (b)</w:t>
      </w:r>
      <w:r w:rsidRPr="00993B55">
        <w:rPr>
          <w:i/>
          <w:iCs/>
          <w:color w:val="0000FF"/>
        </w:rPr>
        <w:t>:</w:t>
      </w:r>
      <w:r w:rsidRPr="00993B55">
        <w:rPr>
          <w:i/>
          <w:iCs/>
          <w:color w:val="0000FF"/>
        </w:rPr>
        <w:tab/>
        <w:t>(For a project surpassing the offset threshold.)</w:t>
      </w:r>
    </w:p>
    <w:p w14:paraId="44832A53" w14:textId="5F128C19" w:rsidR="000177D5" w:rsidRPr="00993B55" w:rsidRDefault="000177D5" w:rsidP="007A60F3">
      <w:pPr>
        <w:widowControl w:val="0"/>
        <w:ind w:left="1080"/>
      </w:pPr>
      <w:r w:rsidRPr="00993B55">
        <w:t xml:space="preserve">As demonstrated above, offset thresholds were surpassed for </w:t>
      </w:r>
      <w:r w:rsidRPr="00993B55">
        <w:rPr>
          <w:color w:val="0000FF"/>
        </w:rPr>
        <w:t>NO</w:t>
      </w:r>
      <w:r w:rsidR="002540F1">
        <w:rPr>
          <w:color w:val="0000FF"/>
        </w:rPr>
        <w:t>x</w:t>
      </w:r>
      <w:r w:rsidRPr="00993B55">
        <w:t xml:space="preserve"> with this project; therefore</w:t>
      </w:r>
      <w:r w:rsidR="000253A4">
        <w:t>,</w:t>
      </w:r>
      <w:r w:rsidRPr="00993B55">
        <w:t xml:space="preserve"> public noticing is required for offset purposes.</w:t>
      </w:r>
    </w:p>
    <w:p w14:paraId="76FB7F7A" w14:textId="77777777" w:rsidR="000177D5" w:rsidRPr="00993B55" w:rsidRDefault="000177D5" w:rsidP="007A60F3">
      <w:pPr>
        <w:widowControl w:val="0"/>
        <w:ind w:left="1080"/>
        <w:rPr>
          <w:color w:val="000000"/>
        </w:rPr>
      </w:pPr>
    </w:p>
    <w:p w14:paraId="2956568B" w14:textId="77777777" w:rsidR="000177D5" w:rsidRPr="00993B55" w:rsidRDefault="000177D5" w:rsidP="007A60F3">
      <w:pPr>
        <w:widowControl w:val="0"/>
        <w:ind w:left="1080"/>
        <w:rPr>
          <w:i/>
          <w:iCs/>
          <w:color w:val="FF0000"/>
        </w:rPr>
      </w:pPr>
      <w:r w:rsidRPr="00993B55">
        <w:rPr>
          <w:i/>
          <w:iCs/>
          <w:color w:val="FF0000"/>
        </w:rPr>
        <w:t>(</w:t>
      </w:r>
      <w:r w:rsidRPr="00993B55">
        <w:rPr>
          <w:i/>
          <w:iCs/>
          <w:color w:val="FF0000"/>
          <w:u w:val="single"/>
        </w:rPr>
        <w:t>Note</w:t>
      </w:r>
      <w:r w:rsidRPr="00993B55">
        <w:rPr>
          <w:i/>
          <w:iCs/>
          <w:color w:val="FF0000"/>
        </w:rPr>
        <w:t>: Public notification is independent of whether or not Offsets are required.  For example, if this project involves the installation of emergency (offset-exempt) equipment and the offset threshold is surpassed, then public notification would still be triggered.  And conversely, if this project involves the installation of new equipment which required offsets; however, the SSPE1 was already greater than the offset threshold, public notification would not be triggered.)</w:t>
      </w:r>
    </w:p>
    <w:p w14:paraId="5209F592" w14:textId="77777777" w:rsidR="000177D5" w:rsidRPr="00F33E30" w:rsidRDefault="000177D5" w:rsidP="008F20D3">
      <w:pPr>
        <w:pStyle w:val="Heading7"/>
      </w:pPr>
      <w:r w:rsidRPr="00F33E30">
        <w:t>d.</w:t>
      </w:r>
      <w:r w:rsidRPr="00F33E30">
        <w:tab/>
        <w:t>SSIPE &gt; 20,000 lb/year</w:t>
      </w:r>
    </w:p>
    <w:p w14:paraId="2C4B81B9" w14:textId="4DD61EE9" w:rsidR="000177D5" w:rsidRPr="00993B55" w:rsidRDefault="000177D5" w:rsidP="007A60F3">
      <w:pPr>
        <w:widowControl w:val="0"/>
        <w:ind w:left="1080"/>
        <w:rPr>
          <w:rFonts w:cs="Arial"/>
          <w:color w:val="FF0000"/>
          <w:spacing w:val="-3"/>
        </w:rPr>
      </w:pPr>
      <w:r w:rsidRPr="00993B55">
        <w:rPr>
          <w:rFonts w:cs="Arial"/>
          <w:color w:val="FF0000"/>
          <w:spacing w:val="-3"/>
        </w:rPr>
        <w:t>An SSIPE exceeding 20,000 pounds per year for any one pollutant triggers public notice.</w:t>
      </w:r>
      <w:r w:rsidR="00DC704B">
        <w:rPr>
          <w:rFonts w:cs="Arial"/>
          <w:color w:val="FF0000"/>
          <w:spacing w:val="-3"/>
        </w:rPr>
        <w:t xml:space="preserve"> Include </w:t>
      </w:r>
      <w:r w:rsidR="00DC704B" w:rsidRPr="00AC5150">
        <w:rPr>
          <w:rFonts w:cs="Arial"/>
          <w:b/>
          <w:bCs/>
          <w:color w:val="FF0000"/>
          <w:spacing w:val="-3"/>
        </w:rPr>
        <w:t>all affected pollutants</w:t>
      </w:r>
      <w:r w:rsidR="00B26CB4">
        <w:rPr>
          <w:rFonts w:cs="Arial"/>
          <w:b/>
          <w:bCs/>
          <w:color w:val="FF0000"/>
          <w:spacing w:val="-3"/>
        </w:rPr>
        <w:t xml:space="preserve"> under Rule 2201</w:t>
      </w:r>
      <w:r w:rsidR="001B1E4A" w:rsidRPr="00AC5150">
        <w:rPr>
          <w:rFonts w:cs="Arial"/>
          <w:color w:val="FF0000"/>
          <w:spacing w:val="-3"/>
        </w:rPr>
        <w:t xml:space="preserve"> (e.g., NH</w:t>
      </w:r>
      <w:r w:rsidR="001B1E4A" w:rsidRPr="00AC5150">
        <w:rPr>
          <w:rFonts w:cs="Arial"/>
          <w:color w:val="FF0000"/>
          <w:spacing w:val="-3"/>
          <w:vertAlign w:val="subscript"/>
        </w:rPr>
        <w:t>3</w:t>
      </w:r>
      <w:r w:rsidR="001B1E4A" w:rsidRPr="00AC5150">
        <w:rPr>
          <w:rFonts w:cs="Arial"/>
          <w:color w:val="FF0000"/>
          <w:spacing w:val="-3"/>
        </w:rPr>
        <w:t>)</w:t>
      </w:r>
      <w:r w:rsidR="00DC704B">
        <w:rPr>
          <w:rFonts w:cs="Arial"/>
          <w:color w:val="FF0000"/>
          <w:spacing w:val="-3"/>
        </w:rPr>
        <w:t xml:space="preserve"> that </w:t>
      </w:r>
      <w:r w:rsidR="00CD34A5">
        <w:rPr>
          <w:rFonts w:cs="Arial"/>
          <w:color w:val="FF0000"/>
          <w:spacing w:val="-3"/>
        </w:rPr>
        <w:t xml:space="preserve">result in a </w:t>
      </w:r>
      <w:r w:rsidR="00945462">
        <w:rPr>
          <w:rFonts w:cs="Arial"/>
          <w:color w:val="FF0000"/>
          <w:spacing w:val="-3"/>
        </w:rPr>
        <w:t>change</w:t>
      </w:r>
      <w:r w:rsidR="00CD34A5">
        <w:rPr>
          <w:rFonts w:cs="Arial"/>
          <w:color w:val="FF0000"/>
          <w:spacing w:val="-3"/>
        </w:rPr>
        <w:t xml:space="preserve"> in emissions</w:t>
      </w:r>
      <w:r w:rsidR="00945462">
        <w:rPr>
          <w:rFonts w:cs="Arial"/>
          <w:color w:val="FF0000"/>
          <w:spacing w:val="-3"/>
        </w:rPr>
        <w:t xml:space="preserve"> </w:t>
      </w:r>
      <w:r w:rsidR="0066717D">
        <w:rPr>
          <w:rFonts w:cs="Arial"/>
          <w:color w:val="FF0000"/>
          <w:spacing w:val="-3"/>
        </w:rPr>
        <w:t>in the table below</w:t>
      </w:r>
      <w:r w:rsidR="00945462">
        <w:rPr>
          <w:rFonts w:cs="Arial"/>
          <w:color w:val="FF0000"/>
          <w:spacing w:val="-3"/>
        </w:rPr>
        <w:t>.</w:t>
      </w:r>
    </w:p>
    <w:p w14:paraId="67BC6567" w14:textId="77777777" w:rsidR="000177D5" w:rsidRPr="00993B55" w:rsidRDefault="000177D5" w:rsidP="007A60F3">
      <w:pPr>
        <w:widowControl w:val="0"/>
        <w:ind w:left="1080"/>
        <w:rPr>
          <w:rFonts w:cs="Arial"/>
          <w:color w:val="000000"/>
          <w:spacing w:val="-3"/>
        </w:rPr>
      </w:pPr>
    </w:p>
    <w:p w14:paraId="418B2065" w14:textId="58550440" w:rsidR="000177D5" w:rsidRDefault="000177D5" w:rsidP="007A60F3">
      <w:pPr>
        <w:widowControl w:val="0"/>
        <w:tabs>
          <w:tab w:val="left" w:pos="2250"/>
        </w:tabs>
        <w:autoSpaceDE w:val="0"/>
        <w:autoSpaceDN w:val="0"/>
        <w:adjustRightInd w:val="0"/>
        <w:ind w:left="1080"/>
        <w:rPr>
          <w:color w:val="000000" w:themeColor="text1"/>
        </w:rPr>
      </w:pPr>
      <w:r w:rsidRPr="00993B55">
        <w:t>Public notification is required for any permitting action that results in a SSIPE of more than 20,000 lb/year of any affected pollutant</w:t>
      </w:r>
      <w:r w:rsidR="00B26CB4">
        <w:t xml:space="preserve"> under Rule 2201</w:t>
      </w:r>
      <w:r w:rsidRPr="00993B55">
        <w:t xml:space="preserve">.  According to District </w:t>
      </w:r>
      <w:r w:rsidR="009D61C8">
        <w:t>Rule 2201</w:t>
      </w:r>
      <w:r w:rsidRPr="00993B55">
        <w:t>, the SSIPE = SSPE2 – SSPE1.</w:t>
      </w:r>
      <w:r w:rsidRPr="00993B55">
        <w:rPr>
          <w:color w:val="000000"/>
        </w:rPr>
        <w:t xml:space="preserve">  The SSIPE is compared to the SSIPE Public Notice thresholds in </w:t>
      </w:r>
      <w:r w:rsidRPr="00993B55">
        <w:rPr>
          <w:color w:val="000000" w:themeColor="text1"/>
        </w:rPr>
        <w:t>the following table.</w:t>
      </w:r>
    </w:p>
    <w:p w14:paraId="528B44D9" w14:textId="5EE9F568" w:rsidR="004E45B5" w:rsidRDefault="004E45B5" w:rsidP="007A60F3">
      <w:pPr>
        <w:widowControl w:val="0"/>
        <w:tabs>
          <w:tab w:val="left" w:pos="2250"/>
        </w:tabs>
        <w:autoSpaceDE w:val="0"/>
        <w:autoSpaceDN w:val="0"/>
        <w:adjustRightInd w:val="0"/>
        <w:ind w:left="1080"/>
        <w:rPr>
          <w:color w:val="000000" w:themeColor="text1"/>
        </w:rPr>
      </w:pPr>
    </w:p>
    <w:tbl>
      <w:tblPr>
        <w:tblW w:w="8820"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080"/>
        <w:gridCol w:w="1170"/>
        <w:gridCol w:w="1170"/>
        <w:gridCol w:w="1080"/>
        <w:gridCol w:w="1080"/>
      </w:tblGrid>
      <w:tr w:rsidR="004E45B5" w:rsidRPr="00993B55" w14:paraId="237DEE6A" w14:textId="77777777" w:rsidTr="00F709B9">
        <w:trPr>
          <w:cantSplit/>
          <w:trHeight w:val="458"/>
        </w:trPr>
        <w:tc>
          <w:tcPr>
            <w:tcW w:w="8820" w:type="dxa"/>
            <w:gridSpan w:val="6"/>
            <w:shd w:val="clear" w:color="auto" w:fill="D9D9D9" w:themeFill="background1" w:themeFillShade="D9"/>
            <w:vAlign w:val="center"/>
          </w:tcPr>
          <w:p w14:paraId="0C1F2FEA" w14:textId="1FD00758" w:rsidR="004E45B5" w:rsidRPr="00993B55" w:rsidRDefault="004E45B5" w:rsidP="00461BE9">
            <w:pPr>
              <w:keepNext/>
              <w:widowControl w:val="0"/>
              <w:jc w:val="center"/>
              <w:rPr>
                <w:b/>
                <w:sz w:val="22"/>
                <w:szCs w:val="22"/>
              </w:rPr>
            </w:pPr>
            <w:r w:rsidRPr="00993B55">
              <w:rPr>
                <w:b/>
                <w:bCs/>
                <w:sz w:val="22"/>
                <w:szCs w:val="22"/>
              </w:rPr>
              <w:lastRenderedPageBreak/>
              <w:t>SSIPE Public Notice Thresholds</w:t>
            </w:r>
            <w:r w:rsidR="00F709B9">
              <w:rPr>
                <w:b/>
                <w:bCs/>
                <w:sz w:val="22"/>
                <w:szCs w:val="22"/>
              </w:rPr>
              <w:t xml:space="preserve"> </w:t>
            </w:r>
            <w:r w:rsidRPr="00993B55">
              <w:rPr>
                <w:b/>
                <w:sz w:val="22"/>
                <w:szCs w:val="22"/>
              </w:rPr>
              <w:t>(lb/year)</w:t>
            </w:r>
          </w:p>
        </w:tc>
      </w:tr>
      <w:tr w:rsidR="004E45B5" w:rsidRPr="00993B55" w14:paraId="6B7ED10C" w14:textId="77777777" w:rsidTr="00F709B9">
        <w:trPr>
          <w:trHeight w:val="438"/>
        </w:trPr>
        <w:tc>
          <w:tcPr>
            <w:tcW w:w="3240" w:type="dxa"/>
            <w:shd w:val="clear" w:color="auto" w:fill="D9D9D9" w:themeFill="background1" w:themeFillShade="D9"/>
            <w:vAlign w:val="center"/>
          </w:tcPr>
          <w:p w14:paraId="31301A25" w14:textId="77777777" w:rsidR="004E45B5" w:rsidRPr="00993B55" w:rsidRDefault="004E45B5" w:rsidP="00461BE9">
            <w:pPr>
              <w:keepNext/>
              <w:widowControl w:val="0"/>
              <w:jc w:val="center"/>
              <w:rPr>
                <w:sz w:val="22"/>
                <w:szCs w:val="22"/>
              </w:rPr>
            </w:pPr>
          </w:p>
        </w:tc>
        <w:tc>
          <w:tcPr>
            <w:tcW w:w="1080" w:type="dxa"/>
            <w:shd w:val="clear" w:color="auto" w:fill="D9D9D9" w:themeFill="background1" w:themeFillShade="D9"/>
            <w:vAlign w:val="center"/>
          </w:tcPr>
          <w:p w14:paraId="1D67DBC7" w14:textId="77777777" w:rsidR="004E45B5" w:rsidRPr="00993B55" w:rsidRDefault="004E45B5" w:rsidP="00461BE9">
            <w:pPr>
              <w:keepNext/>
              <w:widowControl w:val="0"/>
              <w:jc w:val="center"/>
              <w:rPr>
                <w:b/>
                <w:sz w:val="22"/>
                <w:szCs w:val="22"/>
              </w:rPr>
            </w:pPr>
            <w:r w:rsidRPr="00993B55">
              <w:rPr>
                <w:b/>
                <w:sz w:val="22"/>
                <w:szCs w:val="22"/>
              </w:rPr>
              <w:t>NO</w:t>
            </w:r>
            <w:r>
              <w:rPr>
                <w:b/>
                <w:sz w:val="22"/>
                <w:szCs w:val="22"/>
              </w:rPr>
              <w:t>x</w:t>
            </w:r>
          </w:p>
        </w:tc>
        <w:tc>
          <w:tcPr>
            <w:tcW w:w="1170" w:type="dxa"/>
            <w:shd w:val="clear" w:color="auto" w:fill="D9D9D9" w:themeFill="background1" w:themeFillShade="D9"/>
            <w:vAlign w:val="center"/>
          </w:tcPr>
          <w:p w14:paraId="34672F12" w14:textId="77777777" w:rsidR="004E45B5" w:rsidRPr="00993B55" w:rsidRDefault="004E45B5" w:rsidP="00461BE9">
            <w:pPr>
              <w:keepNext/>
              <w:widowControl w:val="0"/>
              <w:jc w:val="center"/>
              <w:rPr>
                <w:b/>
                <w:sz w:val="22"/>
                <w:szCs w:val="22"/>
              </w:rPr>
            </w:pPr>
            <w:r w:rsidRPr="00993B55">
              <w:rPr>
                <w:b/>
                <w:sz w:val="22"/>
                <w:szCs w:val="22"/>
              </w:rPr>
              <w:t>SO</w:t>
            </w:r>
            <w:r>
              <w:rPr>
                <w:b/>
                <w:sz w:val="22"/>
                <w:szCs w:val="22"/>
              </w:rPr>
              <w:t>x</w:t>
            </w:r>
          </w:p>
        </w:tc>
        <w:tc>
          <w:tcPr>
            <w:tcW w:w="1170" w:type="dxa"/>
            <w:shd w:val="clear" w:color="auto" w:fill="D9D9D9" w:themeFill="background1" w:themeFillShade="D9"/>
            <w:vAlign w:val="center"/>
          </w:tcPr>
          <w:p w14:paraId="75858DD8" w14:textId="77777777" w:rsidR="004E45B5" w:rsidRPr="00993B55" w:rsidRDefault="004E45B5" w:rsidP="00461BE9">
            <w:pPr>
              <w:keepNext/>
              <w:widowControl w:val="0"/>
              <w:jc w:val="center"/>
              <w:rPr>
                <w:b/>
                <w:sz w:val="22"/>
                <w:szCs w:val="22"/>
              </w:rPr>
            </w:pPr>
            <w:r w:rsidRPr="00993B55">
              <w:rPr>
                <w:b/>
                <w:sz w:val="22"/>
                <w:szCs w:val="22"/>
              </w:rPr>
              <w:t>PM</w:t>
            </w:r>
            <w:r>
              <w:rPr>
                <w:b/>
                <w:sz w:val="22"/>
                <w:szCs w:val="22"/>
              </w:rPr>
              <w:t>10</w:t>
            </w:r>
          </w:p>
        </w:tc>
        <w:tc>
          <w:tcPr>
            <w:tcW w:w="1080" w:type="dxa"/>
            <w:shd w:val="clear" w:color="auto" w:fill="D9D9D9" w:themeFill="background1" w:themeFillShade="D9"/>
            <w:vAlign w:val="center"/>
          </w:tcPr>
          <w:p w14:paraId="1F9F7C2D" w14:textId="77777777" w:rsidR="004E45B5" w:rsidRPr="00993B55" w:rsidRDefault="004E45B5" w:rsidP="00461BE9">
            <w:pPr>
              <w:keepNext/>
              <w:widowControl w:val="0"/>
              <w:jc w:val="center"/>
              <w:rPr>
                <w:b/>
                <w:sz w:val="22"/>
                <w:szCs w:val="22"/>
              </w:rPr>
            </w:pPr>
            <w:r w:rsidRPr="00993B55">
              <w:rPr>
                <w:b/>
                <w:sz w:val="22"/>
                <w:szCs w:val="22"/>
              </w:rPr>
              <w:t>CO</w:t>
            </w:r>
          </w:p>
        </w:tc>
        <w:tc>
          <w:tcPr>
            <w:tcW w:w="1080" w:type="dxa"/>
            <w:shd w:val="clear" w:color="auto" w:fill="D9D9D9" w:themeFill="background1" w:themeFillShade="D9"/>
            <w:vAlign w:val="center"/>
          </w:tcPr>
          <w:p w14:paraId="446B829E" w14:textId="77777777" w:rsidR="004E45B5" w:rsidRPr="00993B55" w:rsidRDefault="004E45B5" w:rsidP="00461BE9">
            <w:pPr>
              <w:keepNext/>
              <w:widowControl w:val="0"/>
              <w:jc w:val="center"/>
              <w:rPr>
                <w:b/>
                <w:sz w:val="22"/>
                <w:szCs w:val="22"/>
              </w:rPr>
            </w:pPr>
            <w:r w:rsidRPr="00993B55">
              <w:rPr>
                <w:b/>
                <w:sz w:val="22"/>
                <w:szCs w:val="22"/>
              </w:rPr>
              <w:t>VOC</w:t>
            </w:r>
          </w:p>
        </w:tc>
      </w:tr>
      <w:tr w:rsidR="00091A7F" w:rsidRPr="00993B55" w14:paraId="596A7B75" w14:textId="77777777" w:rsidTr="00F709B9">
        <w:trPr>
          <w:trHeight w:val="393"/>
        </w:trPr>
        <w:tc>
          <w:tcPr>
            <w:tcW w:w="3240" w:type="dxa"/>
            <w:shd w:val="clear" w:color="auto" w:fill="auto"/>
            <w:vAlign w:val="center"/>
          </w:tcPr>
          <w:p w14:paraId="7B26978A" w14:textId="3CE27FB5" w:rsidR="00091A7F" w:rsidRPr="00993B55" w:rsidRDefault="00091A7F" w:rsidP="00461BE9">
            <w:pPr>
              <w:keepNext/>
              <w:widowControl w:val="0"/>
              <w:jc w:val="center"/>
              <w:rPr>
                <w:sz w:val="22"/>
                <w:szCs w:val="22"/>
              </w:rPr>
            </w:pPr>
            <w:r>
              <w:rPr>
                <w:snapToGrid w:val="0"/>
                <w:color w:val="000000"/>
                <w:sz w:val="22"/>
                <w:szCs w:val="22"/>
              </w:rPr>
              <w:t>SSPE2</w:t>
            </w:r>
          </w:p>
        </w:tc>
        <w:tc>
          <w:tcPr>
            <w:tcW w:w="1080" w:type="dxa"/>
            <w:shd w:val="clear" w:color="auto" w:fill="auto"/>
            <w:vAlign w:val="center"/>
          </w:tcPr>
          <w:p w14:paraId="129095C7" w14:textId="10B94896" w:rsidR="00091A7F" w:rsidRPr="00993B55" w:rsidRDefault="00091A7F" w:rsidP="00461BE9">
            <w:pPr>
              <w:keepNext/>
              <w:widowControl w:val="0"/>
              <w:jc w:val="center"/>
              <w:rPr>
                <w:sz w:val="22"/>
                <w:szCs w:val="22"/>
              </w:rPr>
            </w:pPr>
            <w:r w:rsidRPr="006D177B">
              <w:rPr>
                <w:color w:val="0000FF"/>
                <w:sz w:val="22"/>
                <w:szCs w:val="22"/>
              </w:rPr>
              <w:t>X,XXX</w:t>
            </w:r>
          </w:p>
        </w:tc>
        <w:tc>
          <w:tcPr>
            <w:tcW w:w="1170" w:type="dxa"/>
            <w:shd w:val="clear" w:color="auto" w:fill="auto"/>
            <w:vAlign w:val="center"/>
          </w:tcPr>
          <w:p w14:paraId="4FCEA485" w14:textId="2F2264A8" w:rsidR="00091A7F" w:rsidRPr="00993B55" w:rsidRDefault="00091A7F" w:rsidP="00461BE9">
            <w:pPr>
              <w:keepNext/>
              <w:widowControl w:val="0"/>
              <w:jc w:val="center"/>
              <w:rPr>
                <w:sz w:val="22"/>
                <w:szCs w:val="22"/>
              </w:rPr>
            </w:pPr>
            <w:r w:rsidRPr="006D177B">
              <w:rPr>
                <w:color w:val="0000FF"/>
                <w:sz w:val="22"/>
                <w:szCs w:val="22"/>
              </w:rPr>
              <w:t>X,XXX</w:t>
            </w:r>
          </w:p>
        </w:tc>
        <w:tc>
          <w:tcPr>
            <w:tcW w:w="1170" w:type="dxa"/>
            <w:shd w:val="clear" w:color="auto" w:fill="auto"/>
            <w:vAlign w:val="center"/>
          </w:tcPr>
          <w:p w14:paraId="458A691E" w14:textId="557C436B" w:rsidR="00091A7F" w:rsidRPr="00993B55" w:rsidRDefault="00091A7F" w:rsidP="00461BE9">
            <w:pPr>
              <w:keepNext/>
              <w:widowControl w:val="0"/>
              <w:jc w:val="center"/>
              <w:rPr>
                <w:sz w:val="22"/>
                <w:szCs w:val="22"/>
              </w:rPr>
            </w:pPr>
            <w:r w:rsidRPr="006D177B">
              <w:rPr>
                <w:color w:val="0000FF"/>
                <w:sz w:val="22"/>
                <w:szCs w:val="22"/>
              </w:rPr>
              <w:t>X,XXX</w:t>
            </w:r>
          </w:p>
        </w:tc>
        <w:tc>
          <w:tcPr>
            <w:tcW w:w="1080" w:type="dxa"/>
            <w:shd w:val="clear" w:color="auto" w:fill="auto"/>
            <w:vAlign w:val="center"/>
          </w:tcPr>
          <w:p w14:paraId="69EF85D4" w14:textId="1B33372A" w:rsidR="00091A7F" w:rsidRPr="00993B55" w:rsidRDefault="00091A7F" w:rsidP="00461BE9">
            <w:pPr>
              <w:keepNext/>
              <w:widowControl w:val="0"/>
              <w:jc w:val="center"/>
              <w:rPr>
                <w:sz w:val="22"/>
                <w:szCs w:val="22"/>
              </w:rPr>
            </w:pPr>
            <w:r w:rsidRPr="006D177B">
              <w:rPr>
                <w:color w:val="0000FF"/>
                <w:sz w:val="22"/>
                <w:szCs w:val="22"/>
              </w:rPr>
              <w:t>X,XXX</w:t>
            </w:r>
          </w:p>
        </w:tc>
        <w:tc>
          <w:tcPr>
            <w:tcW w:w="1080" w:type="dxa"/>
            <w:shd w:val="clear" w:color="auto" w:fill="auto"/>
            <w:vAlign w:val="center"/>
          </w:tcPr>
          <w:p w14:paraId="24EDFF5E" w14:textId="16D81130" w:rsidR="00091A7F" w:rsidRPr="00993B55" w:rsidRDefault="00091A7F" w:rsidP="00461BE9">
            <w:pPr>
              <w:keepNext/>
              <w:widowControl w:val="0"/>
              <w:jc w:val="center"/>
              <w:rPr>
                <w:sz w:val="22"/>
                <w:szCs w:val="22"/>
              </w:rPr>
            </w:pPr>
            <w:r w:rsidRPr="006D177B">
              <w:rPr>
                <w:color w:val="0000FF"/>
                <w:sz w:val="22"/>
                <w:szCs w:val="22"/>
              </w:rPr>
              <w:t>X,XXX</w:t>
            </w:r>
          </w:p>
        </w:tc>
      </w:tr>
      <w:tr w:rsidR="00091A7F" w:rsidRPr="00993B55" w14:paraId="0550354F" w14:textId="77777777" w:rsidTr="00F709B9">
        <w:trPr>
          <w:trHeight w:val="359"/>
        </w:trPr>
        <w:tc>
          <w:tcPr>
            <w:tcW w:w="3240" w:type="dxa"/>
            <w:shd w:val="clear" w:color="auto" w:fill="auto"/>
            <w:vAlign w:val="center"/>
          </w:tcPr>
          <w:p w14:paraId="650F2E30" w14:textId="5459F2F4" w:rsidR="00091A7F" w:rsidRPr="00993B55" w:rsidRDefault="00091A7F" w:rsidP="00461BE9">
            <w:pPr>
              <w:keepNext/>
              <w:widowControl w:val="0"/>
              <w:jc w:val="center"/>
              <w:rPr>
                <w:snapToGrid w:val="0"/>
                <w:color w:val="000000"/>
                <w:sz w:val="22"/>
                <w:szCs w:val="22"/>
              </w:rPr>
            </w:pPr>
            <w:r>
              <w:rPr>
                <w:snapToGrid w:val="0"/>
                <w:color w:val="000000"/>
                <w:sz w:val="22"/>
                <w:szCs w:val="22"/>
              </w:rPr>
              <w:t>SSPE1</w:t>
            </w:r>
          </w:p>
        </w:tc>
        <w:tc>
          <w:tcPr>
            <w:tcW w:w="1080" w:type="dxa"/>
            <w:shd w:val="clear" w:color="auto" w:fill="auto"/>
            <w:vAlign w:val="center"/>
          </w:tcPr>
          <w:p w14:paraId="126BDCDA" w14:textId="7A10D98C" w:rsidR="00091A7F" w:rsidRPr="00993B55" w:rsidRDefault="00091A7F" w:rsidP="00461BE9">
            <w:pPr>
              <w:keepNext/>
              <w:widowControl w:val="0"/>
              <w:jc w:val="center"/>
              <w:rPr>
                <w:sz w:val="22"/>
                <w:szCs w:val="22"/>
              </w:rPr>
            </w:pPr>
            <w:r w:rsidRPr="006D177B">
              <w:rPr>
                <w:color w:val="0000FF"/>
                <w:sz w:val="22"/>
                <w:szCs w:val="22"/>
              </w:rPr>
              <w:t>X,XXX</w:t>
            </w:r>
          </w:p>
        </w:tc>
        <w:tc>
          <w:tcPr>
            <w:tcW w:w="1170" w:type="dxa"/>
            <w:shd w:val="clear" w:color="auto" w:fill="auto"/>
            <w:vAlign w:val="center"/>
          </w:tcPr>
          <w:p w14:paraId="4F0462DF" w14:textId="7376BC6D" w:rsidR="00091A7F" w:rsidRPr="00993B55" w:rsidRDefault="00091A7F" w:rsidP="00461BE9">
            <w:pPr>
              <w:keepNext/>
              <w:widowControl w:val="0"/>
              <w:jc w:val="center"/>
              <w:rPr>
                <w:sz w:val="22"/>
                <w:szCs w:val="22"/>
              </w:rPr>
            </w:pPr>
            <w:r w:rsidRPr="006D177B">
              <w:rPr>
                <w:color w:val="0000FF"/>
                <w:sz w:val="22"/>
                <w:szCs w:val="22"/>
              </w:rPr>
              <w:t>X,XXX</w:t>
            </w:r>
          </w:p>
        </w:tc>
        <w:tc>
          <w:tcPr>
            <w:tcW w:w="1170" w:type="dxa"/>
            <w:shd w:val="clear" w:color="auto" w:fill="auto"/>
            <w:vAlign w:val="center"/>
          </w:tcPr>
          <w:p w14:paraId="7651F062" w14:textId="2D27A972" w:rsidR="00091A7F" w:rsidRPr="00993B55" w:rsidRDefault="00091A7F" w:rsidP="00461BE9">
            <w:pPr>
              <w:keepNext/>
              <w:widowControl w:val="0"/>
              <w:jc w:val="center"/>
              <w:rPr>
                <w:sz w:val="22"/>
                <w:szCs w:val="22"/>
              </w:rPr>
            </w:pPr>
            <w:r w:rsidRPr="006D177B">
              <w:rPr>
                <w:color w:val="0000FF"/>
                <w:sz w:val="22"/>
                <w:szCs w:val="22"/>
              </w:rPr>
              <w:t>X,XXX</w:t>
            </w:r>
          </w:p>
        </w:tc>
        <w:tc>
          <w:tcPr>
            <w:tcW w:w="1080" w:type="dxa"/>
            <w:shd w:val="clear" w:color="auto" w:fill="auto"/>
            <w:vAlign w:val="center"/>
          </w:tcPr>
          <w:p w14:paraId="407FC49B" w14:textId="659C3A07" w:rsidR="00091A7F" w:rsidRPr="00993B55" w:rsidRDefault="00091A7F" w:rsidP="00461BE9">
            <w:pPr>
              <w:keepNext/>
              <w:widowControl w:val="0"/>
              <w:jc w:val="center"/>
              <w:rPr>
                <w:sz w:val="22"/>
                <w:szCs w:val="22"/>
              </w:rPr>
            </w:pPr>
            <w:r w:rsidRPr="006D177B">
              <w:rPr>
                <w:color w:val="0000FF"/>
                <w:sz w:val="22"/>
                <w:szCs w:val="22"/>
              </w:rPr>
              <w:t>X,XXX</w:t>
            </w:r>
          </w:p>
        </w:tc>
        <w:tc>
          <w:tcPr>
            <w:tcW w:w="1080" w:type="dxa"/>
            <w:shd w:val="clear" w:color="auto" w:fill="auto"/>
            <w:vAlign w:val="center"/>
          </w:tcPr>
          <w:p w14:paraId="00A64275" w14:textId="356B008D" w:rsidR="00091A7F" w:rsidRPr="00993B55" w:rsidRDefault="00091A7F" w:rsidP="00461BE9">
            <w:pPr>
              <w:keepNext/>
              <w:widowControl w:val="0"/>
              <w:jc w:val="center"/>
              <w:rPr>
                <w:sz w:val="22"/>
                <w:szCs w:val="22"/>
              </w:rPr>
            </w:pPr>
            <w:r w:rsidRPr="006D177B">
              <w:rPr>
                <w:color w:val="0000FF"/>
                <w:sz w:val="22"/>
                <w:szCs w:val="22"/>
              </w:rPr>
              <w:t>X,XXX</w:t>
            </w:r>
          </w:p>
        </w:tc>
      </w:tr>
      <w:tr w:rsidR="00091A7F" w:rsidRPr="00993B55" w14:paraId="69FA7426" w14:textId="77777777" w:rsidTr="00F709B9">
        <w:trPr>
          <w:trHeight w:val="359"/>
        </w:trPr>
        <w:tc>
          <w:tcPr>
            <w:tcW w:w="3240" w:type="dxa"/>
            <w:shd w:val="clear" w:color="auto" w:fill="auto"/>
            <w:vAlign w:val="center"/>
          </w:tcPr>
          <w:p w14:paraId="2499A727" w14:textId="3C0263FC" w:rsidR="00091A7F" w:rsidRPr="00993B55" w:rsidRDefault="00091A7F" w:rsidP="00461BE9">
            <w:pPr>
              <w:keepNext/>
              <w:widowControl w:val="0"/>
              <w:jc w:val="center"/>
              <w:rPr>
                <w:snapToGrid w:val="0"/>
                <w:color w:val="000000"/>
                <w:sz w:val="22"/>
                <w:szCs w:val="22"/>
              </w:rPr>
            </w:pPr>
            <w:r>
              <w:rPr>
                <w:sz w:val="22"/>
                <w:szCs w:val="22"/>
              </w:rPr>
              <w:t>SSIPE</w:t>
            </w:r>
          </w:p>
        </w:tc>
        <w:tc>
          <w:tcPr>
            <w:tcW w:w="1080" w:type="dxa"/>
            <w:shd w:val="clear" w:color="auto" w:fill="auto"/>
            <w:vAlign w:val="center"/>
          </w:tcPr>
          <w:p w14:paraId="35AE4A5A" w14:textId="67F53C67" w:rsidR="00091A7F" w:rsidRPr="00993B55" w:rsidRDefault="00091A7F" w:rsidP="00461BE9">
            <w:pPr>
              <w:keepNext/>
              <w:widowControl w:val="0"/>
              <w:jc w:val="center"/>
              <w:rPr>
                <w:sz w:val="22"/>
                <w:szCs w:val="22"/>
              </w:rPr>
            </w:pPr>
            <w:r w:rsidRPr="006D177B">
              <w:rPr>
                <w:color w:val="0000FF"/>
                <w:sz w:val="22"/>
                <w:szCs w:val="22"/>
              </w:rPr>
              <w:t>X,XXX</w:t>
            </w:r>
          </w:p>
        </w:tc>
        <w:tc>
          <w:tcPr>
            <w:tcW w:w="1170" w:type="dxa"/>
            <w:shd w:val="clear" w:color="auto" w:fill="auto"/>
            <w:vAlign w:val="center"/>
          </w:tcPr>
          <w:p w14:paraId="7A672799" w14:textId="461B248B" w:rsidR="00091A7F" w:rsidRPr="00993B55" w:rsidRDefault="00091A7F" w:rsidP="00461BE9">
            <w:pPr>
              <w:keepNext/>
              <w:widowControl w:val="0"/>
              <w:jc w:val="center"/>
              <w:rPr>
                <w:sz w:val="22"/>
                <w:szCs w:val="22"/>
              </w:rPr>
            </w:pPr>
            <w:r w:rsidRPr="006D177B">
              <w:rPr>
                <w:color w:val="0000FF"/>
                <w:sz w:val="22"/>
                <w:szCs w:val="22"/>
              </w:rPr>
              <w:t>X,XXX</w:t>
            </w:r>
          </w:p>
        </w:tc>
        <w:tc>
          <w:tcPr>
            <w:tcW w:w="1170" w:type="dxa"/>
            <w:shd w:val="clear" w:color="auto" w:fill="auto"/>
            <w:vAlign w:val="center"/>
          </w:tcPr>
          <w:p w14:paraId="62670EAB" w14:textId="1A55BC45" w:rsidR="00091A7F" w:rsidRPr="00993B55" w:rsidRDefault="00091A7F" w:rsidP="00461BE9">
            <w:pPr>
              <w:keepNext/>
              <w:widowControl w:val="0"/>
              <w:jc w:val="center"/>
              <w:rPr>
                <w:sz w:val="22"/>
                <w:szCs w:val="22"/>
              </w:rPr>
            </w:pPr>
            <w:r w:rsidRPr="006D177B">
              <w:rPr>
                <w:color w:val="0000FF"/>
                <w:sz w:val="22"/>
                <w:szCs w:val="22"/>
              </w:rPr>
              <w:t>X,XXX</w:t>
            </w:r>
          </w:p>
        </w:tc>
        <w:tc>
          <w:tcPr>
            <w:tcW w:w="1080" w:type="dxa"/>
            <w:shd w:val="clear" w:color="auto" w:fill="auto"/>
            <w:vAlign w:val="center"/>
          </w:tcPr>
          <w:p w14:paraId="26AA9A27" w14:textId="66245963" w:rsidR="00091A7F" w:rsidRPr="00993B55" w:rsidRDefault="00091A7F" w:rsidP="00461BE9">
            <w:pPr>
              <w:keepNext/>
              <w:widowControl w:val="0"/>
              <w:jc w:val="center"/>
              <w:rPr>
                <w:sz w:val="22"/>
                <w:szCs w:val="22"/>
              </w:rPr>
            </w:pPr>
            <w:r w:rsidRPr="006D177B">
              <w:rPr>
                <w:color w:val="0000FF"/>
                <w:sz w:val="22"/>
                <w:szCs w:val="22"/>
              </w:rPr>
              <w:t>X,XXX</w:t>
            </w:r>
          </w:p>
        </w:tc>
        <w:tc>
          <w:tcPr>
            <w:tcW w:w="1080" w:type="dxa"/>
            <w:shd w:val="clear" w:color="auto" w:fill="auto"/>
            <w:vAlign w:val="center"/>
          </w:tcPr>
          <w:p w14:paraId="79E89073" w14:textId="1B861F42" w:rsidR="00091A7F" w:rsidRPr="00993B55" w:rsidRDefault="00091A7F" w:rsidP="00461BE9">
            <w:pPr>
              <w:keepNext/>
              <w:widowControl w:val="0"/>
              <w:jc w:val="center"/>
              <w:rPr>
                <w:sz w:val="22"/>
                <w:szCs w:val="22"/>
              </w:rPr>
            </w:pPr>
            <w:r w:rsidRPr="006D177B">
              <w:rPr>
                <w:color w:val="0000FF"/>
                <w:sz w:val="22"/>
                <w:szCs w:val="22"/>
              </w:rPr>
              <w:t>X,XXX</w:t>
            </w:r>
          </w:p>
        </w:tc>
      </w:tr>
      <w:tr w:rsidR="00091A7F" w:rsidRPr="00993B55" w14:paraId="1DFCF8F3" w14:textId="77777777" w:rsidTr="00F709B9">
        <w:trPr>
          <w:trHeight w:val="449"/>
        </w:trPr>
        <w:tc>
          <w:tcPr>
            <w:tcW w:w="3240" w:type="dxa"/>
            <w:shd w:val="clear" w:color="auto" w:fill="auto"/>
            <w:vAlign w:val="center"/>
          </w:tcPr>
          <w:p w14:paraId="7119D105" w14:textId="4698285F" w:rsidR="00091A7F" w:rsidRPr="00993B55" w:rsidRDefault="00091A7F" w:rsidP="00461BE9">
            <w:pPr>
              <w:keepNext/>
              <w:widowControl w:val="0"/>
              <w:jc w:val="center"/>
              <w:rPr>
                <w:sz w:val="22"/>
                <w:szCs w:val="22"/>
              </w:rPr>
            </w:pPr>
            <w:r>
              <w:rPr>
                <w:sz w:val="22"/>
                <w:szCs w:val="22"/>
              </w:rPr>
              <w:t>SSIPE Public Notice Threshold</w:t>
            </w:r>
          </w:p>
        </w:tc>
        <w:tc>
          <w:tcPr>
            <w:tcW w:w="1080" w:type="dxa"/>
            <w:shd w:val="clear" w:color="auto" w:fill="auto"/>
            <w:vAlign w:val="center"/>
          </w:tcPr>
          <w:p w14:paraId="0674906F" w14:textId="7070FA59" w:rsidR="00091A7F" w:rsidRPr="00993B55" w:rsidRDefault="00091A7F" w:rsidP="00461BE9">
            <w:pPr>
              <w:keepNext/>
              <w:widowControl w:val="0"/>
              <w:jc w:val="center"/>
              <w:rPr>
                <w:sz w:val="22"/>
                <w:szCs w:val="22"/>
              </w:rPr>
            </w:pPr>
            <w:r>
              <w:rPr>
                <w:sz w:val="22"/>
                <w:szCs w:val="22"/>
              </w:rPr>
              <w:t>20,000</w:t>
            </w:r>
          </w:p>
        </w:tc>
        <w:tc>
          <w:tcPr>
            <w:tcW w:w="1170" w:type="dxa"/>
            <w:shd w:val="clear" w:color="auto" w:fill="auto"/>
            <w:vAlign w:val="center"/>
          </w:tcPr>
          <w:p w14:paraId="40D59DDC" w14:textId="000D076A" w:rsidR="00091A7F" w:rsidRPr="00993B55" w:rsidRDefault="00091A7F" w:rsidP="00461BE9">
            <w:pPr>
              <w:keepNext/>
              <w:widowControl w:val="0"/>
              <w:jc w:val="center"/>
              <w:rPr>
                <w:sz w:val="22"/>
                <w:szCs w:val="22"/>
              </w:rPr>
            </w:pPr>
            <w:r>
              <w:rPr>
                <w:sz w:val="22"/>
                <w:szCs w:val="22"/>
              </w:rPr>
              <w:t>20,000</w:t>
            </w:r>
          </w:p>
        </w:tc>
        <w:tc>
          <w:tcPr>
            <w:tcW w:w="1170" w:type="dxa"/>
            <w:shd w:val="clear" w:color="auto" w:fill="auto"/>
            <w:vAlign w:val="center"/>
          </w:tcPr>
          <w:p w14:paraId="5E15C8DA" w14:textId="0EE2112D" w:rsidR="00091A7F" w:rsidRPr="00993B55" w:rsidRDefault="00091A7F" w:rsidP="00461BE9">
            <w:pPr>
              <w:keepNext/>
              <w:widowControl w:val="0"/>
              <w:jc w:val="center"/>
              <w:rPr>
                <w:sz w:val="22"/>
                <w:szCs w:val="22"/>
              </w:rPr>
            </w:pPr>
            <w:r>
              <w:rPr>
                <w:sz w:val="22"/>
                <w:szCs w:val="22"/>
              </w:rPr>
              <w:t>20,000</w:t>
            </w:r>
          </w:p>
        </w:tc>
        <w:tc>
          <w:tcPr>
            <w:tcW w:w="1080" w:type="dxa"/>
            <w:shd w:val="clear" w:color="auto" w:fill="auto"/>
            <w:vAlign w:val="center"/>
          </w:tcPr>
          <w:p w14:paraId="04C73B6D" w14:textId="11B9B083" w:rsidR="00091A7F" w:rsidRPr="00993B55" w:rsidRDefault="00091A7F" w:rsidP="00461BE9">
            <w:pPr>
              <w:keepNext/>
              <w:widowControl w:val="0"/>
              <w:jc w:val="center"/>
              <w:rPr>
                <w:sz w:val="22"/>
                <w:szCs w:val="22"/>
              </w:rPr>
            </w:pPr>
            <w:r>
              <w:rPr>
                <w:sz w:val="22"/>
                <w:szCs w:val="22"/>
              </w:rPr>
              <w:t>20,000</w:t>
            </w:r>
          </w:p>
        </w:tc>
        <w:tc>
          <w:tcPr>
            <w:tcW w:w="1080" w:type="dxa"/>
            <w:shd w:val="clear" w:color="auto" w:fill="auto"/>
            <w:vAlign w:val="center"/>
          </w:tcPr>
          <w:p w14:paraId="6A3F6B1C" w14:textId="1BB54576" w:rsidR="00091A7F" w:rsidRPr="00993B55" w:rsidRDefault="00091A7F" w:rsidP="00461BE9">
            <w:pPr>
              <w:keepNext/>
              <w:widowControl w:val="0"/>
              <w:jc w:val="center"/>
              <w:rPr>
                <w:sz w:val="22"/>
                <w:szCs w:val="22"/>
              </w:rPr>
            </w:pPr>
            <w:r>
              <w:rPr>
                <w:sz w:val="22"/>
                <w:szCs w:val="22"/>
              </w:rPr>
              <w:t>20,000</w:t>
            </w:r>
          </w:p>
        </w:tc>
      </w:tr>
      <w:tr w:rsidR="00091A7F" w:rsidRPr="00993B55" w14:paraId="6219056C" w14:textId="77777777" w:rsidTr="00F709B9">
        <w:trPr>
          <w:trHeight w:val="504"/>
        </w:trPr>
        <w:tc>
          <w:tcPr>
            <w:tcW w:w="3240" w:type="dxa"/>
            <w:shd w:val="clear" w:color="auto" w:fill="D9D9D9" w:themeFill="background1" w:themeFillShade="D9"/>
            <w:vAlign w:val="center"/>
          </w:tcPr>
          <w:p w14:paraId="0CE74BB6" w14:textId="77777777" w:rsidR="00091A7F" w:rsidRPr="00F709B9" w:rsidRDefault="00091A7F" w:rsidP="00461BE9">
            <w:pPr>
              <w:keepNext/>
              <w:widowControl w:val="0"/>
              <w:jc w:val="center"/>
              <w:rPr>
                <w:b/>
                <w:bCs/>
                <w:sz w:val="22"/>
                <w:szCs w:val="22"/>
              </w:rPr>
            </w:pPr>
            <w:r w:rsidRPr="00F709B9">
              <w:rPr>
                <w:b/>
                <w:bCs/>
                <w:sz w:val="22"/>
                <w:szCs w:val="22"/>
              </w:rPr>
              <w:t>Public Notice Required?</w:t>
            </w:r>
          </w:p>
        </w:tc>
        <w:tc>
          <w:tcPr>
            <w:tcW w:w="1080" w:type="dxa"/>
            <w:shd w:val="clear" w:color="auto" w:fill="D9D9D9" w:themeFill="background1" w:themeFillShade="D9"/>
            <w:vAlign w:val="center"/>
          </w:tcPr>
          <w:p w14:paraId="205038E5" w14:textId="77777777" w:rsidR="00091A7F" w:rsidRPr="00F709B9" w:rsidRDefault="00091A7F" w:rsidP="00461BE9">
            <w:pPr>
              <w:keepNext/>
              <w:widowControl w:val="0"/>
              <w:jc w:val="center"/>
              <w:rPr>
                <w:b/>
                <w:bCs/>
                <w:color w:val="0000FF"/>
                <w:sz w:val="22"/>
                <w:szCs w:val="22"/>
              </w:rPr>
            </w:pPr>
            <w:r w:rsidRPr="00F709B9">
              <w:rPr>
                <w:rFonts w:cs="Arial"/>
                <w:b/>
                <w:bCs/>
                <w:color w:val="0000FF"/>
                <w:sz w:val="22"/>
                <w:szCs w:val="22"/>
              </w:rPr>
              <w:t>Yes/No</w:t>
            </w:r>
          </w:p>
        </w:tc>
        <w:tc>
          <w:tcPr>
            <w:tcW w:w="1170" w:type="dxa"/>
            <w:shd w:val="clear" w:color="auto" w:fill="D9D9D9" w:themeFill="background1" w:themeFillShade="D9"/>
            <w:vAlign w:val="center"/>
          </w:tcPr>
          <w:p w14:paraId="40A37060" w14:textId="77777777" w:rsidR="00091A7F" w:rsidRPr="00F709B9" w:rsidRDefault="00091A7F" w:rsidP="00461BE9">
            <w:pPr>
              <w:keepNext/>
              <w:widowControl w:val="0"/>
              <w:jc w:val="center"/>
              <w:rPr>
                <w:b/>
                <w:bCs/>
                <w:color w:val="0000FF"/>
                <w:sz w:val="22"/>
                <w:szCs w:val="22"/>
              </w:rPr>
            </w:pPr>
            <w:r w:rsidRPr="00F709B9">
              <w:rPr>
                <w:rFonts w:cs="Arial"/>
                <w:b/>
                <w:bCs/>
                <w:color w:val="0000FF"/>
                <w:sz w:val="22"/>
                <w:szCs w:val="22"/>
              </w:rPr>
              <w:t>Yes/No</w:t>
            </w:r>
          </w:p>
        </w:tc>
        <w:tc>
          <w:tcPr>
            <w:tcW w:w="1170" w:type="dxa"/>
            <w:shd w:val="clear" w:color="auto" w:fill="D9D9D9" w:themeFill="background1" w:themeFillShade="D9"/>
            <w:vAlign w:val="center"/>
          </w:tcPr>
          <w:p w14:paraId="591ADBC7" w14:textId="77777777" w:rsidR="00091A7F" w:rsidRPr="00F709B9" w:rsidRDefault="00091A7F" w:rsidP="00461BE9">
            <w:pPr>
              <w:keepNext/>
              <w:widowControl w:val="0"/>
              <w:jc w:val="center"/>
              <w:rPr>
                <w:b/>
                <w:bCs/>
                <w:color w:val="0000FF"/>
                <w:sz w:val="22"/>
                <w:szCs w:val="22"/>
              </w:rPr>
            </w:pPr>
            <w:r w:rsidRPr="00F709B9">
              <w:rPr>
                <w:rFonts w:cs="Arial"/>
                <w:b/>
                <w:bCs/>
                <w:color w:val="0000FF"/>
                <w:sz w:val="22"/>
                <w:szCs w:val="22"/>
              </w:rPr>
              <w:t>Yes/No</w:t>
            </w:r>
          </w:p>
        </w:tc>
        <w:tc>
          <w:tcPr>
            <w:tcW w:w="1080" w:type="dxa"/>
            <w:shd w:val="clear" w:color="auto" w:fill="D9D9D9" w:themeFill="background1" w:themeFillShade="D9"/>
            <w:vAlign w:val="center"/>
          </w:tcPr>
          <w:p w14:paraId="766E5761" w14:textId="77777777" w:rsidR="00091A7F" w:rsidRPr="00F709B9" w:rsidRDefault="00091A7F" w:rsidP="00461BE9">
            <w:pPr>
              <w:keepNext/>
              <w:widowControl w:val="0"/>
              <w:jc w:val="center"/>
              <w:rPr>
                <w:b/>
                <w:bCs/>
                <w:color w:val="0000FF"/>
                <w:sz w:val="22"/>
                <w:szCs w:val="22"/>
              </w:rPr>
            </w:pPr>
            <w:r w:rsidRPr="00F709B9">
              <w:rPr>
                <w:rFonts w:cs="Arial"/>
                <w:b/>
                <w:bCs/>
                <w:color w:val="0000FF"/>
                <w:sz w:val="22"/>
                <w:szCs w:val="22"/>
              </w:rPr>
              <w:t>Yes/No</w:t>
            </w:r>
          </w:p>
        </w:tc>
        <w:tc>
          <w:tcPr>
            <w:tcW w:w="1080" w:type="dxa"/>
            <w:shd w:val="clear" w:color="auto" w:fill="D9D9D9" w:themeFill="background1" w:themeFillShade="D9"/>
            <w:vAlign w:val="center"/>
          </w:tcPr>
          <w:p w14:paraId="021B0846" w14:textId="77777777" w:rsidR="00091A7F" w:rsidRPr="00F709B9" w:rsidRDefault="00091A7F" w:rsidP="00461BE9">
            <w:pPr>
              <w:keepNext/>
              <w:widowControl w:val="0"/>
              <w:jc w:val="center"/>
              <w:rPr>
                <w:b/>
                <w:bCs/>
                <w:color w:val="0000FF"/>
                <w:sz w:val="22"/>
                <w:szCs w:val="22"/>
              </w:rPr>
            </w:pPr>
            <w:r w:rsidRPr="00F709B9">
              <w:rPr>
                <w:rFonts w:cs="Arial"/>
                <w:b/>
                <w:bCs/>
                <w:color w:val="0000FF"/>
                <w:sz w:val="22"/>
                <w:szCs w:val="22"/>
              </w:rPr>
              <w:t>Yes/No</w:t>
            </w:r>
          </w:p>
        </w:tc>
      </w:tr>
    </w:tbl>
    <w:p w14:paraId="6B746EF5" w14:textId="77777777" w:rsidR="00F709B9" w:rsidRDefault="00F709B9" w:rsidP="007A60F3">
      <w:pPr>
        <w:widowControl w:val="0"/>
        <w:ind w:left="1080"/>
        <w:rPr>
          <w:i/>
          <w:iCs/>
          <w:color w:val="0000FF"/>
          <w:u w:val="single"/>
        </w:rPr>
      </w:pPr>
    </w:p>
    <w:p w14:paraId="0269EA32" w14:textId="35B13CC0" w:rsidR="000177D5" w:rsidRPr="00993B55" w:rsidRDefault="000177D5" w:rsidP="007A60F3">
      <w:pPr>
        <w:widowControl w:val="0"/>
        <w:ind w:left="1080"/>
      </w:pPr>
      <w:r w:rsidRPr="00993B55">
        <w:rPr>
          <w:i/>
          <w:iCs/>
          <w:color w:val="0000FF"/>
          <w:u w:val="single"/>
        </w:rPr>
        <w:t>Example (a)</w:t>
      </w:r>
      <w:r w:rsidRPr="00993B55">
        <w:rPr>
          <w:i/>
          <w:iCs/>
          <w:color w:val="0000FF"/>
        </w:rPr>
        <w:t>:</w:t>
      </w:r>
      <w:r w:rsidRPr="00993B55">
        <w:rPr>
          <w:i/>
          <w:iCs/>
          <w:color w:val="0000FF"/>
        </w:rPr>
        <w:tab/>
        <w:t xml:space="preserve">(For a project where the SSIPE </w:t>
      </w:r>
      <w:r w:rsidRPr="00993B55">
        <w:rPr>
          <w:i/>
          <w:iCs/>
          <w:color w:val="0000FF"/>
        </w:rPr>
        <w:sym w:font="Symbol" w:char="F0A3"/>
      </w:r>
      <w:r w:rsidRPr="00993B55">
        <w:rPr>
          <w:i/>
          <w:iCs/>
          <w:color w:val="0000FF"/>
        </w:rPr>
        <w:t xml:space="preserve"> 20,000 lb/year)</w:t>
      </w:r>
    </w:p>
    <w:p w14:paraId="344A3E6E" w14:textId="65957645" w:rsidR="000177D5" w:rsidRPr="00993B55" w:rsidRDefault="000177D5" w:rsidP="007A60F3">
      <w:pPr>
        <w:widowControl w:val="0"/>
        <w:ind w:left="1080"/>
      </w:pPr>
      <w:r w:rsidRPr="00993B55">
        <w:t>As demonstrated above, the SSIPEs for all pollutants were less than 20,000 lb/year; therefore</w:t>
      </w:r>
      <w:r w:rsidR="000253A4">
        <w:t>,</w:t>
      </w:r>
      <w:r w:rsidRPr="00993B55">
        <w:t xml:space="preserve"> public noticing for SSIPE purposes is not required.</w:t>
      </w:r>
    </w:p>
    <w:p w14:paraId="1F49D9A2" w14:textId="77777777" w:rsidR="000177D5" w:rsidRPr="00993B55" w:rsidRDefault="000177D5" w:rsidP="007A60F3">
      <w:pPr>
        <w:widowControl w:val="0"/>
        <w:ind w:left="1080"/>
        <w:rPr>
          <w:rFonts w:cs="Arial"/>
          <w:color w:val="000000"/>
          <w:spacing w:val="-3"/>
        </w:rPr>
      </w:pPr>
    </w:p>
    <w:p w14:paraId="6F2ED3E5" w14:textId="77777777" w:rsidR="000177D5" w:rsidRPr="00993B55" w:rsidRDefault="000177D5" w:rsidP="007A60F3">
      <w:pPr>
        <w:widowControl w:val="0"/>
        <w:ind w:left="1080"/>
        <w:rPr>
          <w:rFonts w:cs="Arial"/>
          <w:color w:val="000000"/>
          <w:spacing w:val="-3"/>
        </w:rPr>
      </w:pPr>
      <w:r w:rsidRPr="00993B55">
        <w:rPr>
          <w:i/>
          <w:iCs/>
          <w:color w:val="0000FF"/>
          <w:u w:val="single"/>
        </w:rPr>
        <w:t>Example (b)</w:t>
      </w:r>
      <w:r w:rsidRPr="00993B55">
        <w:rPr>
          <w:i/>
          <w:iCs/>
          <w:color w:val="0000FF"/>
        </w:rPr>
        <w:t>:</w:t>
      </w:r>
      <w:r w:rsidRPr="00993B55">
        <w:rPr>
          <w:i/>
          <w:iCs/>
          <w:color w:val="0000FF"/>
        </w:rPr>
        <w:tab/>
        <w:t>(For a project where the SSIPE &gt; 20,000 lb/year)</w:t>
      </w:r>
    </w:p>
    <w:p w14:paraId="7283F34C" w14:textId="31E71114" w:rsidR="000177D5" w:rsidRPr="00993B55" w:rsidRDefault="000177D5" w:rsidP="007A60F3">
      <w:pPr>
        <w:widowControl w:val="0"/>
        <w:ind w:left="1080"/>
      </w:pPr>
      <w:r w:rsidRPr="00993B55">
        <w:t xml:space="preserve">As demonstrated above, the SSIPEs for </w:t>
      </w:r>
      <w:r w:rsidRPr="00993B55">
        <w:rPr>
          <w:color w:val="0000FF"/>
        </w:rPr>
        <w:t>NO</w:t>
      </w:r>
      <w:r w:rsidR="00FC4D95">
        <w:rPr>
          <w:color w:val="0000FF"/>
        </w:rPr>
        <w:t>x</w:t>
      </w:r>
      <w:r w:rsidRPr="00993B55">
        <w:rPr>
          <w:color w:val="0000FF"/>
        </w:rPr>
        <w:t xml:space="preserve"> and CO</w:t>
      </w:r>
      <w:r w:rsidRPr="00993B55">
        <w:t xml:space="preserve"> were greater than 20,000 lb/year; therefore</w:t>
      </w:r>
      <w:r w:rsidR="000253A4">
        <w:t>,</w:t>
      </w:r>
      <w:r w:rsidRPr="00993B55">
        <w:t xml:space="preserve"> public noticing for SSIPE purposes is required.</w:t>
      </w:r>
    </w:p>
    <w:p w14:paraId="12852A0E" w14:textId="3838FC8B" w:rsidR="00AF4FFB" w:rsidRPr="00F33E30" w:rsidRDefault="00F33E30" w:rsidP="008F20D3">
      <w:pPr>
        <w:pStyle w:val="Heading7"/>
      </w:pPr>
      <w:r>
        <w:t>e.</w:t>
      </w:r>
      <w:r>
        <w:tab/>
      </w:r>
      <w:r w:rsidR="00AF4FFB" w:rsidRPr="00F33E30">
        <w:t>Minor Sources with SSPE Exceeding 80% of Major Source Threshold</w:t>
      </w:r>
    </w:p>
    <w:p w14:paraId="53A7ECFB" w14:textId="77777777" w:rsidR="00AF4FFB" w:rsidRPr="0013576C" w:rsidRDefault="00AF4FFB" w:rsidP="007A60F3">
      <w:pPr>
        <w:widowControl w:val="0"/>
        <w:tabs>
          <w:tab w:val="left" w:pos="2250"/>
        </w:tabs>
        <w:autoSpaceDE w:val="0"/>
        <w:autoSpaceDN w:val="0"/>
        <w:adjustRightInd w:val="0"/>
        <w:ind w:left="1080"/>
      </w:pPr>
      <w:r>
        <w:t>Public notification is required for any project for new and/or modified stationary sources at minor source facilities that results in a SSPE exceeding 80% of the major source threshold.</w:t>
      </w:r>
    </w:p>
    <w:p w14:paraId="6C3B4740" w14:textId="77777777" w:rsidR="00AF4FFB" w:rsidRPr="00CE0457" w:rsidRDefault="00AF4FFB" w:rsidP="007A60F3">
      <w:pPr>
        <w:widowControl w:val="0"/>
        <w:ind w:left="1080"/>
        <w:jc w:val="left"/>
        <w:rPr>
          <w:szCs w:val="24"/>
        </w:rPr>
      </w:pPr>
    </w:p>
    <w:p w14:paraId="58384F86" w14:textId="77777777" w:rsidR="001B0AF4" w:rsidRPr="00636830" w:rsidRDefault="001B0AF4" w:rsidP="007A60F3">
      <w:pPr>
        <w:widowControl w:val="0"/>
        <w:ind w:left="1080"/>
        <w:jc w:val="left"/>
        <w:rPr>
          <w:color w:val="FF0000"/>
          <w:szCs w:val="24"/>
        </w:rPr>
      </w:pPr>
      <w:r w:rsidRPr="001B0AF4">
        <w:rPr>
          <w:color w:val="FF0000"/>
          <w:szCs w:val="24"/>
        </w:rPr>
        <w:t>For Minor Sources for one or more pollutants emitted by this project:</w:t>
      </w:r>
    </w:p>
    <w:p w14:paraId="4328AC91" w14:textId="77777777" w:rsidR="001B0AF4" w:rsidRDefault="001B0AF4" w:rsidP="007A60F3">
      <w:pPr>
        <w:widowControl w:val="0"/>
        <w:ind w:left="1080"/>
        <w:rPr>
          <w:rFonts w:cs="Arial"/>
        </w:rPr>
      </w:pPr>
    </w:p>
    <w:p w14:paraId="39295BEF" w14:textId="5094ED21" w:rsidR="00AF4FFB" w:rsidRDefault="00AF4FFB" w:rsidP="007A60F3">
      <w:pPr>
        <w:widowControl w:val="0"/>
        <w:ind w:left="1080"/>
        <w:rPr>
          <w:szCs w:val="24"/>
        </w:rPr>
      </w:pPr>
      <w:r w:rsidRPr="00017663">
        <w:rPr>
          <w:rFonts w:cs="Arial"/>
        </w:rPr>
        <w:t xml:space="preserve">As shown in Section VII.C.5 above, the facility is </w:t>
      </w:r>
      <w:r>
        <w:rPr>
          <w:rFonts w:cs="Arial"/>
        </w:rPr>
        <w:t xml:space="preserve">not </w:t>
      </w:r>
      <w:r w:rsidRPr="00017663">
        <w:rPr>
          <w:rFonts w:cs="Arial"/>
        </w:rPr>
        <w:t>a Major Source</w:t>
      </w:r>
      <w:r>
        <w:rPr>
          <w:rFonts w:cs="Arial"/>
        </w:rPr>
        <w:t xml:space="preserve"> </w:t>
      </w:r>
      <w:r w:rsidRPr="00717DBA">
        <w:rPr>
          <w:rFonts w:cs="Arial"/>
        </w:rPr>
        <w:t xml:space="preserve">for </w:t>
      </w:r>
      <w:r w:rsidR="001B0AF4" w:rsidRPr="001B0AF4">
        <w:rPr>
          <w:color w:val="0000FF"/>
        </w:rPr>
        <w:t>NOx and VOC</w:t>
      </w:r>
      <w:r w:rsidRPr="00CE0457">
        <w:rPr>
          <w:szCs w:val="24"/>
        </w:rPr>
        <w:t xml:space="preserve">.  </w:t>
      </w:r>
      <w:r>
        <w:rPr>
          <w:color w:val="000000"/>
        </w:rPr>
        <w:t>The following table compares the SSPE1 with the SSPE2 in order to determine if 80% of any major source thresholds</w:t>
      </w:r>
      <w:r w:rsidR="00216E6C">
        <w:rPr>
          <w:color w:val="000000"/>
        </w:rPr>
        <w:t xml:space="preserve"> for </w:t>
      </w:r>
      <w:r w:rsidR="00216E6C" w:rsidRPr="00216E6C">
        <w:rPr>
          <w:color w:val="0000FF"/>
        </w:rPr>
        <w:t>NOx and VOC</w:t>
      </w:r>
      <w:r>
        <w:rPr>
          <w:color w:val="000000"/>
        </w:rPr>
        <w:t xml:space="preserve"> have been surpassed with this project</w:t>
      </w:r>
      <w:r>
        <w:rPr>
          <w:szCs w:val="24"/>
        </w:rPr>
        <w:t>.</w:t>
      </w:r>
      <w:r w:rsidR="00B75FA5">
        <w:rPr>
          <w:szCs w:val="24"/>
        </w:rPr>
        <w:t xml:space="preserve">  Pursuant to Section </w:t>
      </w:r>
      <w:r w:rsidR="00CA5F7B">
        <w:rPr>
          <w:szCs w:val="24"/>
        </w:rPr>
        <w:t xml:space="preserve">5.4.6 of District Rule 2201, the increase in stationary source potential to emit should be consistent with Sections 3.28.1, 3.28.2, and 3.28.3 of Rule 2201.  Section 3.28.1 omits fugitive emissions </w:t>
      </w:r>
      <w:r w:rsidR="002F2318">
        <w:rPr>
          <w:szCs w:val="24"/>
        </w:rPr>
        <w:t>from the SSPE unless the source is included in one of t</w:t>
      </w:r>
      <w:r w:rsidR="008A4C94">
        <w:rPr>
          <w:szCs w:val="24"/>
        </w:rPr>
        <w:t xml:space="preserve">he source categories listed in 40 CFR 51.165(a)(1)(iv)(C).  Section 3.28.2 omits ERCs which have been banked since September 19,1991 </w:t>
      </w:r>
      <w:r w:rsidR="00A85664">
        <w:rPr>
          <w:szCs w:val="24"/>
        </w:rPr>
        <w:t>for actual emission reductions that have occurred at the source, but have not been used on-site.  Finally Section 3.28.3 omits emissions resulting directly from nonroad engines as defined in Section 216 of Part A of the Clean Air Act.</w:t>
      </w:r>
    </w:p>
    <w:p w14:paraId="2D66B588" w14:textId="584EF87F" w:rsidR="00A85664" w:rsidRDefault="00A85664" w:rsidP="007A60F3">
      <w:pPr>
        <w:widowControl w:val="0"/>
        <w:ind w:left="1080"/>
        <w:rPr>
          <w:szCs w:val="24"/>
        </w:rPr>
      </w:pPr>
    </w:p>
    <w:p w14:paraId="68A01506" w14:textId="3904C3BB" w:rsidR="00A85664" w:rsidRPr="008164AB" w:rsidRDefault="0082511D" w:rsidP="007A60F3">
      <w:pPr>
        <w:widowControl w:val="0"/>
        <w:ind w:left="1080"/>
        <w:rPr>
          <w:color w:val="FF0000"/>
          <w:szCs w:val="24"/>
        </w:rPr>
      </w:pPr>
      <w:r>
        <w:rPr>
          <w:color w:val="FF0000"/>
          <w:szCs w:val="24"/>
        </w:rPr>
        <w:t>{Make any adjustments to the SSPE</w:t>
      </w:r>
      <w:r w:rsidR="00F11E88">
        <w:rPr>
          <w:color w:val="FF0000"/>
          <w:szCs w:val="24"/>
        </w:rPr>
        <w:t>1 and SSPE2</w:t>
      </w:r>
      <w:r>
        <w:rPr>
          <w:color w:val="FF0000"/>
          <w:szCs w:val="24"/>
        </w:rPr>
        <w:t xml:space="preserve"> as necessary for Sections 3.28.1, 3.28.2, and 3.28.3, and explain the adjustments below</w:t>
      </w:r>
      <w:r w:rsidR="00975ABA">
        <w:rPr>
          <w:color w:val="FF0000"/>
          <w:szCs w:val="24"/>
        </w:rPr>
        <w:t>.  The values should be identical to the values we had in our Rule 2201 Major Source Determination table shown earlier</w:t>
      </w:r>
      <w:r>
        <w:rPr>
          <w:color w:val="FF0000"/>
          <w:szCs w:val="24"/>
        </w:rPr>
        <w:t>}</w:t>
      </w:r>
    </w:p>
    <w:p w14:paraId="10594CA7" w14:textId="77777777" w:rsidR="00F709B9" w:rsidRDefault="00F709B9" w:rsidP="007A60F3">
      <w:pPr>
        <w:widowControl w:val="0"/>
        <w:ind w:left="1080"/>
        <w:rPr>
          <w:szCs w:val="24"/>
        </w:rPr>
      </w:pPr>
    </w:p>
    <w:tbl>
      <w:tblPr>
        <w:tblW w:w="8820"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080"/>
        <w:gridCol w:w="1170"/>
        <w:gridCol w:w="1170"/>
        <w:gridCol w:w="1080"/>
        <w:gridCol w:w="1080"/>
      </w:tblGrid>
      <w:tr w:rsidR="004C6D42" w:rsidRPr="00993B55" w14:paraId="2302E434" w14:textId="77777777" w:rsidTr="00F709B9">
        <w:trPr>
          <w:cantSplit/>
          <w:trHeight w:val="591"/>
        </w:trPr>
        <w:tc>
          <w:tcPr>
            <w:tcW w:w="8820" w:type="dxa"/>
            <w:gridSpan w:val="6"/>
            <w:shd w:val="clear" w:color="auto" w:fill="D9D9D9" w:themeFill="background1" w:themeFillShade="D9"/>
            <w:vAlign w:val="center"/>
          </w:tcPr>
          <w:p w14:paraId="43FEDA20" w14:textId="09ACAED5" w:rsidR="004C6D42" w:rsidRPr="00993B55" w:rsidRDefault="004C6D42" w:rsidP="00382387">
            <w:pPr>
              <w:keepNext/>
              <w:widowControl w:val="0"/>
              <w:jc w:val="center"/>
              <w:rPr>
                <w:b/>
                <w:sz w:val="22"/>
                <w:szCs w:val="22"/>
              </w:rPr>
            </w:pPr>
            <w:r>
              <w:rPr>
                <w:rFonts w:cs="Arial"/>
                <w:b/>
                <w:bCs/>
                <w:sz w:val="22"/>
                <w:szCs w:val="22"/>
              </w:rPr>
              <w:lastRenderedPageBreak/>
              <w:t>80% of Major Source</w:t>
            </w:r>
            <w:r w:rsidRPr="00993B55">
              <w:rPr>
                <w:b/>
                <w:bCs/>
                <w:sz w:val="22"/>
                <w:szCs w:val="22"/>
              </w:rPr>
              <w:t xml:space="preserve"> Thresholds</w:t>
            </w:r>
            <w:r w:rsidR="00F709B9">
              <w:rPr>
                <w:b/>
                <w:bCs/>
                <w:sz w:val="22"/>
                <w:szCs w:val="22"/>
              </w:rPr>
              <w:t xml:space="preserve"> </w:t>
            </w:r>
            <w:r w:rsidRPr="00993B55">
              <w:rPr>
                <w:b/>
                <w:sz w:val="22"/>
                <w:szCs w:val="22"/>
              </w:rPr>
              <w:t>(lb/year)</w:t>
            </w:r>
          </w:p>
        </w:tc>
      </w:tr>
      <w:tr w:rsidR="004C6D42" w:rsidRPr="00993B55" w14:paraId="3C926818" w14:textId="77777777" w:rsidTr="00F709B9">
        <w:trPr>
          <w:trHeight w:val="438"/>
        </w:trPr>
        <w:tc>
          <w:tcPr>
            <w:tcW w:w="3240" w:type="dxa"/>
            <w:shd w:val="clear" w:color="auto" w:fill="D9D9D9" w:themeFill="background1" w:themeFillShade="D9"/>
            <w:vAlign w:val="center"/>
          </w:tcPr>
          <w:p w14:paraId="40F96BEB" w14:textId="77777777" w:rsidR="004C6D42" w:rsidRPr="00993B55" w:rsidRDefault="004C6D42" w:rsidP="00382387">
            <w:pPr>
              <w:keepNext/>
              <w:widowControl w:val="0"/>
              <w:jc w:val="center"/>
              <w:rPr>
                <w:sz w:val="22"/>
                <w:szCs w:val="22"/>
              </w:rPr>
            </w:pPr>
          </w:p>
        </w:tc>
        <w:tc>
          <w:tcPr>
            <w:tcW w:w="1080" w:type="dxa"/>
            <w:shd w:val="clear" w:color="auto" w:fill="D9D9D9" w:themeFill="background1" w:themeFillShade="D9"/>
            <w:vAlign w:val="center"/>
          </w:tcPr>
          <w:p w14:paraId="3BADE5B9" w14:textId="77777777" w:rsidR="004C6D42" w:rsidRPr="00993B55" w:rsidRDefault="004C6D42" w:rsidP="00382387">
            <w:pPr>
              <w:keepNext/>
              <w:widowControl w:val="0"/>
              <w:jc w:val="center"/>
              <w:rPr>
                <w:b/>
                <w:sz w:val="22"/>
                <w:szCs w:val="22"/>
              </w:rPr>
            </w:pPr>
            <w:r w:rsidRPr="00993B55">
              <w:rPr>
                <w:b/>
                <w:sz w:val="22"/>
                <w:szCs w:val="22"/>
              </w:rPr>
              <w:t>NO</w:t>
            </w:r>
            <w:r>
              <w:rPr>
                <w:b/>
                <w:sz w:val="22"/>
                <w:szCs w:val="22"/>
              </w:rPr>
              <w:t>x</w:t>
            </w:r>
          </w:p>
        </w:tc>
        <w:tc>
          <w:tcPr>
            <w:tcW w:w="1170" w:type="dxa"/>
            <w:shd w:val="clear" w:color="auto" w:fill="D9D9D9" w:themeFill="background1" w:themeFillShade="D9"/>
            <w:vAlign w:val="center"/>
          </w:tcPr>
          <w:p w14:paraId="1952AB66" w14:textId="77777777" w:rsidR="004C6D42" w:rsidRPr="00993B55" w:rsidRDefault="004C6D42" w:rsidP="00382387">
            <w:pPr>
              <w:keepNext/>
              <w:widowControl w:val="0"/>
              <w:jc w:val="center"/>
              <w:rPr>
                <w:b/>
                <w:sz w:val="22"/>
                <w:szCs w:val="22"/>
              </w:rPr>
            </w:pPr>
            <w:r w:rsidRPr="00993B55">
              <w:rPr>
                <w:b/>
                <w:sz w:val="22"/>
                <w:szCs w:val="22"/>
              </w:rPr>
              <w:t>SO</w:t>
            </w:r>
            <w:r>
              <w:rPr>
                <w:b/>
                <w:sz w:val="22"/>
                <w:szCs w:val="22"/>
              </w:rPr>
              <w:t>x</w:t>
            </w:r>
          </w:p>
        </w:tc>
        <w:tc>
          <w:tcPr>
            <w:tcW w:w="1170" w:type="dxa"/>
            <w:shd w:val="clear" w:color="auto" w:fill="D9D9D9" w:themeFill="background1" w:themeFillShade="D9"/>
            <w:vAlign w:val="center"/>
          </w:tcPr>
          <w:p w14:paraId="13861C95" w14:textId="77777777" w:rsidR="004C6D42" w:rsidRPr="00993B55" w:rsidRDefault="004C6D42" w:rsidP="00382387">
            <w:pPr>
              <w:keepNext/>
              <w:widowControl w:val="0"/>
              <w:jc w:val="center"/>
              <w:rPr>
                <w:b/>
                <w:sz w:val="22"/>
                <w:szCs w:val="22"/>
              </w:rPr>
            </w:pPr>
            <w:r w:rsidRPr="00993B55">
              <w:rPr>
                <w:b/>
                <w:sz w:val="22"/>
                <w:szCs w:val="22"/>
              </w:rPr>
              <w:t>PM</w:t>
            </w:r>
            <w:r>
              <w:rPr>
                <w:b/>
                <w:sz w:val="22"/>
                <w:szCs w:val="22"/>
              </w:rPr>
              <w:t>10</w:t>
            </w:r>
          </w:p>
        </w:tc>
        <w:tc>
          <w:tcPr>
            <w:tcW w:w="1080" w:type="dxa"/>
            <w:shd w:val="clear" w:color="auto" w:fill="D9D9D9" w:themeFill="background1" w:themeFillShade="D9"/>
            <w:vAlign w:val="center"/>
          </w:tcPr>
          <w:p w14:paraId="1B034045" w14:textId="77777777" w:rsidR="004C6D42" w:rsidRPr="00993B55" w:rsidRDefault="004C6D42" w:rsidP="00382387">
            <w:pPr>
              <w:keepNext/>
              <w:widowControl w:val="0"/>
              <w:jc w:val="center"/>
              <w:rPr>
                <w:b/>
                <w:sz w:val="22"/>
                <w:szCs w:val="22"/>
              </w:rPr>
            </w:pPr>
            <w:r w:rsidRPr="00993B55">
              <w:rPr>
                <w:b/>
                <w:sz w:val="22"/>
                <w:szCs w:val="22"/>
              </w:rPr>
              <w:t>CO</w:t>
            </w:r>
          </w:p>
        </w:tc>
        <w:tc>
          <w:tcPr>
            <w:tcW w:w="1080" w:type="dxa"/>
            <w:shd w:val="clear" w:color="auto" w:fill="D9D9D9" w:themeFill="background1" w:themeFillShade="D9"/>
            <w:vAlign w:val="center"/>
          </w:tcPr>
          <w:p w14:paraId="66C55D1F" w14:textId="77777777" w:rsidR="004C6D42" w:rsidRPr="00993B55" w:rsidRDefault="004C6D42" w:rsidP="00382387">
            <w:pPr>
              <w:keepNext/>
              <w:widowControl w:val="0"/>
              <w:jc w:val="center"/>
              <w:rPr>
                <w:b/>
                <w:sz w:val="22"/>
                <w:szCs w:val="22"/>
              </w:rPr>
            </w:pPr>
            <w:r w:rsidRPr="00993B55">
              <w:rPr>
                <w:b/>
                <w:sz w:val="22"/>
                <w:szCs w:val="22"/>
              </w:rPr>
              <w:t>VOC</w:t>
            </w:r>
          </w:p>
        </w:tc>
      </w:tr>
      <w:tr w:rsidR="00907935" w:rsidRPr="00993B55" w14:paraId="3CE53F5B" w14:textId="77777777" w:rsidTr="00F709B9">
        <w:trPr>
          <w:trHeight w:val="393"/>
        </w:trPr>
        <w:tc>
          <w:tcPr>
            <w:tcW w:w="3240" w:type="dxa"/>
            <w:shd w:val="clear" w:color="auto" w:fill="auto"/>
            <w:vAlign w:val="center"/>
          </w:tcPr>
          <w:p w14:paraId="57B047E5" w14:textId="59A48AF9" w:rsidR="00907935" w:rsidRPr="00993B55" w:rsidRDefault="00907935" w:rsidP="00382387">
            <w:pPr>
              <w:keepNext/>
              <w:widowControl w:val="0"/>
              <w:jc w:val="center"/>
              <w:rPr>
                <w:sz w:val="22"/>
                <w:szCs w:val="22"/>
              </w:rPr>
            </w:pPr>
            <w:r w:rsidRPr="00993B55">
              <w:rPr>
                <w:snapToGrid w:val="0"/>
                <w:color w:val="000000"/>
                <w:sz w:val="22"/>
                <w:szCs w:val="22"/>
              </w:rPr>
              <w:t>SSPE1</w:t>
            </w:r>
            <w:r>
              <w:rPr>
                <w:snapToGrid w:val="0"/>
                <w:color w:val="000000"/>
                <w:sz w:val="22"/>
                <w:szCs w:val="22"/>
              </w:rPr>
              <w:t xml:space="preserve"> </w:t>
            </w:r>
          </w:p>
        </w:tc>
        <w:tc>
          <w:tcPr>
            <w:tcW w:w="1080" w:type="dxa"/>
            <w:shd w:val="clear" w:color="auto" w:fill="auto"/>
            <w:vAlign w:val="center"/>
          </w:tcPr>
          <w:p w14:paraId="20C2FA9A" w14:textId="54244149" w:rsidR="00907935" w:rsidRPr="00993B55" w:rsidRDefault="00907935" w:rsidP="00382387">
            <w:pPr>
              <w:keepNext/>
              <w:widowControl w:val="0"/>
              <w:jc w:val="center"/>
              <w:rPr>
                <w:sz w:val="22"/>
                <w:szCs w:val="22"/>
              </w:rPr>
            </w:pPr>
            <w:r w:rsidRPr="006D177B">
              <w:rPr>
                <w:color w:val="0000FF"/>
                <w:sz w:val="22"/>
                <w:szCs w:val="22"/>
              </w:rPr>
              <w:t>X,XXX</w:t>
            </w:r>
          </w:p>
        </w:tc>
        <w:tc>
          <w:tcPr>
            <w:tcW w:w="1170" w:type="dxa"/>
            <w:shd w:val="clear" w:color="auto" w:fill="auto"/>
            <w:vAlign w:val="center"/>
          </w:tcPr>
          <w:p w14:paraId="7314BAB0" w14:textId="0DE95FDE" w:rsidR="00907935" w:rsidRPr="00993B55" w:rsidRDefault="00907935" w:rsidP="00382387">
            <w:pPr>
              <w:keepNext/>
              <w:widowControl w:val="0"/>
              <w:jc w:val="center"/>
              <w:rPr>
                <w:sz w:val="22"/>
                <w:szCs w:val="22"/>
              </w:rPr>
            </w:pPr>
            <w:r w:rsidRPr="006D177B">
              <w:rPr>
                <w:color w:val="0000FF"/>
                <w:sz w:val="22"/>
                <w:szCs w:val="22"/>
              </w:rPr>
              <w:t>X,XXX</w:t>
            </w:r>
          </w:p>
        </w:tc>
        <w:tc>
          <w:tcPr>
            <w:tcW w:w="1170" w:type="dxa"/>
            <w:shd w:val="clear" w:color="auto" w:fill="auto"/>
            <w:vAlign w:val="center"/>
          </w:tcPr>
          <w:p w14:paraId="7D4ADC7B" w14:textId="4D0F9307" w:rsidR="00907935" w:rsidRPr="00993B55" w:rsidRDefault="00907935" w:rsidP="00382387">
            <w:pPr>
              <w:keepNext/>
              <w:widowControl w:val="0"/>
              <w:jc w:val="center"/>
              <w:rPr>
                <w:sz w:val="22"/>
                <w:szCs w:val="22"/>
              </w:rPr>
            </w:pPr>
            <w:r w:rsidRPr="006D177B">
              <w:rPr>
                <w:color w:val="0000FF"/>
                <w:sz w:val="22"/>
                <w:szCs w:val="22"/>
              </w:rPr>
              <w:t>X,XXX</w:t>
            </w:r>
          </w:p>
        </w:tc>
        <w:tc>
          <w:tcPr>
            <w:tcW w:w="1080" w:type="dxa"/>
            <w:shd w:val="clear" w:color="auto" w:fill="auto"/>
            <w:vAlign w:val="center"/>
          </w:tcPr>
          <w:p w14:paraId="3BF96647" w14:textId="6988430A" w:rsidR="00907935" w:rsidRPr="00993B55" w:rsidRDefault="00907935" w:rsidP="00382387">
            <w:pPr>
              <w:keepNext/>
              <w:widowControl w:val="0"/>
              <w:jc w:val="center"/>
              <w:rPr>
                <w:sz w:val="22"/>
                <w:szCs w:val="22"/>
              </w:rPr>
            </w:pPr>
            <w:r w:rsidRPr="006D177B">
              <w:rPr>
                <w:color w:val="0000FF"/>
                <w:sz w:val="22"/>
                <w:szCs w:val="22"/>
              </w:rPr>
              <w:t>X,XXX</w:t>
            </w:r>
          </w:p>
        </w:tc>
        <w:tc>
          <w:tcPr>
            <w:tcW w:w="1080" w:type="dxa"/>
            <w:shd w:val="clear" w:color="auto" w:fill="auto"/>
            <w:vAlign w:val="center"/>
          </w:tcPr>
          <w:p w14:paraId="69D5748D" w14:textId="2B80CC1F" w:rsidR="00907935" w:rsidRPr="00993B55" w:rsidRDefault="00907935" w:rsidP="00382387">
            <w:pPr>
              <w:keepNext/>
              <w:widowControl w:val="0"/>
              <w:jc w:val="center"/>
              <w:rPr>
                <w:sz w:val="22"/>
                <w:szCs w:val="22"/>
              </w:rPr>
            </w:pPr>
            <w:r w:rsidRPr="006D177B">
              <w:rPr>
                <w:color w:val="0000FF"/>
                <w:sz w:val="22"/>
                <w:szCs w:val="22"/>
              </w:rPr>
              <w:t>X,XXX</w:t>
            </w:r>
          </w:p>
        </w:tc>
      </w:tr>
      <w:tr w:rsidR="00907935" w:rsidRPr="00993B55" w14:paraId="764885AB" w14:textId="77777777" w:rsidTr="00F709B9">
        <w:trPr>
          <w:trHeight w:val="359"/>
        </w:trPr>
        <w:tc>
          <w:tcPr>
            <w:tcW w:w="3240" w:type="dxa"/>
            <w:shd w:val="clear" w:color="auto" w:fill="auto"/>
            <w:vAlign w:val="center"/>
          </w:tcPr>
          <w:p w14:paraId="41BC62BF" w14:textId="07B05DE3" w:rsidR="00907935" w:rsidRPr="00993B55" w:rsidRDefault="00907935" w:rsidP="00382387">
            <w:pPr>
              <w:keepNext/>
              <w:widowControl w:val="0"/>
              <w:jc w:val="center"/>
              <w:rPr>
                <w:snapToGrid w:val="0"/>
                <w:color w:val="000000"/>
                <w:sz w:val="22"/>
                <w:szCs w:val="22"/>
              </w:rPr>
            </w:pPr>
            <w:r w:rsidRPr="00993B55">
              <w:rPr>
                <w:snapToGrid w:val="0"/>
                <w:color w:val="000000"/>
                <w:sz w:val="22"/>
                <w:szCs w:val="22"/>
              </w:rPr>
              <w:t>SSPE2</w:t>
            </w:r>
            <w:r>
              <w:rPr>
                <w:snapToGrid w:val="0"/>
                <w:color w:val="000000"/>
                <w:sz w:val="22"/>
                <w:szCs w:val="22"/>
              </w:rPr>
              <w:t xml:space="preserve"> </w:t>
            </w:r>
          </w:p>
        </w:tc>
        <w:tc>
          <w:tcPr>
            <w:tcW w:w="1080" w:type="dxa"/>
            <w:shd w:val="clear" w:color="auto" w:fill="auto"/>
            <w:vAlign w:val="center"/>
          </w:tcPr>
          <w:p w14:paraId="7325074F" w14:textId="2BBF815F" w:rsidR="00907935" w:rsidRPr="00993B55" w:rsidRDefault="00907935" w:rsidP="00382387">
            <w:pPr>
              <w:keepNext/>
              <w:widowControl w:val="0"/>
              <w:jc w:val="center"/>
              <w:rPr>
                <w:sz w:val="22"/>
                <w:szCs w:val="22"/>
              </w:rPr>
            </w:pPr>
            <w:r w:rsidRPr="006D177B">
              <w:rPr>
                <w:color w:val="0000FF"/>
                <w:sz w:val="22"/>
                <w:szCs w:val="22"/>
              </w:rPr>
              <w:t>X,XXX</w:t>
            </w:r>
          </w:p>
        </w:tc>
        <w:tc>
          <w:tcPr>
            <w:tcW w:w="1170" w:type="dxa"/>
            <w:shd w:val="clear" w:color="auto" w:fill="auto"/>
            <w:vAlign w:val="center"/>
          </w:tcPr>
          <w:p w14:paraId="6E965E4D" w14:textId="6CD2F6F2" w:rsidR="00907935" w:rsidRPr="00993B55" w:rsidRDefault="00907935" w:rsidP="00382387">
            <w:pPr>
              <w:keepNext/>
              <w:widowControl w:val="0"/>
              <w:jc w:val="center"/>
              <w:rPr>
                <w:sz w:val="22"/>
                <w:szCs w:val="22"/>
              </w:rPr>
            </w:pPr>
            <w:r w:rsidRPr="006D177B">
              <w:rPr>
                <w:color w:val="0000FF"/>
                <w:sz w:val="22"/>
                <w:szCs w:val="22"/>
              </w:rPr>
              <w:t>X,XXX</w:t>
            </w:r>
          </w:p>
        </w:tc>
        <w:tc>
          <w:tcPr>
            <w:tcW w:w="1170" w:type="dxa"/>
            <w:shd w:val="clear" w:color="auto" w:fill="auto"/>
            <w:vAlign w:val="center"/>
          </w:tcPr>
          <w:p w14:paraId="19ACB2E0" w14:textId="74588F28" w:rsidR="00907935" w:rsidRPr="00993B55" w:rsidRDefault="00907935" w:rsidP="00382387">
            <w:pPr>
              <w:keepNext/>
              <w:widowControl w:val="0"/>
              <w:jc w:val="center"/>
              <w:rPr>
                <w:sz w:val="22"/>
                <w:szCs w:val="22"/>
              </w:rPr>
            </w:pPr>
            <w:r w:rsidRPr="006D177B">
              <w:rPr>
                <w:color w:val="0000FF"/>
                <w:sz w:val="22"/>
                <w:szCs w:val="22"/>
              </w:rPr>
              <w:t>X,XXX</w:t>
            </w:r>
          </w:p>
        </w:tc>
        <w:tc>
          <w:tcPr>
            <w:tcW w:w="1080" w:type="dxa"/>
            <w:shd w:val="clear" w:color="auto" w:fill="auto"/>
            <w:vAlign w:val="center"/>
          </w:tcPr>
          <w:p w14:paraId="1156FB71" w14:textId="0478EB72" w:rsidR="00907935" w:rsidRPr="00993B55" w:rsidRDefault="00907935" w:rsidP="00382387">
            <w:pPr>
              <w:keepNext/>
              <w:widowControl w:val="0"/>
              <w:jc w:val="center"/>
              <w:rPr>
                <w:sz w:val="22"/>
                <w:szCs w:val="22"/>
              </w:rPr>
            </w:pPr>
            <w:r w:rsidRPr="006D177B">
              <w:rPr>
                <w:color w:val="0000FF"/>
                <w:sz w:val="22"/>
                <w:szCs w:val="22"/>
              </w:rPr>
              <w:t>X,XXX</w:t>
            </w:r>
          </w:p>
        </w:tc>
        <w:tc>
          <w:tcPr>
            <w:tcW w:w="1080" w:type="dxa"/>
            <w:shd w:val="clear" w:color="auto" w:fill="auto"/>
            <w:vAlign w:val="center"/>
          </w:tcPr>
          <w:p w14:paraId="50F8DD24" w14:textId="2DED15E9" w:rsidR="00907935" w:rsidRPr="00993B55" w:rsidRDefault="00907935" w:rsidP="00382387">
            <w:pPr>
              <w:keepNext/>
              <w:widowControl w:val="0"/>
              <w:jc w:val="center"/>
              <w:rPr>
                <w:sz w:val="22"/>
                <w:szCs w:val="22"/>
              </w:rPr>
            </w:pPr>
            <w:r w:rsidRPr="006D177B">
              <w:rPr>
                <w:color w:val="0000FF"/>
                <w:sz w:val="22"/>
                <w:szCs w:val="22"/>
              </w:rPr>
              <w:t>X,XXX</w:t>
            </w:r>
          </w:p>
        </w:tc>
      </w:tr>
      <w:tr w:rsidR="004C6D42" w:rsidRPr="00993B55" w14:paraId="7075BA9D" w14:textId="77777777" w:rsidTr="00F709B9">
        <w:trPr>
          <w:trHeight w:val="449"/>
        </w:trPr>
        <w:tc>
          <w:tcPr>
            <w:tcW w:w="3240" w:type="dxa"/>
            <w:shd w:val="clear" w:color="auto" w:fill="auto"/>
            <w:vAlign w:val="center"/>
          </w:tcPr>
          <w:p w14:paraId="6272E97C" w14:textId="023B34B0" w:rsidR="004C6D42" w:rsidRPr="00993B55" w:rsidRDefault="004C6D42" w:rsidP="00382387">
            <w:pPr>
              <w:keepNext/>
              <w:widowControl w:val="0"/>
              <w:jc w:val="center"/>
              <w:rPr>
                <w:sz w:val="22"/>
                <w:szCs w:val="22"/>
              </w:rPr>
            </w:pPr>
            <w:r>
              <w:rPr>
                <w:sz w:val="22"/>
                <w:szCs w:val="22"/>
              </w:rPr>
              <w:t>80% of Major Source Threshold</w:t>
            </w:r>
          </w:p>
        </w:tc>
        <w:tc>
          <w:tcPr>
            <w:tcW w:w="1080" w:type="dxa"/>
            <w:shd w:val="clear" w:color="auto" w:fill="auto"/>
            <w:vAlign w:val="center"/>
          </w:tcPr>
          <w:p w14:paraId="6D741B87" w14:textId="2D22DF6C" w:rsidR="004C6D42" w:rsidRPr="00993B55" w:rsidRDefault="004C6D42" w:rsidP="00382387">
            <w:pPr>
              <w:keepNext/>
              <w:widowControl w:val="0"/>
              <w:jc w:val="center"/>
              <w:rPr>
                <w:sz w:val="22"/>
                <w:szCs w:val="22"/>
              </w:rPr>
            </w:pPr>
            <w:r>
              <w:rPr>
                <w:sz w:val="22"/>
                <w:szCs w:val="22"/>
              </w:rPr>
              <w:t>16,000</w:t>
            </w:r>
          </w:p>
        </w:tc>
        <w:tc>
          <w:tcPr>
            <w:tcW w:w="1170" w:type="dxa"/>
            <w:shd w:val="clear" w:color="auto" w:fill="auto"/>
            <w:vAlign w:val="center"/>
          </w:tcPr>
          <w:p w14:paraId="1A50EFF3" w14:textId="2339F5F9" w:rsidR="004C6D42" w:rsidRPr="00993B55" w:rsidRDefault="004C6D42" w:rsidP="00382387">
            <w:pPr>
              <w:keepNext/>
              <w:widowControl w:val="0"/>
              <w:jc w:val="center"/>
              <w:rPr>
                <w:sz w:val="22"/>
                <w:szCs w:val="22"/>
              </w:rPr>
            </w:pPr>
            <w:r>
              <w:rPr>
                <w:sz w:val="22"/>
                <w:szCs w:val="22"/>
              </w:rPr>
              <w:t>112,000</w:t>
            </w:r>
          </w:p>
        </w:tc>
        <w:tc>
          <w:tcPr>
            <w:tcW w:w="1170" w:type="dxa"/>
            <w:shd w:val="clear" w:color="auto" w:fill="auto"/>
            <w:vAlign w:val="center"/>
          </w:tcPr>
          <w:p w14:paraId="2E11F1F4" w14:textId="592BB2D1" w:rsidR="004C6D42" w:rsidRPr="00993B55" w:rsidRDefault="004C6D42" w:rsidP="00382387">
            <w:pPr>
              <w:keepNext/>
              <w:widowControl w:val="0"/>
              <w:jc w:val="center"/>
              <w:rPr>
                <w:sz w:val="22"/>
                <w:szCs w:val="22"/>
              </w:rPr>
            </w:pPr>
            <w:r>
              <w:rPr>
                <w:sz w:val="22"/>
                <w:szCs w:val="22"/>
              </w:rPr>
              <w:t>112,000</w:t>
            </w:r>
          </w:p>
        </w:tc>
        <w:tc>
          <w:tcPr>
            <w:tcW w:w="1080" w:type="dxa"/>
            <w:shd w:val="clear" w:color="auto" w:fill="auto"/>
            <w:vAlign w:val="center"/>
          </w:tcPr>
          <w:p w14:paraId="017BEBB8" w14:textId="7178512A" w:rsidR="004C6D42" w:rsidRPr="00993B55" w:rsidRDefault="004C6D42" w:rsidP="00382387">
            <w:pPr>
              <w:keepNext/>
              <w:widowControl w:val="0"/>
              <w:jc w:val="center"/>
              <w:rPr>
                <w:sz w:val="22"/>
                <w:szCs w:val="22"/>
              </w:rPr>
            </w:pPr>
            <w:r>
              <w:rPr>
                <w:sz w:val="22"/>
                <w:szCs w:val="22"/>
              </w:rPr>
              <w:t>160,000</w:t>
            </w:r>
          </w:p>
        </w:tc>
        <w:tc>
          <w:tcPr>
            <w:tcW w:w="1080" w:type="dxa"/>
            <w:shd w:val="clear" w:color="auto" w:fill="auto"/>
            <w:vAlign w:val="center"/>
          </w:tcPr>
          <w:p w14:paraId="0A0EAFAA" w14:textId="2E5FD7D2" w:rsidR="004C6D42" w:rsidRPr="00993B55" w:rsidRDefault="004C6D42" w:rsidP="00382387">
            <w:pPr>
              <w:keepNext/>
              <w:widowControl w:val="0"/>
              <w:jc w:val="center"/>
              <w:rPr>
                <w:sz w:val="22"/>
                <w:szCs w:val="22"/>
              </w:rPr>
            </w:pPr>
            <w:r>
              <w:rPr>
                <w:sz w:val="22"/>
                <w:szCs w:val="22"/>
              </w:rPr>
              <w:t>16,000</w:t>
            </w:r>
          </w:p>
        </w:tc>
      </w:tr>
      <w:tr w:rsidR="004C6D42" w:rsidRPr="00993B55" w14:paraId="430C1450" w14:textId="77777777" w:rsidTr="00F709B9">
        <w:trPr>
          <w:trHeight w:val="504"/>
        </w:trPr>
        <w:tc>
          <w:tcPr>
            <w:tcW w:w="3240" w:type="dxa"/>
            <w:shd w:val="clear" w:color="auto" w:fill="D9D9D9" w:themeFill="background1" w:themeFillShade="D9"/>
            <w:vAlign w:val="center"/>
          </w:tcPr>
          <w:p w14:paraId="6F8504AB" w14:textId="77777777" w:rsidR="004C6D42" w:rsidRPr="00F709B9" w:rsidRDefault="004C6D42" w:rsidP="00382387">
            <w:pPr>
              <w:keepNext/>
              <w:widowControl w:val="0"/>
              <w:jc w:val="center"/>
              <w:rPr>
                <w:b/>
                <w:bCs/>
                <w:sz w:val="22"/>
                <w:szCs w:val="22"/>
              </w:rPr>
            </w:pPr>
            <w:r w:rsidRPr="00F709B9">
              <w:rPr>
                <w:b/>
                <w:bCs/>
                <w:sz w:val="22"/>
                <w:szCs w:val="22"/>
              </w:rPr>
              <w:t>Public Notice Required?</w:t>
            </w:r>
          </w:p>
        </w:tc>
        <w:tc>
          <w:tcPr>
            <w:tcW w:w="1080" w:type="dxa"/>
            <w:shd w:val="clear" w:color="auto" w:fill="D9D9D9" w:themeFill="background1" w:themeFillShade="D9"/>
            <w:vAlign w:val="center"/>
          </w:tcPr>
          <w:p w14:paraId="5D10FE71" w14:textId="77777777" w:rsidR="004C6D42" w:rsidRPr="00F709B9" w:rsidRDefault="004C6D42" w:rsidP="00382387">
            <w:pPr>
              <w:keepNext/>
              <w:widowControl w:val="0"/>
              <w:jc w:val="center"/>
              <w:rPr>
                <w:b/>
                <w:bCs/>
                <w:color w:val="0000FF"/>
                <w:sz w:val="22"/>
                <w:szCs w:val="22"/>
              </w:rPr>
            </w:pPr>
            <w:r w:rsidRPr="00F709B9">
              <w:rPr>
                <w:rFonts w:cs="Arial"/>
                <w:b/>
                <w:bCs/>
                <w:color w:val="0000FF"/>
                <w:sz w:val="22"/>
                <w:szCs w:val="22"/>
              </w:rPr>
              <w:t>Yes/No</w:t>
            </w:r>
          </w:p>
        </w:tc>
        <w:tc>
          <w:tcPr>
            <w:tcW w:w="1170" w:type="dxa"/>
            <w:shd w:val="clear" w:color="auto" w:fill="D9D9D9" w:themeFill="background1" w:themeFillShade="D9"/>
            <w:vAlign w:val="center"/>
          </w:tcPr>
          <w:p w14:paraId="6FFE2BA9" w14:textId="77777777" w:rsidR="004C6D42" w:rsidRPr="00F709B9" w:rsidRDefault="004C6D42" w:rsidP="00382387">
            <w:pPr>
              <w:keepNext/>
              <w:widowControl w:val="0"/>
              <w:jc w:val="center"/>
              <w:rPr>
                <w:b/>
                <w:bCs/>
                <w:color w:val="0000FF"/>
                <w:sz w:val="22"/>
                <w:szCs w:val="22"/>
              </w:rPr>
            </w:pPr>
            <w:r w:rsidRPr="00F709B9">
              <w:rPr>
                <w:rFonts w:cs="Arial"/>
                <w:b/>
                <w:bCs/>
                <w:color w:val="0000FF"/>
                <w:sz w:val="22"/>
                <w:szCs w:val="22"/>
              </w:rPr>
              <w:t>Yes/No</w:t>
            </w:r>
          </w:p>
        </w:tc>
        <w:tc>
          <w:tcPr>
            <w:tcW w:w="1170" w:type="dxa"/>
            <w:shd w:val="clear" w:color="auto" w:fill="D9D9D9" w:themeFill="background1" w:themeFillShade="D9"/>
            <w:vAlign w:val="center"/>
          </w:tcPr>
          <w:p w14:paraId="04DDE0D8" w14:textId="77777777" w:rsidR="004C6D42" w:rsidRPr="00F709B9" w:rsidRDefault="004C6D42" w:rsidP="00382387">
            <w:pPr>
              <w:keepNext/>
              <w:widowControl w:val="0"/>
              <w:jc w:val="center"/>
              <w:rPr>
                <w:b/>
                <w:bCs/>
                <w:color w:val="0000FF"/>
                <w:sz w:val="22"/>
                <w:szCs w:val="22"/>
              </w:rPr>
            </w:pPr>
            <w:r w:rsidRPr="00F709B9">
              <w:rPr>
                <w:rFonts w:cs="Arial"/>
                <w:b/>
                <w:bCs/>
                <w:color w:val="0000FF"/>
                <w:sz w:val="22"/>
                <w:szCs w:val="22"/>
              </w:rPr>
              <w:t>Yes/No</w:t>
            </w:r>
          </w:p>
        </w:tc>
        <w:tc>
          <w:tcPr>
            <w:tcW w:w="1080" w:type="dxa"/>
            <w:shd w:val="clear" w:color="auto" w:fill="D9D9D9" w:themeFill="background1" w:themeFillShade="D9"/>
            <w:vAlign w:val="center"/>
          </w:tcPr>
          <w:p w14:paraId="4F07680E" w14:textId="77777777" w:rsidR="004C6D42" w:rsidRPr="00F709B9" w:rsidRDefault="004C6D42" w:rsidP="00382387">
            <w:pPr>
              <w:keepNext/>
              <w:widowControl w:val="0"/>
              <w:jc w:val="center"/>
              <w:rPr>
                <w:b/>
                <w:bCs/>
                <w:color w:val="0000FF"/>
                <w:sz w:val="22"/>
                <w:szCs w:val="22"/>
              </w:rPr>
            </w:pPr>
            <w:r w:rsidRPr="00F709B9">
              <w:rPr>
                <w:rFonts w:cs="Arial"/>
                <w:b/>
                <w:bCs/>
                <w:color w:val="0000FF"/>
                <w:sz w:val="22"/>
                <w:szCs w:val="22"/>
              </w:rPr>
              <w:t>Yes/No</w:t>
            </w:r>
          </w:p>
        </w:tc>
        <w:tc>
          <w:tcPr>
            <w:tcW w:w="1080" w:type="dxa"/>
            <w:shd w:val="clear" w:color="auto" w:fill="D9D9D9" w:themeFill="background1" w:themeFillShade="D9"/>
            <w:vAlign w:val="center"/>
          </w:tcPr>
          <w:p w14:paraId="6A2FB3A8" w14:textId="77777777" w:rsidR="004C6D42" w:rsidRPr="00F709B9" w:rsidRDefault="004C6D42" w:rsidP="00382387">
            <w:pPr>
              <w:keepNext/>
              <w:widowControl w:val="0"/>
              <w:jc w:val="center"/>
              <w:rPr>
                <w:b/>
                <w:bCs/>
                <w:color w:val="0000FF"/>
                <w:sz w:val="22"/>
                <w:szCs w:val="22"/>
              </w:rPr>
            </w:pPr>
            <w:r w:rsidRPr="00F709B9">
              <w:rPr>
                <w:rFonts w:cs="Arial"/>
                <w:b/>
                <w:bCs/>
                <w:color w:val="0000FF"/>
                <w:sz w:val="22"/>
                <w:szCs w:val="22"/>
              </w:rPr>
              <w:t>Yes/No</w:t>
            </w:r>
          </w:p>
        </w:tc>
      </w:tr>
    </w:tbl>
    <w:p w14:paraId="7478226B" w14:textId="77777777" w:rsidR="00AF4FFB" w:rsidRDefault="00AF4FFB" w:rsidP="007A60F3">
      <w:pPr>
        <w:widowControl w:val="0"/>
        <w:ind w:left="1080"/>
        <w:rPr>
          <w:szCs w:val="24"/>
        </w:rPr>
      </w:pPr>
    </w:p>
    <w:p w14:paraId="3FCD4600" w14:textId="727B3907" w:rsidR="00AF4FFB" w:rsidRDefault="00AF4FFB" w:rsidP="007A60F3">
      <w:pPr>
        <w:widowControl w:val="0"/>
        <w:ind w:left="1080"/>
      </w:pPr>
      <w:r w:rsidRPr="00017663">
        <w:rPr>
          <w:i/>
          <w:iCs/>
          <w:color w:val="0000FF"/>
          <w:u w:val="single"/>
        </w:rPr>
        <w:t>Example (a)</w:t>
      </w:r>
      <w:r>
        <w:rPr>
          <w:i/>
          <w:iCs/>
          <w:color w:val="0000FF"/>
        </w:rPr>
        <w:t>:</w:t>
      </w:r>
      <w:r>
        <w:rPr>
          <w:i/>
          <w:iCs/>
          <w:color w:val="0000FF"/>
        </w:rPr>
        <w:tab/>
        <w:t>(For a project where the SS</w:t>
      </w:r>
      <w:r w:rsidRPr="00017663">
        <w:rPr>
          <w:i/>
          <w:iCs/>
          <w:color w:val="0000FF"/>
        </w:rPr>
        <w:t>PE</w:t>
      </w:r>
      <w:r w:rsidR="000B3DD0">
        <w:rPr>
          <w:i/>
          <w:iCs/>
          <w:color w:val="0000FF"/>
        </w:rPr>
        <w:t>2</w:t>
      </w:r>
      <w:r w:rsidRPr="00017663">
        <w:rPr>
          <w:i/>
          <w:iCs/>
          <w:color w:val="0000FF"/>
        </w:rPr>
        <w:t xml:space="preserve"> </w:t>
      </w:r>
      <w:r>
        <w:rPr>
          <w:i/>
          <w:iCs/>
          <w:color w:val="0000FF"/>
        </w:rPr>
        <w:t>does not exceed 80% of Major Source thresholds</w:t>
      </w:r>
      <w:r w:rsidRPr="00017663">
        <w:rPr>
          <w:i/>
          <w:iCs/>
          <w:color w:val="0000FF"/>
        </w:rPr>
        <w:t>)</w:t>
      </w:r>
    </w:p>
    <w:p w14:paraId="410353D4" w14:textId="4511FAC4" w:rsidR="00AF4FFB" w:rsidRDefault="00AF4FFB" w:rsidP="007A60F3">
      <w:pPr>
        <w:widowControl w:val="0"/>
        <w:ind w:left="1080"/>
      </w:pPr>
      <w:r>
        <w:t>As demonstrated above, the SSPE</w:t>
      </w:r>
      <w:r w:rsidR="00E05754">
        <w:t>2</w:t>
      </w:r>
      <w:r>
        <w:t xml:space="preserve"> did not </w:t>
      </w:r>
      <w:r w:rsidR="00E05754">
        <w:t>surpass</w:t>
      </w:r>
      <w:r>
        <w:t xml:space="preserve"> 80% of the major source threshold for any pollutant</w:t>
      </w:r>
      <w:r w:rsidR="00216E6C">
        <w:t xml:space="preserve"> emitted by this project</w:t>
      </w:r>
      <w:r>
        <w:t>; therefore, public noticing for this purpose is not required.</w:t>
      </w:r>
    </w:p>
    <w:p w14:paraId="37B3C016" w14:textId="77777777" w:rsidR="00AF4FFB" w:rsidRDefault="00AF4FFB" w:rsidP="007A60F3">
      <w:pPr>
        <w:widowControl w:val="0"/>
        <w:ind w:left="1080"/>
        <w:rPr>
          <w:rFonts w:cs="Arial"/>
          <w:color w:val="000000"/>
          <w:spacing w:val="-3"/>
        </w:rPr>
      </w:pPr>
    </w:p>
    <w:p w14:paraId="05DCDE31" w14:textId="587BE187" w:rsidR="00AF4FFB" w:rsidRDefault="00AF4FFB" w:rsidP="007A60F3">
      <w:pPr>
        <w:widowControl w:val="0"/>
        <w:ind w:left="1080"/>
        <w:rPr>
          <w:rFonts w:cs="Arial"/>
          <w:color w:val="000000"/>
          <w:spacing w:val="-3"/>
        </w:rPr>
      </w:pPr>
      <w:r>
        <w:rPr>
          <w:i/>
          <w:iCs/>
          <w:color w:val="0000FF"/>
          <w:u w:val="single"/>
        </w:rPr>
        <w:t>Example (b)</w:t>
      </w:r>
      <w:r>
        <w:rPr>
          <w:i/>
          <w:iCs/>
          <w:color w:val="0000FF"/>
        </w:rPr>
        <w:t>:</w:t>
      </w:r>
      <w:r>
        <w:rPr>
          <w:i/>
          <w:iCs/>
          <w:color w:val="0000FF"/>
        </w:rPr>
        <w:tab/>
        <w:t>(For a project where the SS</w:t>
      </w:r>
      <w:r w:rsidRPr="00017663">
        <w:rPr>
          <w:i/>
          <w:iCs/>
          <w:color w:val="0000FF"/>
        </w:rPr>
        <w:t>PE</w:t>
      </w:r>
      <w:r w:rsidR="000B3DD0">
        <w:rPr>
          <w:i/>
          <w:iCs/>
          <w:color w:val="0000FF"/>
        </w:rPr>
        <w:t>2</w:t>
      </w:r>
      <w:r w:rsidRPr="00017663">
        <w:rPr>
          <w:i/>
          <w:iCs/>
          <w:color w:val="0000FF"/>
        </w:rPr>
        <w:t xml:space="preserve"> </w:t>
      </w:r>
      <w:r>
        <w:rPr>
          <w:i/>
          <w:iCs/>
          <w:color w:val="0000FF"/>
        </w:rPr>
        <w:t>exceeds 80% of Major Source threshold)</w:t>
      </w:r>
    </w:p>
    <w:p w14:paraId="0544BB3F" w14:textId="25C23480" w:rsidR="00AF4FFB" w:rsidRDefault="00AF4FFB" w:rsidP="007A60F3">
      <w:pPr>
        <w:widowControl w:val="0"/>
        <w:ind w:left="1080"/>
      </w:pPr>
      <w:r>
        <w:t>As demonstrated above, the SSPE</w:t>
      </w:r>
      <w:r w:rsidR="000B3DD0">
        <w:t>2</w:t>
      </w:r>
      <w:r>
        <w:t xml:space="preserve"> for </w:t>
      </w:r>
      <w:r w:rsidRPr="008407A0">
        <w:rPr>
          <w:color w:val="0000FF"/>
        </w:rPr>
        <w:t>NO</w:t>
      </w:r>
      <w:r w:rsidR="00216E6C">
        <w:rPr>
          <w:color w:val="0000FF"/>
        </w:rPr>
        <w:t>x</w:t>
      </w:r>
      <w:r w:rsidRPr="008407A0">
        <w:rPr>
          <w:color w:val="0000FF"/>
        </w:rPr>
        <w:t xml:space="preserve"> and </w:t>
      </w:r>
      <w:r>
        <w:rPr>
          <w:color w:val="0000FF"/>
        </w:rPr>
        <w:t>VOC</w:t>
      </w:r>
      <w:r>
        <w:t xml:space="preserve"> </w:t>
      </w:r>
      <w:r w:rsidR="000B3DD0">
        <w:t>surpassed</w:t>
      </w:r>
      <w:r>
        <w:t xml:space="preserve"> 80% of the respective major source thresholds with this project; therefore, public noticing for this purpose is required.</w:t>
      </w:r>
    </w:p>
    <w:p w14:paraId="4EBF8948" w14:textId="77777777" w:rsidR="00216E6C" w:rsidRDefault="00216E6C" w:rsidP="007A60F3">
      <w:pPr>
        <w:widowControl w:val="0"/>
        <w:tabs>
          <w:tab w:val="left" w:pos="3360"/>
        </w:tabs>
        <w:ind w:left="1080"/>
      </w:pPr>
    </w:p>
    <w:p w14:paraId="470CA16D" w14:textId="77777777" w:rsidR="00216E6C" w:rsidRPr="00216E6C" w:rsidRDefault="00216E6C" w:rsidP="007A60F3">
      <w:pPr>
        <w:widowControl w:val="0"/>
        <w:ind w:left="1080"/>
        <w:jc w:val="left"/>
        <w:rPr>
          <w:color w:val="FF0000"/>
          <w:szCs w:val="24"/>
        </w:rPr>
      </w:pPr>
      <w:r w:rsidRPr="00216E6C">
        <w:rPr>
          <w:color w:val="FF0000"/>
          <w:szCs w:val="24"/>
        </w:rPr>
        <w:t>For Major Sources for all pollutants emitted by this project:</w:t>
      </w:r>
    </w:p>
    <w:p w14:paraId="4A99B4D4" w14:textId="77777777" w:rsidR="00216E6C" w:rsidRPr="00216E6C" w:rsidRDefault="00216E6C" w:rsidP="007A60F3">
      <w:pPr>
        <w:widowControl w:val="0"/>
        <w:ind w:left="1080"/>
      </w:pPr>
    </w:p>
    <w:p w14:paraId="05BB07E1" w14:textId="77777777" w:rsidR="00216E6C" w:rsidRPr="00993B55" w:rsidRDefault="00216E6C" w:rsidP="007A60F3">
      <w:pPr>
        <w:widowControl w:val="0"/>
        <w:ind w:left="1080"/>
        <w:rPr>
          <w:szCs w:val="24"/>
        </w:rPr>
      </w:pPr>
      <w:r w:rsidRPr="00216E6C">
        <w:rPr>
          <w:szCs w:val="24"/>
        </w:rPr>
        <w:t>As seen in Section VII.C.5, since the facility is a Major Source for all pollutants emitted by this project, public noticing for this purpose is not required.</w:t>
      </w:r>
    </w:p>
    <w:p w14:paraId="2F7EE48E" w14:textId="3F8DAD1A" w:rsidR="000177D5" w:rsidRPr="00EB4714" w:rsidRDefault="00496462" w:rsidP="008F20D3">
      <w:pPr>
        <w:pStyle w:val="Heading7"/>
      </w:pPr>
      <w:r>
        <w:t>f</w:t>
      </w:r>
      <w:r w:rsidR="00EB4714">
        <w:t>.</w:t>
      </w:r>
      <w:r w:rsidR="00EB4714">
        <w:tab/>
      </w:r>
      <w:r w:rsidR="000177D5" w:rsidRPr="00EB4714">
        <w:t>Title V Significant Permit Modification</w:t>
      </w:r>
    </w:p>
    <w:p w14:paraId="1CFC4129" w14:textId="3936A27A" w:rsidR="000177D5" w:rsidRPr="00993B55" w:rsidRDefault="000177D5" w:rsidP="007A60F3">
      <w:pPr>
        <w:widowControl w:val="0"/>
        <w:ind w:left="1080"/>
        <w:jc w:val="left"/>
        <w:rPr>
          <w:color w:val="FF0000"/>
          <w:szCs w:val="24"/>
        </w:rPr>
      </w:pPr>
      <w:r w:rsidRPr="00993B55">
        <w:rPr>
          <w:color w:val="FF0000"/>
          <w:szCs w:val="24"/>
        </w:rPr>
        <w:t>If this facility holds a Title V operating permit:</w:t>
      </w:r>
    </w:p>
    <w:p w14:paraId="339808AF" w14:textId="0003E89B" w:rsidR="00D450AA" w:rsidRPr="00993B55" w:rsidRDefault="00D450AA" w:rsidP="007A60F3">
      <w:pPr>
        <w:widowControl w:val="0"/>
        <w:ind w:left="1080"/>
        <w:jc w:val="left"/>
        <w:rPr>
          <w:szCs w:val="24"/>
        </w:rPr>
      </w:pPr>
    </w:p>
    <w:p w14:paraId="3A8569E2" w14:textId="583E794D" w:rsidR="000177D5" w:rsidRPr="00993B55" w:rsidRDefault="000177D5" w:rsidP="007A60F3">
      <w:pPr>
        <w:widowControl w:val="0"/>
        <w:tabs>
          <w:tab w:val="left" w:pos="2250"/>
        </w:tabs>
        <w:autoSpaceDE w:val="0"/>
        <w:autoSpaceDN w:val="0"/>
        <w:adjustRightInd w:val="0"/>
        <w:ind w:left="1080"/>
        <w:rPr>
          <w:i/>
          <w:iCs/>
          <w:color w:val="0000FF"/>
        </w:rPr>
      </w:pPr>
      <w:r w:rsidRPr="00993B55">
        <w:rPr>
          <w:i/>
          <w:iCs/>
          <w:color w:val="0000FF"/>
          <w:u w:val="single"/>
        </w:rPr>
        <w:t>Example (a)</w:t>
      </w:r>
      <w:r w:rsidRPr="00993B55">
        <w:rPr>
          <w:i/>
          <w:iCs/>
          <w:color w:val="0000FF"/>
        </w:rPr>
        <w:t>:</w:t>
      </w:r>
      <w:r w:rsidRPr="00993B55">
        <w:rPr>
          <w:i/>
          <w:iCs/>
          <w:color w:val="0000FF"/>
        </w:rPr>
        <w:tab/>
        <w:t>(For a project that triggers a TV significant modification)</w:t>
      </w:r>
    </w:p>
    <w:p w14:paraId="2B3BCCFC" w14:textId="0399A87B" w:rsidR="000177D5" w:rsidRPr="00993B55" w:rsidRDefault="000177D5" w:rsidP="007A60F3">
      <w:pPr>
        <w:widowControl w:val="0"/>
        <w:ind w:left="1080"/>
        <w:rPr>
          <w:szCs w:val="24"/>
        </w:rPr>
      </w:pPr>
      <w:r w:rsidRPr="00993B55">
        <w:rPr>
          <w:szCs w:val="24"/>
        </w:rPr>
        <w:t>As shown in the Discussion of Rule 2520 below, this project constitutes a Title V significant modification.  Therefore, public noticing for Title V significant modifications is</w:t>
      </w:r>
      <w:r w:rsidRPr="00993B55">
        <w:rPr>
          <w:color w:val="0000FF"/>
          <w:szCs w:val="24"/>
        </w:rPr>
        <w:t xml:space="preserve"> </w:t>
      </w:r>
      <w:r w:rsidRPr="00993B55">
        <w:rPr>
          <w:szCs w:val="24"/>
        </w:rPr>
        <w:t>required for this project.</w:t>
      </w:r>
    </w:p>
    <w:p w14:paraId="4DDE5D64" w14:textId="38E12630" w:rsidR="00216E6C" w:rsidRPr="00993B55" w:rsidRDefault="00216E6C" w:rsidP="007A60F3">
      <w:pPr>
        <w:widowControl w:val="0"/>
        <w:ind w:left="1080"/>
        <w:rPr>
          <w:szCs w:val="24"/>
        </w:rPr>
      </w:pPr>
    </w:p>
    <w:p w14:paraId="462BD863" w14:textId="58817BA7" w:rsidR="000177D5" w:rsidRPr="00993B55" w:rsidRDefault="000177D5" w:rsidP="007A60F3">
      <w:pPr>
        <w:widowControl w:val="0"/>
        <w:tabs>
          <w:tab w:val="left" w:pos="2250"/>
        </w:tabs>
        <w:autoSpaceDE w:val="0"/>
        <w:autoSpaceDN w:val="0"/>
        <w:adjustRightInd w:val="0"/>
        <w:ind w:left="1080"/>
        <w:rPr>
          <w:i/>
          <w:iCs/>
          <w:color w:val="0000FF"/>
        </w:rPr>
      </w:pPr>
      <w:r w:rsidRPr="00993B55">
        <w:rPr>
          <w:i/>
          <w:iCs/>
          <w:color w:val="0000FF"/>
          <w:u w:val="single"/>
        </w:rPr>
        <w:t>Example (b)</w:t>
      </w:r>
      <w:r w:rsidRPr="00993B55">
        <w:rPr>
          <w:i/>
          <w:iCs/>
          <w:color w:val="0000FF"/>
        </w:rPr>
        <w:t>:</w:t>
      </w:r>
      <w:r w:rsidRPr="00993B55">
        <w:rPr>
          <w:i/>
          <w:iCs/>
          <w:color w:val="0000FF"/>
        </w:rPr>
        <w:tab/>
        <w:t>(For a project that does not trigger a TV significant modification)</w:t>
      </w:r>
    </w:p>
    <w:p w14:paraId="1B19191F" w14:textId="7A71A29C" w:rsidR="000177D5" w:rsidRPr="00993B55" w:rsidRDefault="000177D5" w:rsidP="007A60F3">
      <w:pPr>
        <w:widowControl w:val="0"/>
        <w:ind w:left="1080"/>
        <w:rPr>
          <w:szCs w:val="24"/>
        </w:rPr>
      </w:pPr>
      <w:r w:rsidRPr="00993B55">
        <w:rPr>
          <w:szCs w:val="24"/>
        </w:rPr>
        <w:t>As shown in the Discussion of Rule 2520 below, this project does not constitute a Title V significant modification.  Therefore, public noticing for Title V significant modifications is not required for this project.</w:t>
      </w:r>
    </w:p>
    <w:p w14:paraId="2CE574DB" w14:textId="74783EEB" w:rsidR="000177D5" w:rsidRPr="00993B55" w:rsidRDefault="000177D5" w:rsidP="007A60F3">
      <w:pPr>
        <w:widowControl w:val="0"/>
        <w:ind w:left="1080"/>
        <w:jc w:val="left"/>
        <w:rPr>
          <w:szCs w:val="24"/>
        </w:rPr>
      </w:pPr>
    </w:p>
    <w:p w14:paraId="79C0D10B" w14:textId="318796B0" w:rsidR="000177D5" w:rsidRPr="00993B55" w:rsidRDefault="000177D5" w:rsidP="007A60F3">
      <w:pPr>
        <w:widowControl w:val="0"/>
        <w:ind w:left="1080"/>
        <w:jc w:val="left"/>
        <w:rPr>
          <w:szCs w:val="24"/>
        </w:rPr>
      </w:pPr>
      <w:r w:rsidRPr="00993B55">
        <w:rPr>
          <w:color w:val="FF0000"/>
          <w:szCs w:val="24"/>
        </w:rPr>
        <w:t>If this facility does not hold a Title V operating permit:</w:t>
      </w:r>
    </w:p>
    <w:p w14:paraId="75208AE1" w14:textId="39ACA798" w:rsidR="000177D5" w:rsidRPr="00993B55" w:rsidRDefault="000177D5" w:rsidP="007A60F3">
      <w:pPr>
        <w:widowControl w:val="0"/>
        <w:ind w:left="1080"/>
        <w:jc w:val="left"/>
        <w:rPr>
          <w:szCs w:val="24"/>
        </w:rPr>
      </w:pPr>
    </w:p>
    <w:p w14:paraId="7C7CCB8D" w14:textId="7BA5D73C" w:rsidR="000177D5" w:rsidRPr="00993B55" w:rsidRDefault="000177D5" w:rsidP="007A60F3">
      <w:pPr>
        <w:widowControl w:val="0"/>
        <w:ind w:left="1080"/>
        <w:rPr>
          <w:szCs w:val="24"/>
        </w:rPr>
      </w:pPr>
      <w:r w:rsidRPr="00993B55">
        <w:rPr>
          <w:szCs w:val="24"/>
        </w:rPr>
        <w:t>Since this facility does not have a Title V operating permit, this chang</w:t>
      </w:r>
      <w:r w:rsidR="00483888" w:rsidRPr="00993B55">
        <w:rPr>
          <w:szCs w:val="24"/>
        </w:rPr>
        <w:t>e is not a Title V significant m</w:t>
      </w:r>
      <w:r w:rsidRPr="00993B55">
        <w:rPr>
          <w:szCs w:val="24"/>
        </w:rPr>
        <w:t>odification, and therefore</w:t>
      </w:r>
      <w:r w:rsidR="00FC1689">
        <w:rPr>
          <w:szCs w:val="24"/>
        </w:rPr>
        <w:t>,</w:t>
      </w:r>
      <w:r w:rsidRPr="00993B55">
        <w:rPr>
          <w:szCs w:val="24"/>
        </w:rPr>
        <w:t xml:space="preserve"> public noticing is not required.</w:t>
      </w:r>
    </w:p>
    <w:p w14:paraId="5BC50D09" w14:textId="77777777" w:rsidR="000177D5" w:rsidRPr="00496462" w:rsidRDefault="000177D5" w:rsidP="008F20D3">
      <w:pPr>
        <w:pStyle w:val="Heading6"/>
      </w:pPr>
      <w:r w:rsidRPr="00496462">
        <w:lastRenderedPageBreak/>
        <w:t>2.</w:t>
      </w:r>
      <w:r w:rsidRPr="00496462">
        <w:tab/>
        <w:t>Public Notice Action</w:t>
      </w:r>
    </w:p>
    <w:p w14:paraId="458366B3" w14:textId="77777777" w:rsidR="000177D5" w:rsidRPr="00993B55" w:rsidRDefault="000177D5" w:rsidP="007A60F3">
      <w:pPr>
        <w:widowControl w:val="0"/>
        <w:ind w:left="720"/>
        <w:rPr>
          <w:color w:val="FF0000"/>
        </w:rPr>
      </w:pPr>
      <w:r w:rsidRPr="00993B55">
        <w:rPr>
          <w:color w:val="FF0000"/>
        </w:rPr>
        <w:t>Indicate if public notification is required for any of the reasons listed above, and then discuss the action required, if there is any.</w:t>
      </w:r>
    </w:p>
    <w:p w14:paraId="5D07AEA7" w14:textId="77777777" w:rsidR="000177D5" w:rsidRPr="00993B55" w:rsidRDefault="000177D5" w:rsidP="007A60F3">
      <w:pPr>
        <w:widowControl w:val="0"/>
        <w:ind w:left="720"/>
        <w:rPr>
          <w:color w:val="000000"/>
        </w:rPr>
      </w:pPr>
    </w:p>
    <w:p w14:paraId="0AC41D67" w14:textId="77777777" w:rsidR="000177D5" w:rsidRPr="00993B55" w:rsidRDefault="000177D5" w:rsidP="007A60F3">
      <w:pPr>
        <w:widowControl w:val="0"/>
        <w:tabs>
          <w:tab w:val="left" w:pos="2250"/>
        </w:tabs>
        <w:autoSpaceDE w:val="0"/>
        <w:autoSpaceDN w:val="0"/>
        <w:adjustRightInd w:val="0"/>
        <w:ind w:left="720"/>
        <w:rPr>
          <w:i/>
          <w:iCs/>
          <w:color w:val="0000FF"/>
        </w:rPr>
      </w:pPr>
      <w:r w:rsidRPr="00993B55">
        <w:rPr>
          <w:i/>
          <w:iCs/>
          <w:color w:val="0000FF"/>
          <w:u w:val="single"/>
        </w:rPr>
        <w:t>Example (a)</w:t>
      </w:r>
      <w:r w:rsidRPr="00993B55">
        <w:rPr>
          <w:i/>
          <w:iCs/>
          <w:color w:val="0000FF"/>
        </w:rPr>
        <w:t>:</w:t>
      </w:r>
      <w:r w:rsidRPr="00993B55">
        <w:rPr>
          <w:i/>
          <w:iCs/>
          <w:color w:val="0000FF"/>
        </w:rPr>
        <w:tab/>
        <w:t>(For a project not requiring public notification.)</w:t>
      </w:r>
    </w:p>
    <w:p w14:paraId="20A8BF01" w14:textId="77777777" w:rsidR="000177D5" w:rsidRPr="00993B55" w:rsidRDefault="000177D5" w:rsidP="007A60F3">
      <w:pPr>
        <w:widowControl w:val="0"/>
        <w:ind w:left="720"/>
        <w:rPr>
          <w:spacing w:val="-3"/>
        </w:rPr>
      </w:pPr>
      <w:r w:rsidRPr="00993B55">
        <w:t>As discussed above, this project will not result in emissions, for any pollutant, which would subject the project to any of the noticing requirements listed above.  Therefore, public notice will not be required for this project.</w:t>
      </w:r>
    </w:p>
    <w:p w14:paraId="04B440E4" w14:textId="77777777" w:rsidR="000177D5" w:rsidRPr="00993B55" w:rsidRDefault="000177D5" w:rsidP="007A60F3">
      <w:pPr>
        <w:widowControl w:val="0"/>
        <w:ind w:left="720"/>
        <w:rPr>
          <w:spacing w:val="-3"/>
        </w:rPr>
      </w:pPr>
    </w:p>
    <w:p w14:paraId="122A0ECC" w14:textId="77777777" w:rsidR="000177D5" w:rsidRPr="00993B55" w:rsidRDefault="000177D5" w:rsidP="007A60F3">
      <w:pPr>
        <w:widowControl w:val="0"/>
        <w:tabs>
          <w:tab w:val="left" w:pos="2250"/>
        </w:tabs>
        <w:autoSpaceDE w:val="0"/>
        <w:autoSpaceDN w:val="0"/>
        <w:adjustRightInd w:val="0"/>
        <w:ind w:left="720"/>
        <w:rPr>
          <w:i/>
          <w:iCs/>
          <w:color w:val="0000FF"/>
        </w:rPr>
      </w:pPr>
      <w:r w:rsidRPr="00993B55">
        <w:rPr>
          <w:i/>
          <w:iCs/>
          <w:color w:val="0000FF"/>
          <w:u w:val="single"/>
        </w:rPr>
        <w:t>Example (b)</w:t>
      </w:r>
      <w:r w:rsidRPr="00993B55">
        <w:rPr>
          <w:i/>
          <w:iCs/>
          <w:color w:val="0000FF"/>
        </w:rPr>
        <w:t>:</w:t>
      </w:r>
      <w:r w:rsidRPr="00993B55">
        <w:rPr>
          <w:i/>
          <w:iCs/>
          <w:color w:val="0000FF"/>
        </w:rPr>
        <w:tab/>
        <w:t>(For a project requiring public notification – PE &gt; 100 lb/day.)</w:t>
      </w:r>
    </w:p>
    <w:p w14:paraId="728662C7" w14:textId="43F3D7E8" w:rsidR="000177D5" w:rsidRPr="00993B55" w:rsidRDefault="000177D5" w:rsidP="007A60F3">
      <w:pPr>
        <w:widowControl w:val="0"/>
        <w:ind w:left="720"/>
        <w:rPr>
          <w:color w:val="000000"/>
        </w:rPr>
      </w:pPr>
      <w:r w:rsidRPr="00993B55">
        <w:rPr>
          <w:color w:val="000000"/>
        </w:rPr>
        <w:t>As discussed above, public noticing is required for this project for NO</w:t>
      </w:r>
      <w:r w:rsidR="00FC4D95">
        <w:rPr>
          <w:color w:val="000000"/>
        </w:rPr>
        <w:t>x</w:t>
      </w:r>
      <w:r w:rsidRPr="00993B55">
        <w:rPr>
          <w:color w:val="000000"/>
        </w:rPr>
        <w:t xml:space="preserve"> emissions in excess of 100 lb/day.  Therefore, public notice documents will be submitted to the California Air Resources Board (CARB) and a public notice will be electronically published on the District’s website prior to the issuance of the ATC for this equipment.</w:t>
      </w:r>
    </w:p>
    <w:p w14:paraId="28884EC0" w14:textId="77777777" w:rsidR="000177D5" w:rsidRPr="00993B55" w:rsidRDefault="000177D5" w:rsidP="007A60F3">
      <w:pPr>
        <w:widowControl w:val="0"/>
        <w:ind w:left="720"/>
        <w:rPr>
          <w:bCs/>
          <w:color w:val="000000"/>
        </w:rPr>
      </w:pPr>
    </w:p>
    <w:p w14:paraId="1041E94E" w14:textId="77777777" w:rsidR="000177D5" w:rsidRPr="00993B55" w:rsidRDefault="000177D5" w:rsidP="007A60F3">
      <w:pPr>
        <w:widowControl w:val="0"/>
        <w:ind w:left="720"/>
        <w:rPr>
          <w:i/>
          <w:iCs/>
          <w:color w:val="FF0000"/>
        </w:rPr>
      </w:pPr>
      <w:r w:rsidRPr="00993B55">
        <w:rPr>
          <w:i/>
          <w:iCs/>
          <w:color w:val="FF0000"/>
        </w:rPr>
        <w:t>(</w:t>
      </w:r>
      <w:r w:rsidRPr="00993B55">
        <w:rPr>
          <w:i/>
          <w:iCs/>
          <w:color w:val="FF0000"/>
          <w:u w:val="single"/>
        </w:rPr>
        <w:t>Note</w:t>
      </w:r>
      <w:r w:rsidRPr="00993B55">
        <w:rPr>
          <w:i/>
          <w:iCs/>
          <w:color w:val="FF0000"/>
        </w:rPr>
        <w:t>: When public notification is required an additional section in the EE gets added, Section VIII-Rule 2201-F, see below)</w:t>
      </w:r>
    </w:p>
    <w:p w14:paraId="4BA008BD" w14:textId="77777777" w:rsidR="000177D5" w:rsidRPr="00993B55" w:rsidRDefault="000177D5" w:rsidP="007A60F3">
      <w:pPr>
        <w:widowControl w:val="0"/>
        <w:ind w:left="720"/>
        <w:rPr>
          <w:i/>
          <w:iCs/>
          <w:color w:val="FF0000"/>
        </w:rPr>
      </w:pPr>
    </w:p>
    <w:p w14:paraId="557C055D" w14:textId="7C934252" w:rsidR="000177D5" w:rsidRPr="00993B55" w:rsidRDefault="000177D5" w:rsidP="007A60F3">
      <w:pPr>
        <w:widowControl w:val="0"/>
        <w:ind w:left="1728" w:hanging="1008"/>
        <w:rPr>
          <w:i/>
          <w:iCs/>
          <w:color w:val="FF0000"/>
        </w:rPr>
      </w:pPr>
      <w:r w:rsidRPr="00993B55">
        <w:rPr>
          <w:b/>
          <w:i/>
          <w:iCs/>
          <w:color w:val="FF0000"/>
        </w:rPr>
        <w:t xml:space="preserve">IMPORTANT NOTE: </w:t>
      </w:r>
    </w:p>
    <w:p w14:paraId="11E69E4C" w14:textId="7ACA8AD8" w:rsidR="000177D5" w:rsidRPr="00993B55" w:rsidRDefault="000177D5" w:rsidP="007A60F3">
      <w:pPr>
        <w:widowControl w:val="0"/>
        <w:ind w:left="720"/>
        <w:rPr>
          <w:i/>
          <w:iCs/>
          <w:color w:val="FF0000"/>
        </w:rPr>
      </w:pPr>
      <w:r w:rsidRPr="00993B55">
        <w:rPr>
          <w:i/>
          <w:iCs/>
          <w:color w:val="FF0000"/>
        </w:rPr>
        <w:t xml:space="preserve">It is critically important that all interested parties be notified of the District’s preliminary decision for public notice projects.  Therefore, the processing engineer must follow the </w:t>
      </w:r>
      <w:r w:rsidR="00CF4B06">
        <w:rPr>
          <w:i/>
          <w:iCs/>
          <w:color w:val="FF0000"/>
        </w:rPr>
        <w:t>District practice</w:t>
      </w:r>
      <w:r w:rsidRPr="00993B55">
        <w:rPr>
          <w:i/>
          <w:iCs/>
          <w:color w:val="FF0000"/>
        </w:rPr>
        <w:t xml:space="preserve"> to ensure that each interested party is properly notified of all public notice projects for a given facility.</w:t>
      </w:r>
    </w:p>
    <w:p w14:paraId="3CE65924" w14:textId="77777777" w:rsidR="000177D5" w:rsidRPr="00496462" w:rsidRDefault="000177D5" w:rsidP="00366F05">
      <w:pPr>
        <w:pStyle w:val="Heading5"/>
      </w:pPr>
      <w:r w:rsidRPr="00496462">
        <w:t>D.</w:t>
      </w:r>
      <w:r w:rsidRPr="00496462">
        <w:tab/>
        <w:t>Daily Emission Limits (DELs)</w:t>
      </w:r>
    </w:p>
    <w:p w14:paraId="6E982467" w14:textId="77777777" w:rsidR="000177D5" w:rsidRPr="00993B55" w:rsidRDefault="000177D5" w:rsidP="007A60F3">
      <w:pPr>
        <w:widowControl w:val="0"/>
        <w:ind w:left="360"/>
        <w:rPr>
          <w:color w:val="FF0000"/>
        </w:rPr>
      </w:pPr>
      <w:r w:rsidRPr="00993B55">
        <w:rPr>
          <w:color w:val="FF0000"/>
        </w:rPr>
        <w:t>DELs are listed for all pollutants on a permit unit-by-permit unit, or on an emissions unit-by-emissions unit basis, as the appropriate case may be.  Be alert to the facts.  Also note, according to APR 1605, “</w:t>
      </w:r>
      <w:r w:rsidRPr="00993B55">
        <w:rPr>
          <w:color w:val="FF0000"/>
          <w:spacing w:val="-3"/>
        </w:rPr>
        <w:t>Do not use redundant conditions.  If DEL is already established by other conditions, do not write additional conditions intended to do the same thing.”</w:t>
      </w:r>
    </w:p>
    <w:p w14:paraId="5DB9698B" w14:textId="77777777" w:rsidR="000177D5" w:rsidRPr="00993B55" w:rsidRDefault="000177D5" w:rsidP="007A60F3">
      <w:pPr>
        <w:widowControl w:val="0"/>
        <w:ind w:left="360"/>
        <w:rPr>
          <w:bCs/>
          <w:color w:val="000000"/>
        </w:rPr>
      </w:pPr>
    </w:p>
    <w:p w14:paraId="7180267A" w14:textId="473D8B63" w:rsidR="00122459" w:rsidRPr="00671388" w:rsidRDefault="00122459" w:rsidP="007A60F3">
      <w:pPr>
        <w:widowControl w:val="0"/>
        <w:ind w:left="360"/>
        <w:rPr>
          <w:color w:val="FF0000"/>
        </w:rPr>
      </w:pPr>
      <w:r>
        <w:rPr>
          <w:color w:val="FF0000"/>
          <w:spacing w:val="-3"/>
        </w:rPr>
        <w:t xml:space="preserve">Additionally, please follow </w:t>
      </w:r>
      <w:r w:rsidR="00CF4B06" w:rsidRPr="00505E9F">
        <w:rPr>
          <w:bCs/>
          <w:color w:val="FF0000"/>
          <w:spacing w:val="-3"/>
        </w:rPr>
        <w:t>District practice</w:t>
      </w:r>
      <w:r>
        <w:rPr>
          <w:color w:val="FF0000"/>
          <w:spacing w:val="-3"/>
        </w:rPr>
        <w:t xml:space="preserve"> to ensure </w:t>
      </w:r>
      <w:r w:rsidRPr="004B4B81">
        <w:rPr>
          <w:color w:val="FF0000"/>
          <w:spacing w:val="-3"/>
        </w:rPr>
        <w:t>consistency and grammatical accuracy</w:t>
      </w:r>
      <w:r>
        <w:rPr>
          <w:color w:val="FF0000"/>
          <w:spacing w:val="-3"/>
        </w:rPr>
        <w:t xml:space="preserve"> when writing the permit conditions for the DEL.</w:t>
      </w:r>
    </w:p>
    <w:p w14:paraId="35DEBCAB" w14:textId="77777777" w:rsidR="00122459" w:rsidRDefault="00122459" w:rsidP="007A60F3">
      <w:pPr>
        <w:widowControl w:val="0"/>
        <w:ind w:left="360"/>
      </w:pPr>
    </w:p>
    <w:p w14:paraId="2D12E984" w14:textId="62ECEA20" w:rsidR="000177D5" w:rsidRPr="00993B55" w:rsidRDefault="000177D5" w:rsidP="007A60F3">
      <w:pPr>
        <w:widowControl w:val="0"/>
        <w:ind w:left="360"/>
      </w:pPr>
      <w:r w:rsidRPr="00993B55">
        <w:t>DELs and other enforceable conditions are required by Rule 2201 to restrict a unit’s maximum daily emissions, to a level at or below the emissions associated with the maximum design capacity.  The DEL must be contained in the latest ATC and contained in or enforced by the latest PTO and enforceable, in a practicable manner, on a daily basis. DELs are also required to enforce the applicability of BACT.</w:t>
      </w:r>
    </w:p>
    <w:p w14:paraId="499535A2" w14:textId="77777777" w:rsidR="000177D5" w:rsidRPr="00993B55" w:rsidRDefault="000177D5" w:rsidP="007A60F3">
      <w:pPr>
        <w:widowControl w:val="0"/>
        <w:ind w:left="360"/>
        <w:rPr>
          <w:bCs/>
          <w:color w:val="000000"/>
        </w:rPr>
      </w:pPr>
    </w:p>
    <w:p w14:paraId="7C376908" w14:textId="77777777" w:rsidR="000177D5" w:rsidRPr="00993B55" w:rsidRDefault="000177D5" w:rsidP="007A60F3">
      <w:pPr>
        <w:widowControl w:val="0"/>
        <w:tabs>
          <w:tab w:val="left" w:pos="1890"/>
        </w:tabs>
        <w:autoSpaceDE w:val="0"/>
        <w:autoSpaceDN w:val="0"/>
        <w:adjustRightInd w:val="0"/>
        <w:ind w:left="360"/>
        <w:rPr>
          <w:i/>
          <w:iCs/>
          <w:color w:val="0000FF"/>
          <w:u w:val="single"/>
        </w:rPr>
      </w:pPr>
      <w:r w:rsidRPr="00993B55">
        <w:rPr>
          <w:i/>
          <w:iCs/>
          <w:color w:val="0000FF"/>
          <w:u w:val="single"/>
        </w:rPr>
        <w:t>Example (a)</w:t>
      </w:r>
      <w:r w:rsidRPr="00993B55">
        <w:rPr>
          <w:i/>
          <w:iCs/>
          <w:color w:val="0000FF"/>
        </w:rPr>
        <w:t>:</w:t>
      </w:r>
      <w:r w:rsidRPr="00993B55">
        <w:rPr>
          <w:i/>
          <w:iCs/>
          <w:color w:val="0000FF"/>
        </w:rPr>
        <w:tab/>
        <w:t>(For a natural gas-fired IC engine.)</w:t>
      </w:r>
    </w:p>
    <w:p w14:paraId="74C5484C" w14:textId="77777777" w:rsidR="000177D5" w:rsidRPr="00993B55" w:rsidRDefault="000177D5" w:rsidP="007A60F3">
      <w:pPr>
        <w:widowControl w:val="0"/>
        <w:ind w:left="360"/>
        <w:rPr>
          <w:color w:val="000000"/>
        </w:rPr>
      </w:pPr>
      <w:r w:rsidRPr="00993B55">
        <w:t>For this IC engine, the DELs are stated in the form of emission factors (g/hp-hr or lb/MMBtu), the maximum engine horsepower rating, and the maximum operational time of 24 hours per day.</w:t>
      </w:r>
    </w:p>
    <w:p w14:paraId="552EEE5F" w14:textId="77777777" w:rsidR="00F709B9" w:rsidRPr="00993B55" w:rsidRDefault="00F709B9" w:rsidP="007A60F3">
      <w:pPr>
        <w:widowControl w:val="0"/>
        <w:ind w:left="360"/>
        <w:rPr>
          <w:bCs/>
          <w:color w:val="000000"/>
        </w:rPr>
      </w:pPr>
    </w:p>
    <w:p w14:paraId="020E993D" w14:textId="77777777" w:rsidR="000177D5" w:rsidRPr="00993B55" w:rsidRDefault="000177D5" w:rsidP="007A60F3">
      <w:pPr>
        <w:widowControl w:val="0"/>
        <w:ind w:left="360"/>
        <w:rPr>
          <w:spacing w:val="-2"/>
        </w:rPr>
      </w:pPr>
      <w:r w:rsidRPr="00993B55">
        <w:rPr>
          <w:b/>
          <w:i/>
          <w:spacing w:val="-3"/>
          <w:u w:val="single"/>
        </w:rPr>
        <w:t>Proposed Rule 2201 (DEL) Conditions</w:t>
      </w:r>
      <w:r w:rsidRPr="00993B55">
        <w:rPr>
          <w:b/>
          <w:i/>
          <w:spacing w:val="-3"/>
        </w:rPr>
        <w:t>:</w:t>
      </w:r>
    </w:p>
    <w:p w14:paraId="05196898" w14:textId="77777777" w:rsidR="000177D5" w:rsidRPr="00993B55" w:rsidRDefault="000177D5" w:rsidP="007A60F3">
      <w:pPr>
        <w:widowControl w:val="0"/>
        <w:ind w:left="360"/>
      </w:pPr>
    </w:p>
    <w:p w14:paraId="3ACE41E0" w14:textId="031ED109" w:rsidR="000177D5" w:rsidRPr="009461B0" w:rsidRDefault="000177D5" w:rsidP="007A60F3">
      <w:pPr>
        <w:widowControl w:val="0"/>
        <w:numPr>
          <w:ilvl w:val="0"/>
          <w:numId w:val="8"/>
        </w:numPr>
      </w:pPr>
      <w:r w:rsidRPr="009461B0">
        <w:lastRenderedPageBreak/>
        <w:t xml:space="preserve">Emission rates from this unit shall not exceed any of the following limits: NOx (as NO2) </w:t>
      </w:r>
      <w:r w:rsidR="009461B0">
        <w:t>-</w:t>
      </w:r>
      <w:r w:rsidRPr="009461B0">
        <w:t xml:space="preserve"> </w:t>
      </w:r>
      <w:r w:rsidR="009461B0" w:rsidRPr="009461B0">
        <w:rPr>
          <w:color w:val="0000FF"/>
        </w:rPr>
        <w:t>X.XX</w:t>
      </w:r>
      <w:r w:rsidRPr="009461B0">
        <w:t xml:space="preserve"> g/hp-hr; VOC (as methane) - </w:t>
      </w:r>
      <w:r w:rsidR="009461B0" w:rsidRPr="009461B0">
        <w:rPr>
          <w:color w:val="0000FF"/>
        </w:rPr>
        <w:t>X.XX</w:t>
      </w:r>
      <w:r w:rsidRPr="009461B0">
        <w:t xml:space="preserve"> g/hp-hr; CO - </w:t>
      </w:r>
      <w:r w:rsidR="009461B0" w:rsidRPr="009461B0">
        <w:rPr>
          <w:color w:val="0000FF"/>
        </w:rPr>
        <w:t>X.XX</w:t>
      </w:r>
      <w:r w:rsidRPr="009461B0">
        <w:t xml:space="preserve"> g/hp-hr; PM10 - </w:t>
      </w:r>
      <w:r w:rsidR="009461B0" w:rsidRPr="009461B0">
        <w:rPr>
          <w:color w:val="0000FF"/>
        </w:rPr>
        <w:t>X.XX</w:t>
      </w:r>
      <w:r w:rsidRPr="009461B0">
        <w:t xml:space="preserve"> lb/MMBtu; or SOx (as SO2) - </w:t>
      </w:r>
      <w:r w:rsidR="00BE1346" w:rsidRPr="009461B0">
        <w:rPr>
          <w:color w:val="0000FF"/>
        </w:rPr>
        <w:t>X.XX</w:t>
      </w:r>
      <w:r w:rsidRPr="009461B0">
        <w:t xml:space="preserve"> lb/MMBtu. [District Rule 2201]</w:t>
      </w:r>
    </w:p>
    <w:p w14:paraId="15C1F0C1" w14:textId="77777777" w:rsidR="000177D5" w:rsidRPr="00993B55" w:rsidRDefault="000177D5" w:rsidP="007A60F3">
      <w:pPr>
        <w:widowControl w:val="0"/>
        <w:ind w:left="360"/>
        <w:rPr>
          <w:bCs/>
          <w:color w:val="000000"/>
        </w:rPr>
      </w:pPr>
    </w:p>
    <w:p w14:paraId="4C3DE41E" w14:textId="77777777" w:rsidR="000177D5" w:rsidRPr="00993B55" w:rsidRDefault="000177D5" w:rsidP="007A60F3">
      <w:pPr>
        <w:widowControl w:val="0"/>
        <w:tabs>
          <w:tab w:val="left" w:pos="1890"/>
        </w:tabs>
        <w:autoSpaceDE w:val="0"/>
        <w:autoSpaceDN w:val="0"/>
        <w:adjustRightInd w:val="0"/>
        <w:ind w:left="360"/>
        <w:rPr>
          <w:i/>
          <w:iCs/>
          <w:color w:val="0000FF"/>
          <w:u w:val="single"/>
        </w:rPr>
      </w:pPr>
      <w:r w:rsidRPr="00993B55">
        <w:rPr>
          <w:i/>
          <w:iCs/>
          <w:color w:val="0000FF"/>
          <w:u w:val="single"/>
        </w:rPr>
        <w:t>Example (b)</w:t>
      </w:r>
      <w:r w:rsidRPr="00993B55">
        <w:rPr>
          <w:i/>
          <w:iCs/>
          <w:color w:val="0000FF"/>
        </w:rPr>
        <w:t>:</w:t>
      </w:r>
      <w:r w:rsidRPr="00993B55">
        <w:rPr>
          <w:i/>
          <w:iCs/>
          <w:color w:val="0000FF"/>
        </w:rPr>
        <w:tab/>
        <w:t>(For an almond pre-cleaning operation.)</w:t>
      </w:r>
    </w:p>
    <w:p w14:paraId="7D654217" w14:textId="701E9491" w:rsidR="000177D5" w:rsidRPr="00993B55" w:rsidRDefault="000177D5" w:rsidP="007A60F3">
      <w:pPr>
        <w:widowControl w:val="0"/>
        <w:ind w:left="360"/>
        <w:rPr>
          <w:bCs/>
          <w:color w:val="000000"/>
        </w:rPr>
      </w:pPr>
      <w:r w:rsidRPr="00993B55">
        <w:t xml:space="preserve">For the pre-cleaning operation, the DELs will be stated on permit unit </w:t>
      </w:r>
      <w:r w:rsidR="009461B0" w:rsidRPr="009461B0">
        <w:rPr>
          <w:color w:val="0000FF"/>
        </w:rPr>
        <w:t>X</w:t>
      </w:r>
      <w:r w:rsidRPr="009461B0">
        <w:rPr>
          <w:color w:val="0000FF"/>
        </w:rPr>
        <w:t>-XXXX-X</w:t>
      </w:r>
      <w:r w:rsidRPr="00993B55">
        <w:t>, in the form of PM</w:t>
      </w:r>
      <w:r w:rsidR="00B17B8A">
        <w:t>10</w:t>
      </w:r>
      <w:r w:rsidRPr="00993B55">
        <w:t xml:space="preserve"> emission factors (for the Saunco Model </w:t>
      </w:r>
      <w:r w:rsidRPr="00993B55">
        <w:rPr>
          <w:bCs/>
        </w:rPr>
        <w:t xml:space="preserve">RA12-252 </w:t>
      </w:r>
      <w:r w:rsidRPr="00993B55">
        <w:t>baghouse and for the Mac Model 144MCF baghouse) and the maximum field weight process rate.</w:t>
      </w:r>
    </w:p>
    <w:p w14:paraId="30A55B7A" w14:textId="77777777" w:rsidR="000177D5" w:rsidRPr="00993B55" w:rsidRDefault="000177D5" w:rsidP="007A60F3">
      <w:pPr>
        <w:widowControl w:val="0"/>
        <w:ind w:left="360"/>
        <w:rPr>
          <w:bCs/>
          <w:color w:val="000000"/>
        </w:rPr>
      </w:pPr>
    </w:p>
    <w:p w14:paraId="52B3192E" w14:textId="77777777" w:rsidR="000177D5" w:rsidRPr="00993B55" w:rsidRDefault="000177D5" w:rsidP="007A60F3">
      <w:pPr>
        <w:widowControl w:val="0"/>
        <w:ind w:left="360"/>
        <w:rPr>
          <w:spacing w:val="-2"/>
        </w:rPr>
      </w:pPr>
      <w:r w:rsidRPr="00993B55">
        <w:rPr>
          <w:b/>
          <w:i/>
          <w:spacing w:val="-3"/>
          <w:u w:val="single"/>
        </w:rPr>
        <w:t>Proposed Rule 2201 (DEL) Conditions</w:t>
      </w:r>
      <w:r w:rsidRPr="00993B55">
        <w:rPr>
          <w:b/>
          <w:i/>
          <w:spacing w:val="-3"/>
        </w:rPr>
        <w:t>:</w:t>
      </w:r>
    </w:p>
    <w:p w14:paraId="3BD9ECF4" w14:textId="77777777" w:rsidR="000177D5" w:rsidRPr="00993B55" w:rsidRDefault="000177D5" w:rsidP="007A60F3">
      <w:pPr>
        <w:widowControl w:val="0"/>
        <w:ind w:left="360"/>
      </w:pPr>
    </w:p>
    <w:p w14:paraId="32640E0E" w14:textId="251E01FF" w:rsidR="000177D5" w:rsidRPr="009461B0" w:rsidRDefault="000177D5" w:rsidP="007A60F3">
      <w:pPr>
        <w:widowControl w:val="0"/>
        <w:numPr>
          <w:ilvl w:val="0"/>
          <w:numId w:val="8"/>
        </w:numPr>
        <w:rPr>
          <w:bCs/>
        </w:rPr>
      </w:pPr>
      <w:r w:rsidRPr="009461B0">
        <w:rPr>
          <w:bCs/>
        </w:rPr>
        <w:t xml:space="preserve">Emissions from the Saunco Model RA12-252 baghouse shall not exceed </w:t>
      </w:r>
      <w:r w:rsidR="00BE1346" w:rsidRPr="009461B0">
        <w:rPr>
          <w:color w:val="0000FF"/>
        </w:rPr>
        <w:t>X.XX</w:t>
      </w:r>
      <w:r w:rsidRPr="009461B0">
        <w:rPr>
          <w:bCs/>
        </w:rPr>
        <w:t xml:space="preserve"> lb PM10 per ton of field weight almonds processed. [District Rule 2201]</w:t>
      </w:r>
    </w:p>
    <w:p w14:paraId="437BF884" w14:textId="77777777" w:rsidR="000177D5" w:rsidRPr="009461B0" w:rsidRDefault="000177D5" w:rsidP="007A60F3">
      <w:pPr>
        <w:widowControl w:val="0"/>
        <w:ind w:left="360"/>
        <w:rPr>
          <w:bCs/>
        </w:rPr>
      </w:pPr>
    </w:p>
    <w:p w14:paraId="05F9BA19" w14:textId="1A2420D5" w:rsidR="000177D5" w:rsidRPr="009461B0" w:rsidRDefault="000177D5" w:rsidP="007A60F3">
      <w:pPr>
        <w:widowControl w:val="0"/>
        <w:numPr>
          <w:ilvl w:val="0"/>
          <w:numId w:val="8"/>
        </w:numPr>
        <w:rPr>
          <w:bCs/>
        </w:rPr>
      </w:pPr>
      <w:r w:rsidRPr="009461B0">
        <w:rPr>
          <w:bCs/>
        </w:rPr>
        <w:t xml:space="preserve">Emissions from the Mac Model 144MCF baghouse shall not exceed </w:t>
      </w:r>
      <w:r w:rsidR="00BE1346" w:rsidRPr="009461B0">
        <w:rPr>
          <w:color w:val="0000FF"/>
        </w:rPr>
        <w:t>X.XX</w:t>
      </w:r>
      <w:r w:rsidRPr="009461B0">
        <w:rPr>
          <w:bCs/>
        </w:rPr>
        <w:t xml:space="preserve"> lb PM10 per ton of field weight almonds processed. [District Rule 2201]</w:t>
      </w:r>
    </w:p>
    <w:p w14:paraId="5864F1E6" w14:textId="77777777" w:rsidR="000177D5" w:rsidRPr="009461B0" w:rsidRDefault="000177D5" w:rsidP="007A60F3">
      <w:pPr>
        <w:widowControl w:val="0"/>
        <w:ind w:left="360"/>
        <w:rPr>
          <w:bCs/>
        </w:rPr>
      </w:pPr>
    </w:p>
    <w:p w14:paraId="33A0F3D3" w14:textId="25981008" w:rsidR="000177D5" w:rsidRPr="00BE1346" w:rsidRDefault="000177D5" w:rsidP="007A60F3">
      <w:pPr>
        <w:widowControl w:val="0"/>
        <w:numPr>
          <w:ilvl w:val="0"/>
          <w:numId w:val="8"/>
        </w:numPr>
        <w:rPr>
          <w:bCs/>
        </w:rPr>
      </w:pPr>
      <w:r w:rsidRPr="009461B0">
        <w:rPr>
          <w:bCs/>
        </w:rPr>
        <w:t xml:space="preserve">The maximum throughput for the receiving/pre-cleaning operation shall exceed either of the following limits: </w:t>
      </w:r>
      <w:r w:rsidR="00BE1346" w:rsidRPr="009461B0">
        <w:rPr>
          <w:color w:val="0000FF"/>
        </w:rPr>
        <w:t>XXX</w:t>
      </w:r>
      <w:r w:rsidRPr="009461B0">
        <w:rPr>
          <w:bCs/>
        </w:rPr>
        <w:t xml:space="preserve"> tons of field weight almonds per day or </w:t>
      </w:r>
      <w:r w:rsidR="00BE1346" w:rsidRPr="009461B0">
        <w:rPr>
          <w:color w:val="0000FF"/>
        </w:rPr>
        <w:t>X</w:t>
      </w:r>
      <w:r w:rsidR="00BE1346">
        <w:rPr>
          <w:color w:val="0000FF"/>
        </w:rPr>
        <w:t>X,X</w:t>
      </w:r>
      <w:r w:rsidR="00BE1346" w:rsidRPr="009461B0">
        <w:rPr>
          <w:color w:val="0000FF"/>
        </w:rPr>
        <w:t>XX</w:t>
      </w:r>
      <w:r w:rsidRPr="009461B0">
        <w:rPr>
          <w:bCs/>
        </w:rPr>
        <w:t xml:space="preserve"> tons of field </w:t>
      </w:r>
      <w:r w:rsidRPr="00BE1346">
        <w:rPr>
          <w:bCs/>
        </w:rPr>
        <w:t>weight almonds per year. [District Rule 2201]</w:t>
      </w:r>
    </w:p>
    <w:p w14:paraId="3C5907E8" w14:textId="77777777" w:rsidR="000177D5" w:rsidRPr="00496462" w:rsidRDefault="000177D5" w:rsidP="00366F05">
      <w:pPr>
        <w:pStyle w:val="Heading5"/>
      </w:pPr>
      <w:r w:rsidRPr="00496462">
        <w:t>E.</w:t>
      </w:r>
      <w:r w:rsidRPr="00496462">
        <w:tab/>
        <w:t>Compliance Assurance</w:t>
      </w:r>
    </w:p>
    <w:p w14:paraId="5EF51DB0" w14:textId="77777777" w:rsidR="000177D5" w:rsidRPr="00993B55" w:rsidRDefault="000177D5" w:rsidP="007A60F3">
      <w:pPr>
        <w:widowControl w:val="0"/>
        <w:ind w:left="360"/>
        <w:rPr>
          <w:color w:val="FF0000"/>
        </w:rPr>
      </w:pPr>
      <w:r w:rsidRPr="00993B55">
        <w:rPr>
          <w:color w:val="FF0000"/>
        </w:rPr>
        <w:t>List all requirements necessary to ensure compliance with DELs, BACT and Offsets, such as the following.</w:t>
      </w:r>
    </w:p>
    <w:p w14:paraId="72E27C48" w14:textId="77777777" w:rsidR="000177D5" w:rsidRPr="00496462" w:rsidRDefault="000177D5" w:rsidP="008F20D3">
      <w:pPr>
        <w:pStyle w:val="Heading6"/>
      </w:pPr>
      <w:r w:rsidRPr="00496462">
        <w:t>1.</w:t>
      </w:r>
      <w:r w:rsidRPr="00496462">
        <w:tab/>
        <w:t>Source Testing</w:t>
      </w:r>
    </w:p>
    <w:p w14:paraId="65C47411" w14:textId="0177FBC3" w:rsidR="000177D5" w:rsidRPr="00993B55" w:rsidRDefault="000177D5" w:rsidP="007A60F3">
      <w:pPr>
        <w:widowControl w:val="0"/>
        <w:ind w:left="720"/>
        <w:rPr>
          <w:color w:val="FF0000"/>
        </w:rPr>
      </w:pPr>
      <w:r w:rsidRPr="00993B55">
        <w:rPr>
          <w:color w:val="FF0000"/>
        </w:rPr>
        <w:t>Describe the source test method and frequency.</w:t>
      </w:r>
      <w:r w:rsidR="00063710">
        <w:rPr>
          <w:color w:val="FF0000"/>
        </w:rPr>
        <w:t xml:space="preserve">  As necessary, </w:t>
      </w:r>
      <w:r w:rsidR="00AA3968">
        <w:rPr>
          <w:color w:val="FF0000"/>
        </w:rPr>
        <w:t xml:space="preserve">evaluate the relevant </w:t>
      </w:r>
      <w:r w:rsidR="00063710" w:rsidRPr="00063710">
        <w:rPr>
          <w:color w:val="FF0000"/>
        </w:rPr>
        <w:t>District Policy APR 1705 (Source Testing Frequency)</w:t>
      </w:r>
      <w:r w:rsidR="00063710">
        <w:rPr>
          <w:color w:val="FF0000"/>
        </w:rPr>
        <w:t xml:space="preserve"> </w:t>
      </w:r>
      <w:r w:rsidR="00AA3968">
        <w:rPr>
          <w:color w:val="FF0000"/>
        </w:rPr>
        <w:t xml:space="preserve">sections that warrant consideration (e.g., </w:t>
      </w:r>
      <w:r w:rsidR="005C05BE">
        <w:rPr>
          <w:color w:val="FF0000"/>
        </w:rPr>
        <w:t>Marg</w:t>
      </w:r>
      <w:r w:rsidR="00DF1912">
        <w:rPr>
          <w:color w:val="FF0000"/>
        </w:rPr>
        <w:t>i</w:t>
      </w:r>
      <w:r w:rsidR="005C05BE">
        <w:rPr>
          <w:color w:val="FF0000"/>
        </w:rPr>
        <w:t>n of Compliance, Reliability of EFs, Source Testing Feasibility, etc.).</w:t>
      </w:r>
    </w:p>
    <w:p w14:paraId="3CA59DCC" w14:textId="77777777" w:rsidR="000177D5" w:rsidRPr="00993B55" w:rsidRDefault="000177D5" w:rsidP="007A60F3">
      <w:pPr>
        <w:widowControl w:val="0"/>
        <w:ind w:left="720"/>
        <w:rPr>
          <w:bCs/>
          <w:color w:val="000000"/>
        </w:rPr>
      </w:pPr>
    </w:p>
    <w:p w14:paraId="38A36AFC" w14:textId="77777777" w:rsidR="000177D5" w:rsidRPr="00993B55" w:rsidRDefault="000177D5" w:rsidP="007A60F3">
      <w:pPr>
        <w:widowControl w:val="0"/>
        <w:tabs>
          <w:tab w:val="left" w:pos="2250"/>
        </w:tabs>
        <w:autoSpaceDE w:val="0"/>
        <w:autoSpaceDN w:val="0"/>
        <w:adjustRightInd w:val="0"/>
        <w:ind w:left="720"/>
        <w:rPr>
          <w:i/>
          <w:iCs/>
          <w:color w:val="0000FF"/>
        </w:rPr>
      </w:pPr>
      <w:r w:rsidRPr="00993B55">
        <w:rPr>
          <w:i/>
          <w:iCs/>
          <w:color w:val="0000FF"/>
          <w:u w:val="single"/>
        </w:rPr>
        <w:t>Example (a)</w:t>
      </w:r>
      <w:r w:rsidRPr="00993B55">
        <w:rPr>
          <w:i/>
          <w:iCs/>
          <w:color w:val="0000FF"/>
        </w:rPr>
        <w:t>:</w:t>
      </w:r>
      <w:r w:rsidRPr="00993B55">
        <w:rPr>
          <w:i/>
          <w:iCs/>
          <w:color w:val="0000FF"/>
        </w:rPr>
        <w:tab/>
        <w:t>(For most permit units.)</w:t>
      </w:r>
    </w:p>
    <w:p w14:paraId="704C1126" w14:textId="388ED31E" w:rsidR="000177D5" w:rsidRPr="00993B55" w:rsidRDefault="000177D5" w:rsidP="007A60F3">
      <w:pPr>
        <w:widowControl w:val="0"/>
        <w:ind w:left="720"/>
      </w:pPr>
      <w:r w:rsidRPr="00993B55">
        <w:t>Pursuant to District Policy APR 1705</w:t>
      </w:r>
      <w:r w:rsidR="00572A21">
        <w:t xml:space="preserve"> (Source Testing Frequency)</w:t>
      </w:r>
      <w:r w:rsidRPr="00993B55">
        <w:t>, source testing is not required to demonstrate compliance with Rule 2201.</w:t>
      </w:r>
    </w:p>
    <w:p w14:paraId="313AC336" w14:textId="77777777" w:rsidR="000177D5" w:rsidRPr="00993B55" w:rsidRDefault="000177D5" w:rsidP="007A60F3">
      <w:pPr>
        <w:widowControl w:val="0"/>
        <w:ind w:left="720"/>
      </w:pPr>
    </w:p>
    <w:p w14:paraId="365FB161" w14:textId="13F267CC" w:rsidR="000177D5" w:rsidRPr="00993B55" w:rsidRDefault="000177D5" w:rsidP="007A60F3">
      <w:pPr>
        <w:widowControl w:val="0"/>
        <w:tabs>
          <w:tab w:val="left" w:pos="2250"/>
        </w:tabs>
        <w:autoSpaceDE w:val="0"/>
        <w:autoSpaceDN w:val="0"/>
        <w:adjustRightInd w:val="0"/>
        <w:ind w:left="720"/>
        <w:rPr>
          <w:i/>
          <w:iCs/>
          <w:color w:val="0000FF"/>
        </w:rPr>
      </w:pPr>
      <w:r w:rsidRPr="00993B55">
        <w:rPr>
          <w:i/>
          <w:iCs/>
          <w:color w:val="0000FF"/>
          <w:u w:val="single"/>
        </w:rPr>
        <w:t>Example (b)</w:t>
      </w:r>
      <w:r w:rsidRPr="00993B55">
        <w:rPr>
          <w:i/>
          <w:iCs/>
          <w:color w:val="0000FF"/>
        </w:rPr>
        <w:t>:</w:t>
      </w:r>
      <w:r w:rsidRPr="00993B55">
        <w:rPr>
          <w:i/>
          <w:iCs/>
          <w:color w:val="0000FF"/>
        </w:rPr>
        <w:tab/>
        <w:t>(For a boiler with a low NO</w:t>
      </w:r>
      <w:r w:rsidR="00E94A9F">
        <w:rPr>
          <w:i/>
          <w:iCs/>
          <w:color w:val="0000FF"/>
        </w:rPr>
        <w:t>x</w:t>
      </w:r>
      <w:r w:rsidRPr="00993B55">
        <w:rPr>
          <w:i/>
          <w:iCs/>
          <w:color w:val="0000FF"/>
        </w:rPr>
        <w:t xml:space="preserve"> burner and an SCR system.)</w:t>
      </w:r>
    </w:p>
    <w:p w14:paraId="1024AA03" w14:textId="18D8BFBD" w:rsidR="000177D5" w:rsidRPr="00993B55" w:rsidRDefault="000177D5" w:rsidP="007A60F3">
      <w:pPr>
        <w:widowControl w:val="0"/>
        <w:ind w:left="720"/>
        <w:rPr>
          <w:rFonts w:cs="Arial"/>
        </w:rPr>
      </w:pPr>
      <w:r w:rsidRPr="00993B55">
        <w:rPr>
          <w:rFonts w:cs="Arial"/>
        </w:rPr>
        <w:t xml:space="preserve">District Rule </w:t>
      </w:r>
      <w:r w:rsidR="003C46A8">
        <w:rPr>
          <w:rFonts w:cs="Arial"/>
        </w:rPr>
        <w:t>4320</w:t>
      </w:r>
      <w:r w:rsidR="003C46A8" w:rsidRPr="00993B55">
        <w:rPr>
          <w:rFonts w:cs="Arial"/>
        </w:rPr>
        <w:t xml:space="preserve"> </w:t>
      </w:r>
      <w:r w:rsidRPr="00993B55">
        <w:rPr>
          <w:rFonts w:cs="Arial"/>
        </w:rPr>
        <w:t>requires NO</w:t>
      </w:r>
      <w:r w:rsidR="00E94A9F">
        <w:rPr>
          <w:rFonts w:cs="Arial"/>
        </w:rPr>
        <w:t>x</w:t>
      </w:r>
      <w:r w:rsidRPr="00993B55">
        <w:rPr>
          <w:rFonts w:cs="Arial"/>
        </w:rPr>
        <w:t xml:space="preserve"> and CO emission testing </w:t>
      </w:r>
      <w:r w:rsidRPr="00993B55">
        <w:rPr>
          <w:rFonts w:cs="Arial"/>
          <w:snapToGrid w:val="0"/>
        </w:rPr>
        <w:t>not less than once every 12 months. Gaseous fuel fired units demonstrating compliance on two consecutive compliance source tests may defer the following source test for up to thirty-six months</w:t>
      </w:r>
      <w:r w:rsidRPr="00993B55">
        <w:rPr>
          <w:rFonts w:cs="Arial"/>
        </w:rPr>
        <w:t xml:space="preserve">.  </w:t>
      </w:r>
      <w:r w:rsidRPr="00993B55">
        <w:t>The District Source Test Policy (APR 1705) requires annual testing for all pollutants controlled by catalysts.  The control equipment will include a SCR system and ammonia slip is an indicator of how well the SCR system is performing.</w:t>
      </w:r>
    </w:p>
    <w:p w14:paraId="699AEB69" w14:textId="77777777" w:rsidR="000177D5" w:rsidRPr="00993B55" w:rsidRDefault="000177D5" w:rsidP="007A60F3">
      <w:pPr>
        <w:widowControl w:val="0"/>
        <w:ind w:left="720"/>
        <w:rPr>
          <w:rFonts w:cs="Arial"/>
        </w:rPr>
      </w:pPr>
    </w:p>
    <w:p w14:paraId="77460F6E" w14:textId="542034F1" w:rsidR="000177D5" w:rsidRPr="00993B55" w:rsidRDefault="000177D5" w:rsidP="007A60F3">
      <w:pPr>
        <w:widowControl w:val="0"/>
        <w:ind w:left="720"/>
        <w:rPr>
          <w:bCs/>
        </w:rPr>
      </w:pPr>
      <w:r w:rsidRPr="00993B55">
        <w:rPr>
          <w:rFonts w:cs="Arial"/>
        </w:rPr>
        <w:t>Therefore, source testing for NO</w:t>
      </w:r>
      <w:r w:rsidR="00E94A9F">
        <w:rPr>
          <w:rFonts w:cs="Arial"/>
        </w:rPr>
        <w:t>x</w:t>
      </w:r>
      <w:r w:rsidRPr="00993B55">
        <w:rPr>
          <w:rFonts w:cs="Arial"/>
        </w:rPr>
        <w:t xml:space="preserve">, CO, and ammonia will be required within 60 days of initial operation and at least once every 12 months thereafter.  Upon demonstrating compliance on two consecutive source tests, the following source test may be deferred </w:t>
      </w:r>
      <w:r w:rsidRPr="00993B55">
        <w:rPr>
          <w:rFonts w:cs="Arial"/>
        </w:rPr>
        <w:lastRenderedPageBreak/>
        <w:t xml:space="preserve">for up to thirty-six months. Source testing for Rule </w:t>
      </w:r>
      <w:r w:rsidR="003C46A8">
        <w:rPr>
          <w:rFonts w:cs="Arial"/>
        </w:rPr>
        <w:t>4320</w:t>
      </w:r>
      <w:r w:rsidR="003C46A8" w:rsidRPr="00993B55">
        <w:rPr>
          <w:rFonts w:cs="Arial"/>
        </w:rPr>
        <w:t xml:space="preserve"> </w:t>
      </w:r>
      <w:r w:rsidRPr="00993B55">
        <w:rPr>
          <w:rFonts w:cs="Arial"/>
        </w:rPr>
        <w:t>also satisfies any source testing requirements for Rule 2201.  No additional source testing is required.</w:t>
      </w:r>
    </w:p>
    <w:p w14:paraId="64BBF636" w14:textId="77777777" w:rsidR="000177D5" w:rsidRPr="00496462" w:rsidRDefault="000177D5" w:rsidP="008F20D3">
      <w:pPr>
        <w:pStyle w:val="Heading6"/>
      </w:pPr>
      <w:r w:rsidRPr="00496462">
        <w:t>2.</w:t>
      </w:r>
      <w:r w:rsidRPr="00496462">
        <w:tab/>
        <w:t>Monitoring</w:t>
      </w:r>
    </w:p>
    <w:p w14:paraId="75921793" w14:textId="77777777" w:rsidR="000177D5" w:rsidRPr="00993B55" w:rsidRDefault="000177D5" w:rsidP="007A60F3">
      <w:pPr>
        <w:widowControl w:val="0"/>
        <w:ind w:left="720"/>
        <w:rPr>
          <w:color w:val="FF0000"/>
        </w:rPr>
      </w:pPr>
      <w:r w:rsidRPr="00993B55">
        <w:rPr>
          <w:color w:val="FF0000"/>
        </w:rPr>
        <w:t>Indicate the type of monitoring required and the basis for the monitoring frequency.</w:t>
      </w:r>
    </w:p>
    <w:p w14:paraId="009F647B" w14:textId="77777777" w:rsidR="000177D5" w:rsidRPr="00993B55" w:rsidRDefault="000177D5" w:rsidP="007A60F3">
      <w:pPr>
        <w:widowControl w:val="0"/>
        <w:ind w:left="720"/>
      </w:pPr>
    </w:p>
    <w:p w14:paraId="7DDE82BE" w14:textId="77777777" w:rsidR="000177D5" w:rsidRPr="00993B55" w:rsidRDefault="000177D5" w:rsidP="007A60F3">
      <w:pPr>
        <w:widowControl w:val="0"/>
        <w:ind w:left="720"/>
        <w:rPr>
          <w:i/>
          <w:iCs/>
          <w:color w:val="FF0000"/>
        </w:rPr>
      </w:pPr>
      <w:r w:rsidRPr="00993B55">
        <w:rPr>
          <w:i/>
          <w:iCs/>
          <w:color w:val="FF0000"/>
        </w:rPr>
        <w:t>(</w:t>
      </w:r>
      <w:r w:rsidRPr="00993B55">
        <w:rPr>
          <w:i/>
          <w:iCs/>
          <w:color w:val="FF0000"/>
          <w:u w:val="single"/>
        </w:rPr>
        <w:t>Note</w:t>
      </w:r>
      <w:r w:rsidRPr="00993B55">
        <w:rPr>
          <w:i/>
          <w:iCs/>
          <w:color w:val="FF0000"/>
        </w:rPr>
        <w:t>: This monitoring section generally addresses “alternate monitoring” or Continuous Emissions Monitoring Systems (CEMS) as required by prohibitory rules such as 4305 and 4701.)</w:t>
      </w:r>
    </w:p>
    <w:p w14:paraId="5C4ABED7" w14:textId="77777777" w:rsidR="000177D5" w:rsidRPr="00993B55" w:rsidRDefault="000177D5" w:rsidP="007A60F3">
      <w:pPr>
        <w:widowControl w:val="0"/>
        <w:autoSpaceDE w:val="0"/>
        <w:autoSpaceDN w:val="0"/>
        <w:adjustRightInd w:val="0"/>
        <w:ind w:left="720"/>
      </w:pPr>
    </w:p>
    <w:p w14:paraId="3A88213C" w14:textId="77777777" w:rsidR="000177D5" w:rsidRPr="00993B55" w:rsidRDefault="000177D5" w:rsidP="007A60F3">
      <w:pPr>
        <w:widowControl w:val="0"/>
        <w:tabs>
          <w:tab w:val="left" w:pos="2250"/>
        </w:tabs>
        <w:autoSpaceDE w:val="0"/>
        <w:autoSpaceDN w:val="0"/>
        <w:adjustRightInd w:val="0"/>
        <w:ind w:left="720"/>
        <w:rPr>
          <w:i/>
          <w:iCs/>
          <w:color w:val="0000FF"/>
        </w:rPr>
      </w:pPr>
      <w:r w:rsidRPr="00993B55">
        <w:rPr>
          <w:i/>
          <w:iCs/>
          <w:color w:val="0000FF"/>
          <w:u w:val="single"/>
        </w:rPr>
        <w:t>Example (a)</w:t>
      </w:r>
      <w:r w:rsidRPr="00993B55">
        <w:rPr>
          <w:i/>
          <w:iCs/>
          <w:color w:val="0000FF"/>
        </w:rPr>
        <w:t>:</w:t>
      </w:r>
      <w:r w:rsidRPr="00993B55">
        <w:rPr>
          <w:i/>
          <w:iCs/>
          <w:color w:val="0000FF"/>
        </w:rPr>
        <w:tab/>
        <w:t>(For most permit units.)</w:t>
      </w:r>
    </w:p>
    <w:p w14:paraId="136FE08D" w14:textId="77777777" w:rsidR="000177D5" w:rsidRPr="00993B55" w:rsidRDefault="000177D5" w:rsidP="007A60F3">
      <w:pPr>
        <w:widowControl w:val="0"/>
        <w:ind w:left="720"/>
      </w:pPr>
      <w:r w:rsidRPr="00993B55">
        <w:t>No monitoring is required to demonstrate compliance with Rule 2201.</w:t>
      </w:r>
    </w:p>
    <w:p w14:paraId="46064E53" w14:textId="77777777" w:rsidR="000177D5" w:rsidRPr="00993B55" w:rsidRDefault="000177D5" w:rsidP="007A60F3">
      <w:pPr>
        <w:widowControl w:val="0"/>
        <w:ind w:left="720"/>
        <w:rPr>
          <w:bCs/>
          <w:color w:val="000000"/>
        </w:rPr>
      </w:pPr>
    </w:p>
    <w:p w14:paraId="7AF79C77" w14:textId="4A012B1C" w:rsidR="000177D5" w:rsidRPr="00993B55" w:rsidRDefault="000177D5" w:rsidP="007A60F3">
      <w:pPr>
        <w:widowControl w:val="0"/>
        <w:tabs>
          <w:tab w:val="left" w:pos="2250"/>
        </w:tabs>
        <w:autoSpaceDE w:val="0"/>
        <w:autoSpaceDN w:val="0"/>
        <w:adjustRightInd w:val="0"/>
        <w:ind w:left="720"/>
        <w:rPr>
          <w:i/>
          <w:iCs/>
          <w:color w:val="0000FF"/>
        </w:rPr>
      </w:pPr>
      <w:r w:rsidRPr="00993B55">
        <w:rPr>
          <w:i/>
          <w:iCs/>
          <w:color w:val="0000FF"/>
          <w:u w:val="single"/>
        </w:rPr>
        <w:t>Example (b)</w:t>
      </w:r>
      <w:r w:rsidRPr="00993B55">
        <w:rPr>
          <w:i/>
          <w:iCs/>
          <w:color w:val="0000FF"/>
        </w:rPr>
        <w:t>:</w:t>
      </w:r>
      <w:r w:rsidRPr="00993B55">
        <w:rPr>
          <w:i/>
          <w:iCs/>
          <w:color w:val="0000FF"/>
        </w:rPr>
        <w:tab/>
        <w:t>(For a boiler with a low NO</w:t>
      </w:r>
      <w:r w:rsidR="00E94A9F">
        <w:rPr>
          <w:i/>
          <w:iCs/>
          <w:color w:val="0000FF"/>
        </w:rPr>
        <w:t>x</w:t>
      </w:r>
      <w:r w:rsidRPr="00993B55">
        <w:rPr>
          <w:i/>
          <w:iCs/>
          <w:color w:val="0000FF"/>
        </w:rPr>
        <w:t xml:space="preserve"> burner and an SCR system.)</w:t>
      </w:r>
    </w:p>
    <w:p w14:paraId="083A8B07" w14:textId="2BC56961" w:rsidR="000177D5" w:rsidRPr="00993B55" w:rsidRDefault="000177D5" w:rsidP="007A60F3">
      <w:pPr>
        <w:widowControl w:val="0"/>
        <w:ind w:left="720"/>
      </w:pPr>
      <w:r w:rsidRPr="00993B55">
        <w:rPr>
          <w:rFonts w:cs="Arial"/>
        </w:rPr>
        <w:t>District Rule 430</w:t>
      </w:r>
      <w:r w:rsidR="000F5AD8">
        <w:rPr>
          <w:rFonts w:cs="Arial"/>
        </w:rPr>
        <w:t>6</w:t>
      </w:r>
      <w:r w:rsidRPr="00993B55">
        <w:rPr>
          <w:rFonts w:cs="Arial"/>
        </w:rPr>
        <w:t xml:space="preserve"> requires the</w:t>
      </w:r>
      <w:r w:rsidRPr="00993B55">
        <w:rPr>
          <w:rFonts w:cs="Arial"/>
          <w:snapToGrid w:val="0"/>
        </w:rPr>
        <w:t xml:space="preserve"> owner of any unit equipped with NO</w:t>
      </w:r>
      <w:r w:rsidR="00E94A9F">
        <w:rPr>
          <w:rFonts w:cs="Arial"/>
          <w:snapToGrid w:val="0"/>
        </w:rPr>
        <w:t>x</w:t>
      </w:r>
      <w:r w:rsidRPr="00993B55">
        <w:rPr>
          <w:rFonts w:cs="Arial"/>
          <w:snapToGrid w:val="0"/>
        </w:rPr>
        <w:t xml:space="preserve"> reduction technology shall either install and maintain continuous emissions monitoring equipment for NO</w:t>
      </w:r>
      <w:r w:rsidR="00E94A9F">
        <w:rPr>
          <w:rFonts w:cs="Arial"/>
          <w:snapToGrid w:val="0"/>
        </w:rPr>
        <w:t>x</w:t>
      </w:r>
      <w:r w:rsidRPr="00993B55">
        <w:rPr>
          <w:rFonts w:cs="Arial"/>
          <w:snapToGrid w:val="0"/>
        </w:rPr>
        <w:t>, CO, and oxygen, as identified in Rule 1080 (Stack Monitoring), or install and maintain APCO-approved alternate monitoring plan.  Since the boiler will be equipped with a low NO</w:t>
      </w:r>
      <w:r w:rsidR="00E94A9F">
        <w:rPr>
          <w:rFonts w:cs="Arial"/>
          <w:snapToGrid w:val="0"/>
        </w:rPr>
        <w:t>x</w:t>
      </w:r>
      <w:r w:rsidRPr="00993B55">
        <w:rPr>
          <w:rFonts w:cs="Arial"/>
          <w:snapToGrid w:val="0"/>
        </w:rPr>
        <w:t xml:space="preserve"> burner and a selective catalytic reduction system, this requirement applies.</w:t>
      </w:r>
    </w:p>
    <w:p w14:paraId="48F44084" w14:textId="77777777" w:rsidR="000177D5" w:rsidRPr="00993B55" w:rsidRDefault="000177D5" w:rsidP="007A60F3">
      <w:pPr>
        <w:widowControl w:val="0"/>
        <w:ind w:left="720"/>
      </w:pPr>
    </w:p>
    <w:p w14:paraId="5D5BF1E6" w14:textId="7D72807C" w:rsidR="000177D5" w:rsidRPr="00993B55" w:rsidRDefault="000177D5" w:rsidP="007A60F3">
      <w:pPr>
        <w:widowControl w:val="0"/>
        <w:tabs>
          <w:tab w:val="left" w:pos="1080"/>
        </w:tabs>
        <w:ind w:left="720"/>
        <w:rPr>
          <w:rFonts w:cs="Arial"/>
        </w:rPr>
      </w:pPr>
      <w:r w:rsidRPr="00993B55">
        <w:rPr>
          <w:rFonts w:cs="Arial"/>
          <w:snapToGrid w:val="0"/>
        </w:rPr>
        <w:t xml:space="preserve">The applicant proposed to utilize pre-approve </w:t>
      </w:r>
      <w:r w:rsidRPr="00993B55">
        <w:rPr>
          <w:rFonts w:cs="Arial"/>
        </w:rPr>
        <w:t>alternate monitoring plan “A” (Periodic Monitoring NO</w:t>
      </w:r>
      <w:r w:rsidR="00E94A9F">
        <w:rPr>
          <w:rFonts w:cs="Arial"/>
        </w:rPr>
        <w:t>x</w:t>
      </w:r>
      <w:r w:rsidRPr="00993B55">
        <w:rPr>
          <w:rFonts w:cs="Arial"/>
        </w:rPr>
        <w:t>, CO, and O</w:t>
      </w:r>
      <w:r w:rsidRPr="00993B55">
        <w:rPr>
          <w:rFonts w:cs="Arial"/>
          <w:vertAlign w:val="subscript"/>
        </w:rPr>
        <w:t>2</w:t>
      </w:r>
      <w:r w:rsidRPr="00993B55">
        <w:rPr>
          <w:rFonts w:cs="Arial"/>
        </w:rPr>
        <w:t xml:space="preserve"> Emissions Concentrations) to meet the requirements of District Rule 430</w:t>
      </w:r>
      <w:r w:rsidR="000F5AD8">
        <w:rPr>
          <w:rFonts w:cs="Arial"/>
        </w:rPr>
        <w:t>6</w:t>
      </w:r>
      <w:r w:rsidRPr="00993B55">
        <w:rPr>
          <w:rFonts w:cs="Arial"/>
        </w:rPr>
        <w:t>. Monitoring for Rule 430</w:t>
      </w:r>
      <w:r w:rsidR="000F5AD8">
        <w:rPr>
          <w:rFonts w:cs="Arial"/>
        </w:rPr>
        <w:t>6</w:t>
      </w:r>
      <w:r w:rsidRPr="00993B55">
        <w:rPr>
          <w:rFonts w:cs="Arial"/>
        </w:rPr>
        <w:t xml:space="preserve"> also satisfies the monitoring requirements for Rule 2201.  No additional monitoring is required.</w:t>
      </w:r>
    </w:p>
    <w:p w14:paraId="0343A2C2" w14:textId="77777777" w:rsidR="000177D5" w:rsidRPr="00496462" w:rsidRDefault="000177D5" w:rsidP="008F20D3">
      <w:pPr>
        <w:pStyle w:val="Heading6"/>
      </w:pPr>
      <w:r w:rsidRPr="00496462">
        <w:t>3.</w:t>
      </w:r>
      <w:r w:rsidRPr="00496462">
        <w:tab/>
        <w:t>Recordkeeping</w:t>
      </w:r>
    </w:p>
    <w:p w14:paraId="082532C5" w14:textId="77777777" w:rsidR="000177D5" w:rsidRPr="00993B55" w:rsidRDefault="000177D5" w:rsidP="007A60F3">
      <w:pPr>
        <w:widowControl w:val="0"/>
        <w:ind w:left="720"/>
        <w:rPr>
          <w:bCs/>
          <w:color w:val="FF0000"/>
        </w:rPr>
      </w:pPr>
      <w:r w:rsidRPr="00993B55">
        <w:rPr>
          <w:bCs/>
          <w:color w:val="FF0000"/>
        </w:rPr>
        <w:t>List all required recordkeeping.</w:t>
      </w:r>
    </w:p>
    <w:p w14:paraId="161959D4" w14:textId="77777777" w:rsidR="000177D5" w:rsidRPr="00993B55" w:rsidRDefault="000177D5" w:rsidP="007A60F3">
      <w:pPr>
        <w:widowControl w:val="0"/>
        <w:ind w:left="720"/>
        <w:rPr>
          <w:bCs/>
          <w:color w:val="000000"/>
        </w:rPr>
      </w:pPr>
    </w:p>
    <w:p w14:paraId="6597DE93" w14:textId="77777777" w:rsidR="000177D5" w:rsidRPr="00993B55" w:rsidRDefault="000177D5" w:rsidP="007A60F3">
      <w:pPr>
        <w:widowControl w:val="0"/>
        <w:ind w:left="720"/>
      </w:pPr>
      <w:r w:rsidRPr="00993B55">
        <w:t>Recordkeeping is required to demonstrate compliance with the offset, public notification and daily emission limit requirements of Rule 2201.  The following condition(s) are listed on the permit to operate:</w:t>
      </w:r>
    </w:p>
    <w:p w14:paraId="0E428EF6" w14:textId="77777777" w:rsidR="000177D5" w:rsidRPr="00E645C5" w:rsidRDefault="000177D5" w:rsidP="007A60F3">
      <w:pPr>
        <w:widowControl w:val="0"/>
        <w:tabs>
          <w:tab w:val="left" w:pos="2250"/>
        </w:tabs>
        <w:autoSpaceDE w:val="0"/>
        <w:autoSpaceDN w:val="0"/>
        <w:adjustRightInd w:val="0"/>
        <w:ind w:left="720"/>
      </w:pPr>
    </w:p>
    <w:p w14:paraId="2A7339E0" w14:textId="77777777" w:rsidR="000177D5" w:rsidRPr="00993B55" w:rsidRDefault="000177D5" w:rsidP="007A60F3">
      <w:pPr>
        <w:widowControl w:val="0"/>
        <w:tabs>
          <w:tab w:val="left" w:pos="2250"/>
        </w:tabs>
        <w:autoSpaceDE w:val="0"/>
        <w:autoSpaceDN w:val="0"/>
        <w:adjustRightInd w:val="0"/>
        <w:ind w:left="720"/>
        <w:rPr>
          <w:i/>
          <w:iCs/>
          <w:color w:val="0000FF"/>
        </w:rPr>
      </w:pPr>
      <w:r w:rsidRPr="00993B55">
        <w:rPr>
          <w:i/>
          <w:iCs/>
          <w:color w:val="0000FF"/>
          <w:u w:val="single"/>
        </w:rPr>
        <w:t>Example (a)</w:t>
      </w:r>
      <w:r w:rsidRPr="00993B55">
        <w:rPr>
          <w:i/>
          <w:iCs/>
          <w:color w:val="0000FF"/>
        </w:rPr>
        <w:t>:</w:t>
      </w:r>
      <w:r w:rsidRPr="00993B55">
        <w:rPr>
          <w:i/>
          <w:iCs/>
          <w:color w:val="0000FF"/>
        </w:rPr>
        <w:tab/>
        <w:t>(For an almond pre-cleaning operation.)</w:t>
      </w:r>
    </w:p>
    <w:p w14:paraId="21801D4B" w14:textId="77777777" w:rsidR="000177D5" w:rsidRPr="001A5773" w:rsidRDefault="000177D5" w:rsidP="007A60F3">
      <w:pPr>
        <w:widowControl w:val="0"/>
        <w:numPr>
          <w:ilvl w:val="0"/>
          <w:numId w:val="8"/>
        </w:numPr>
        <w:tabs>
          <w:tab w:val="clear" w:pos="720"/>
          <w:tab w:val="left" w:pos="1080"/>
        </w:tabs>
        <w:ind w:left="1080"/>
      </w:pPr>
      <w:r w:rsidRPr="001A5773">
        <w:t>Daily and annual records of field weight almonds processed shall be maintained, retained on-site for a period of at least five years and made available for District inspection upon request. [District Rule 1070]</w:t>
      </w:r>
    </w:p>
    <w:p w14:paraId="446A5BB0" w14:textId="77777777" w:rsidR="00216E6C" w:rsidRPr="00E645C5" w:rsidRDefault="00216E6C" w:rsidP="007A60F3">
      <w:pPr>
        <w:widowControl w:val="0"/>
        <w:tabs>
          <w:tab w:val="left" w:pos="2250"/>
        </w:tabs>
        <w:autoSpaceDE w:val="0"/>
        <w:autoSpaceDN w:val="0"/>
        <w:adjustRightInd w:val="0"/>
        <w:ind w:left="720"/>
      </w:pPr>
    </w:p>
    <w:p w14:paraId="0A855153" w14:textId="77777777" w:rsidR="000177D5" w:rsidRPr="00993B55" w:rsidRDefault="000177D5" w:rsidP="007A60F3">
      <w:pPr>
        <w:widowControl w:val="0"/>
        <w:tabs>
          <w:tab w:val="left" w:pos="2250"/>
        </w:tabs>
        <w:autoSpaceDE w:val="0"/>
        <w:autoSpaceDN w:val="0"/>
        <w:adjustRightInd w:val="0"/>
        <w:ind w:left="720"/>
        <w:rPr>
          <w:i/>
          <w:iCs/>
          <w:color w:val="0000FF"/>
        </w:rPr>
      </w:pPr>
      <w:r w:rsidRPr="00993B55">
        <w:rPr>
          <w:i/>
          <w:iCs/>
          <w:color w:val="0000FF"/>
          <w:u w:val="single"/>
        </w:rPr>
        <w:t>Example (b)</w:t>
      </w:r>
      <w:r w:rsidRPr="00993B55">
        <w:rPr>
          <w:i/>
          <w:iCs/>
          <w:color w:val="0000FF"/>
        </w:rPr>
        <w:t>:</w:t>
      </w:r>
      <w:r w:rsidRPr="00993B55">
        <w:rPr>
          <w:i/>
          <w:iCs/>
          <w:color w:val="0000FF"/>
        </w:rPr>
        <w:tab/>
        <w:t>(For a boiler with an annual fuel use limit.)</w:t>
      </w:r>
    </w:p>
    <w:p w14:paraId="378D9CC4" w14:textId="0F258FB3" w:rsidR="000177D5" w:rsidRPr="001A5773" w:rsidRDefault="000177D5" w:rsidP="007A60F3">
      <w:pPr>
        <w:widowControl w:val="0"/>
        <w:numPr>
          <w:ilvl w:val="0"/>
          <w:numId w:val="8"/>
        </w:numPr>
        <w:tabs>
          <w:tab w:val="clear" w:pos="720"/>
          <w:tab w:val="left" w:pos="1080"/>
        </w:tabs>
        <w:ind w:left="1080"/>
        <w:rPr>
          <w:rFonts w:cs="Arial"/>
        </w:rPr>
      </w:pPr>
      <w:r w:rsidRPr="001A5773">
        <w:rPr>
          <w:rFonts w:cs="Arial"/>
        </w:rPr>
        <w:t>Records of monthly natural gas consumption shall be maintained, retained on-site for a period of at least five years and made available for District inspection upon request. [District Rule 430</w:t>
      </w:r>
      <w:r w:rsidR="00CF5BFA" w:rsidRPr="001A5773">
        <w:rPr>
          <w:rFonts w:cs="Arial"/>
        </w:rPr>
        <w:t>6</w:t>
      </w:r>
      <w:r w:rsidRPr="001A5773">
        <w:rPr>
          <w:rFonts w:cs="Arial"/>
        </w:rPr>
        <w:t>]</w:t>
      </w:r>
    </w:p>
    <w:p w14:paraId="4EC3ED35" w14:textId="77777777" w:rsidR="000177D5" w:rsidRPr="00993B55" w:rsidRDefault="000177D5" w:rsidP="007A60F3">
      <w:pPr>
        <w:widowControl w:val="0"/>
        <w:ind w:left="720"/>
        <w:rPr>
          <w:rFonts w:cs="Arial"/>
          <w:color w:val="000000"/>
        </w:rPr>
      </w:pPr>
    </w:p>
    <w:p w14:paraId="4D6FFA92" w14:textId="34067E42" w:rsidR="000177D5" w:rsidRPr="00993B55" w:rsidRDefault="000177D5" w:rsidP="007A60F3">
      <w:pPr>
        <w:widowControl w:val="0"/>
        <w:ind w:left="720"/>
        <w:rPr>
          <w:rFonts w:cs="Arial"/>
          <w:color w:val="000000"/>
        </w:rPr>
      </w:pPr>
      <w:r w:rsidRPr="00993B55">
        <w:rPr>
          <w:rFonts w:cs="Arial"/>
          <w:color w:val="000000"/>
        </w:rPr>
        <w:t>The applicant will also be required to keep records of all of the parameters that are required by the Rule 430</w:t>
      </w:r>
      <w:r w:rsidR="00CF5BFA">
        <w:rPr>
          <w:rFonts w:cs="Arial"/>
          <w:color w:val="000000"/>
        </w:rPr>
        <w:t>6</w:t>
      </w:r>
      <w:r w:rsidRPr="00993B55">
        <w:rPr>
          <w:rFonts w:cs="Arial"/>
          <w:color w:val="000000"/>
        </w:rPr>
        <w:t xml:space="preserve"> alternate monitoring requirements.</w:t>
      </w:r>
    </w:p>
    <w:p w14:paraId="5BEC9797" w14:textId="77777777" w:rsidR="000177D5" w:rsidRPr="00993B55" w:rsidRDefault="000177D5" w:rsidP="007A60F3">
      <w:pPr>
        <w:widowControl w:val="0"/>
        <w:ind w:left="720"/>
        <w:rPr>
          <w:rFonts w:cs="Arial"/>
          <w:color w:val="000000"/>
        </w:rPr>
      </w:pPr>
    </w:p>
    <w:p w14:paraId="1E8072EB" w14:textId="25291BB9" w:rsidR="000177D5" w:rsidRPr="001A5773" w:rsidRDefault="000177D5" w:rsidP="007A60F3">
      <w:pPr>
        <w:widowControl w:val="0"/>
        <w:numPr>
          <w:ilvl w:val="0"/>
          <w:numId w:val="8"/>
        </w:numPr>
        <w:tabs>
          <w:tab w:val="clear" w:pos="720"/>
          <w:tab w:val="left" w:pos="1080"/>
        </w:tabs>
        <w:ind w:left="1080"/>
        <w:rPr>
          <w:rFonts w:cs="Arial"/>
        </w:rPr>
      </w:pPr>
      <w:r w:rsidRPr="001A5773">
        <w:rPr>
          <w:rFonts w:cs="Arial"/>
        </w:rPr>
        <w:t xml:space="preserve">The permittee shall maintain records of the date and time of NOx, CO, and O2 </w:t>
      </w:r>
      <w:r w:rsidRPr="001A5773">
        <w:rPr>
          <w:rFonts w:cs="Arial"/>
        </w:rPr>
        <w:lastRenderedPageBreak/>
        <w:t>measurements, the measured NO2 and CO concentrations corrected to 3% O2, and the O2 concentration.  The records must also include a description of any corrective action taken to maintain the emissions within the acceptable range.  These records shall be maintained, retained on-site for a period of at least five years and made available for District inspection upon request. [District Rule 430</w:t>
      </w:r>
      <w:r w:rsidR="00CF5BFA" w:rsidRPr="001A5773">
        <w:rPr>
          <w:rFonts w:cs="Arial"/>
        </w:rPr>
        <w:t>6</w:t>
      </w:r>
      <w:r w:rsidRPr="001A5773">
        <w:rPr>
          <w:rFonts w:cs="Arial"/>
        </w:rPr>
        <w:t>]</w:t>
      </w:r>
    </w:p>
    <w:p w14:paraId="70EF90FD" w14:textId="77777777" w:rsidR="000177D5" w:rsidRPr="00496462" w:rsidRDefault="000177D5" w:rsidP="008F20D3">
      <w:pPr>
        <w:pStyle w:val="Heading6"/>
      </w:pPr>
      <w:r w:rsidRPr="00496462">
        <w:t>4.</w:t>
      </w:r>
      <w:r w:rsidRPr="00496462">
        <w:tab/>
        <w:t>Reporting</w:t>
      </w:r>
    </w:p>
    <w:p w14:paraId="01DCFD15" w14:textId="77777777" w:rsidR="000177D5" w:rsidRPr="00993B55" w:rsidRDefault="000177D5" w:rsidP="007A60F3">
      <w:pPr>
        <w:widowControl w:val="0"/>
        <w:ind w:left="720"/>
        <w:rPr>
          <w:bCs/>
          <w:color w:val="FF0000"/>
        </w:rPr>
      </w:pPr>
      <w:r w:rsidRPr="00993B55">
        <w:rPr>
          <w:bCs/>
          <w:color w:val="FF0000"/>
        </w:rPr>
        <w:t>List any necessary reporting.</w:t>
      </w:r>
    </w:p>
    <w:p w14:paraId="15E5B00D" w14:textId="77777777" w:rsidR="000177D5" w:rsidRPr="00E32F54" w:rsidRDefault="000177D5" w:rsidP="007A60F3">
      <w:pPr>
        <w:widowControl w:val="0"/>
        <w:ind w:left="720"/>
      </w:pPr>
    </w:p>
    <w:p w14:paraId="279F96A7" w14:textId="77777777" w:rsidR="000177D5" w:rsidRPr="00993B55" w:rsidRDefault="000177D5" w:rsidP="007A60F3">
      <w:pPr>
        <w:widowControl w:val="0"/>
        <w:ind w:left="720"/>
        <w:rPr>
          <w:i/>
          <w:iCs/>
          <w:color w:val="FF0000"/>
        </w:rPr>
      </w:pPr>
      <w:r w:rsidRPr="00993B55">
        <w:rPr>
          <w:i/>
          <w:iCs/>
          <w:color w:val="FF0000"/>
        </w:rPr>
        <w:t>(</w:t>
      </w:r>
      <w:r w:rsidRPr="00993B55">
        <w:rPr>
          <w:i/>
          <w:iCs/>
          <w:color w:val="FF0000"/>
          <w:u w:val="single"/>
        </w:rPr>
        <w:t>Note</w:t>
      </w:r>
      <w:r w:rsidRPr="00993B55">
        <w:rPr>
          <w:i/>
          <w:iCs/>
          <w:color w:val="FF0000"/>
        </w:rPr>
        <w:t>: This reporting section generally refers to requirements outlined by rules or regulations where the facility is to submit reports to the District.)</w:t>
      </w:r>
    </w:p>
    <w:p w14:paraId="30634A6D" w14:textId="77777777" w:rsidR="000177D5" w:rsidRPr="00993B55" w:rsidRDefault="000177D5" w:rsidP="007A60F3">
      <w:pPr>
        <w:widowControl w:val="0"/>
        <w:ind w:left="720"/>
        <w:rPr>
          <w:bCs/>
          <w:iCs/>
        </w:rPr>
      </w:pPr>
    </w:p>
    <w:p w14:paraId="6C2B158E" w14:textId="77777777" w:rsidR="000177D5" w:rsidRPr="00993B55" w:rsidRDefault="000177D5" w:rsidP="007A60F3">
      <w:pPr>
        <w:widowControl w:val="0"/>
        <w:tabs>
          <w:tab w:val="left" w:pos="2250"/>
        </w:tabs>
        <w:autoSpaceDE w:val="0"/>
        <w:autoSpaceDN w:val="0"/>
        <w:adjustRightInd w:val="0"/>
        <w:ind w:left="720"/>
        <w:rPr>
          <w:i/>
          <w:iCs/>
          <w:color w:val="0000FF"/>
        </w:rPr>
      </w:pPr>
      <w:r w:rsidRPr="00993B55">
        <w:rPr>
          <w:i/>
          <w:iCs/>
          <w:color w:val="0000FF"/>
          <w:u w:val="single"/>
        </w:rPr>
        <w:t>Example (a)</w:t>
      </w:r>
      <w:r w:rsidRPr="00993B55">
        <w:rPr>
          <w:i/>
          <w:iCs/>
          <w:color w:val="0000FF"/>
        </w:rPr>
        <w:t>:</w:t>
      </w:r>
      <w:r w:rsidRPr="00993B55">
        <w:rPr>
          <w:i/>
          <w:iCs/>
          <w:color w:val="0000FF"/>
        </w:rPr>
        <w:tab/>
        <w:t>(For most permit units.)</w:t>
      </w:r>
    </w:p>
    <w:p w14:paraId="4BE6E03F" w14:textId="77777777" w:rsidR="000177D5" w:rsidRPr="00993B55" w:rsidRDefault="000177D5" w:rsidP="007A60F3">
      <w:pPr>
        <w:widowControl w:val="0"/>
        <w:ind w:left="720"/>
        <w:rPr>
          <w:color w:val="000000"/>
        </w:rPr>
      </w:pPr>
      <w:r w:rsidRPr="00993B55">
        <w:rPr>
          <w:color w:val="000000"/>
        </w:rPr>
        <w:t xml:space="preserve">No reporting is required </w:t>
      </w:r>
      <w:r w:rsidRPr="00993B55">
        <w:t>to demonstrate compliance with Rule 2201</w:t>
      </w:r>
      <w:r w:rsidRPr="00993B55">
        <w:rPr>
          <w:color w:val="000000"/>
        </w:rPr>
        <w:t>.</w:t>
      </w:r>
    </w:p>
    <w:p w14:paraId="7335ADDF" w14:textId="77777777" w:rsidR="000177D5" w:rsidRPr="00993B55" w:rsidRDefault="000177D5" w:rsidP="007A60F3">
      <w:pPr>
        <w:widowControl w:val="0"/>
        <w:ind w:left="720"/>
        <w:rPr>
          <w:color w:val="000000"/>
        </w:rPr>
      </w:pPr>
    </w:p>
    <w:p w14:paraId="6D5C2DCF" w14:textId="6990C330" w:rsidR="000177D5" w:rsidRPr="00993B55" w:rsidRDefault="000177D5" w:rsidP="007A60F3">
      <w:pPr>
        <w:widowControl w:val="0"/>
        <w:tabs>
          <w:tab w:val="left" w:pos="2250"/>
        </w:tabs>
        <w:autoSpaceDE w:val="0"/>
        <w:autoSpaceDN w:val="0"/>
        <w:adjustRightInd w:val="0"/>
        <w:ind w:left="720"/>
        <w:rPr>
          <w:i/>
          <w:iCs/>
          <w:color w:val="0000FF"/>
        </w:rPr>
      </w:pPr>
      <w:r w:rsidRPr="00993B55">
        <w:rPr>
          <w:i/>
          <w:iCs/>
          <w:color w:val="0000FF"/>
          <w:u w:val="single"/>
        </w:rPr>
        <w:t>Example (b)</w:t>
      </w:r>
      <w:r w:rsidRPr="00993B55">
        <w:rPr>
          <w:i/>
          <w:iCs/>
          <w:color w:val="0000FF"/>
        </w:rPr>
        <w:t>:</w:t>
      </w:r>
      <w:r w:rsidRPr="00993B55">
        <w:rPr>
          <w:i/>
          <w:iCs/>
          <w:color w:val="0000FF"/>
        </w:rPr>
        <w:tab/>
        <w:t>(For a boiler subject to 40</w:t>
      </w:r>
      <w:r w:rsidR="004F0F25">
        <w:rPr>
          <w:i/>
          <w:iCs/>
          <w:color w:val="0000FF"/>
        </w:rPr>
        <w:t xml:space="preserve"> </w:t>
      </w:r>
      <w:r w:rsidRPr="00993B55">
        <w:rPr>
          <w:i/>
          <w:iCs/>
          <w:color w:val="0000FF"/>
        </w:rPr>
        <w:t>CFR</w:t>
      </w:r>
      <w:r w:rsidR="004F0F25">
        <w:rPr>
          <w:i/>
          <w:iCs/>
          <w:color w:val="0000FF"/>
        </w:rPr>
        <w:t xml:space="preserve"> </w:t>
      </w:r>
      <w:r w:rsidRPr="00993B55">
        <w:rPr>
          <w:i/>
          <w:iCs/>
          <w:color w:val="0000FF"/>
        </w:rPr>
        <w:t>60 Subpart Db.)</w:t>
      </w:r>
    </w:p>
    <w:p w14:paraId="04564A53" w14:textId="77777777" w:rsidR="000177D5" w:rsidRPr="00993B55" w:rsidRDefault="000177D5" w:rsidP="007A60F3">
      <w:pPr>
        <w:widowControl w:val="0"/>
        <w:ind w:left="720"/>
      </w:pPr>
      <w:r w:rsidRPr="00993B55">
        <w:t xml:space="preserve">40 CFR Part 60 Subpart Section 60.49b paragraph (h)(2) requires that the owner submit quarterly excess emission reports for any calendar quarter during which there are excess emissions.  It also requires semiannual reports stating that there have been no excess emissions during periods when there have been no excess emissions. Such reporting will be required </w:t>
      </w:r>
      <w:r w:rsidRPr="00993B55">
        <w:rPr>
          <w:rFonts w:cs="Arial"/>
        </w:rPr>
        <w:t>and will satisfy the reporting requirements for Rule 2201</w:t>
      </w:r>
      <w:r w:rsidRPr="00993B55">
        <w:t>.</w:t>
      </w:r>
      <w:r w:rsidRPr="00993B55">
        <w:rPr>
          <w:rFonts w:cs="Arial"/>
        </w:rPr>
        <w:t xml:space="preserve"> No additional reporting is required.</w:t>
      </w:r>
    </w:p>
    <w:p w14:paraId="017BBBEC" w14:textId="77777777" w:rsidR="000177D5" w:rsidRPr="00496462" w:rsidRDefault="000177D5" w:rsidP="00366F05">
      <w:pPr>
        <w:pStyle w:val="Heading5"/>
      </w:pPr>
      <w:r w:rsidRPr="00496462">
        <w:t>F.</w:t>
      </w:r>
      <w:r w:rsidRPr="00496462">
        <w:tab/>
        <w:t>Ambient Air Quality Analysis (AAQA)</w:t>
      </w:r>
    </w:p>
    <w:p w14:paraId="26236AD8" w14:textId="6B159962" w:rsidR="000177D5" w:rsidRPr="00993B55" w:rsidRDefault="000177D5" w:rsidP="007A60F3">
      <w:pPr>
        <w:widowControl w:val="0"/>
        <w:ind w:left="360"/>
        <w:rPr>
          <w:bCs/>
          <w:iCs/>
          <w:color w:val="FF0000"/>
        </w:rPr>
      </w:pPr>
      <w:r w:rsidRPr="00993B55">
        <w:rPr>
          <w:bCs/>
          <w:i/>
          <w:color w:val="FF0000"/>
          <w:u w:val="single"/>
        </w:rPr>
        <w:t>Note</w:t>
      </w:r>
      <w:r w:rsidRPr="00993B55">
        <w:rPr>
          <w:bCs/>
          <w:i/>
          <w:color w:val="FF0000"/>
        </w:rPr>
        <w:t>: Applicable only when public notice is triggered, otherwise delete this section.</w:t>
      </w:r>
    </w:p>
    <w:p w14:paraId="37C6AA16" w14:textId="77777777" w:rsidR="000177D5" w:rsidRPr="00993B55" w:rsidRDefault="000177D5" w:rsidP="007A60F3">
      <w:pPr>
        <w:widowControl w:val="0"/>
        <w:ind w:left="360"/>
        <w:rPr>
          <w:bCs/>
        </w:rPr>
      </w:pPr>
    </w:p>
    <w:p w14:paraId="555A780B" w14:textId="16003710" w:rsidR="0000699E" w:rsidRDefault="000177D5" w:rsidP="0000699E">
      <w:pPr>
        <w:widowControl w:val="0"/>
        <w:tabs>
          <w:tab w:val="left" w:pos="1267"/>
        </w:tabs>
        <w:ind w:left="360"/>
      </w:pPr>
      <w:r w:rsidRPr="00993B55">
        <w:t>Section 4.1</w:t>
      </w:r>
      <w:r w:rsidR="00DB0D2C">
        <w:t>5</w:t>
      </w:r>
      <w:r w:rsidRPr="00993B55">
        <w:t xml:space="preserve"> of District Rule 2201 requires that an AAQA be conducted for the purpose of determining whether a new or modified Stationary Source will cause or make worse a violation of an air quality standard. </w:t>
      </w:r>
      <w:r w:rsidR="0000699E" w:rsidRPr="00B42BBA">
        <w:t xml:space="preserve">The District evaluated the proposed project’s potential impact on the National Ambient Air Quality Standard (NAAQS) and/or California Ambient Air Quality Standard (CAAQS) in accordance with </w:t>
      </w:r>
      <w:hyperlink r:id="rId25" w:history="1">
        <w:r w:rsidR="0000699E" w:rsidRPr="00F366A5">
          <w:rPr>
            <w:rStyle w:val="Hyperlink"/>
          </w:rPr>
          <w:t>District Policy APR</w:t>
        </w:r>
        <w:r w:rsidR="00F366A5" w:rsidRPr="00F366A5">
          <w:rPr>
            <w:rStyle w:val="Hyperlink"/>
          </w:rPr>
          <w:t xml:space="preserve"> </w:t>
        </w:r>
        <w:r w:rsidR="0000699E" w:rsidRPr="00F366A5">
          <w:rPr>
            <w:rStyle w:val="Hyperlink"/>
          </w:rPr>
          <w:t>1925 (District Rule 2201 AAQA Modeling)</w:t>
        </w:r>
      </w:hyperlink>
      <w:r w:rsidR="0000699E" w:rsidRPr="00B42BBA">
        <w:t xml:space="preserve"> and EPA’s Guideline for Air Quality Modeling (Appendix W of 40 CFR Part 51). </w:t>
      </w:r>
    </w:p>
    <w:p w14:paraId="1F811581" w14:textId="18500656" w:rsidR="000177D5" w:rsidRPr="00993B55" w:rsidRDefault="000177D5" w:rsidP="007A60F3">
      <w:pPr>
        <w:widowControl w:val="0"/>
        <w:ind w:left="360"/>
      </w:pPr>
    </w:p>
    <w:p w14:paraId="76166AF9" w14:textId="579EDED5" w:rsidR="0048580A" w:rsidRPr="0048580A" w:rsidRDefault="00C768B0" w:rsidP="0048580A">
      <w:pPr>
        <w:widowControl w:val="0"/>
        <w:tabs>
          <w:tab w:val="left" w:pos="1267"/>
        </w:tabs>
        <w:ind w:left="360"/>
      </w:pPr>
      <w:r>
        <w:t>Based on the results of the AAQA, t</w:t>
      </w:r>
      <w:r w:rsidR="0048580A" w:rsidRPr="0048580A">
        <w:t xml:space="preserve">he project is not expected to cause or contribute to an exceedance of any applicable NAAQS or CAAQS, nor does it exceed applicable Significant Impact Levels (SILs). </w:t>
      </w:r>
      <w:r>
        <w:t xml:space="preserve"> See AAQA Summary attached as an appendix to this application review for further detail.</w:t>
      </w:r>
    </w:p>
    <w:p w14:paraId="588CD73A" w14:textId="25805365" w:rsidR="006725E8" w:rsidRPr="005938D3" w:rsidRDefault="006725E8" w:rsidP="00366F05">
      <w:pPr>
        <w:pStyle w:val="Heading5"/>
      </w:pPr>
      <w:r>
        <w:t>G</w:t>
      </w:r>
      <w:r w:rsidRPr="005938D3">
        <w:t>. Alternate Siting Analysis</w:t>
      </w:r>
    </w:p>
    <w:p w14:paraId="2E29B439" w14:textId="77777777" w:rsidR="006725E8" w:rsidRPr="00993B55" w:rsidRDefault="006725E8" w:rsidP="007A60F3">
      <w:pPr>
        <w:widowControl w:val="0"/>
        <w:ind w:left="360"/>
        <w:rPr>
          <w:rFonts w:ascii="Times New Roman" w:hAnsi="Times New Roman"/>
          <w:i/>
          <w:color w:val="FF0000"/>
          <w:szCs w:val="24"/>
        </w:rPr>
      </w:pPr>
      <w:r w:rsidRPr="00993B55">
        <w:rPr>
          <w:rFonts w:cs="Arial"/>
          <w:i/>
          <w:color w:val="FF0000"/>
          <w:szCs w:val="24"/>
        </w:rPr>
        <w:t>Alternative siting analysis is required for any project, which constitutes a New Major Source or a Federal Major Modification.</w:t>
      </w:r>
    </w:p>
    <w:p w14:paraId="10F3B49E" w14:textId="77777777" w:rsidR="006725E8" w:rsidRPr="00D450AA" w:rsidRDefault="006725E8" w:rsidP="007A60F3">
      <w:pPr>
        <w:widowControl w:val="0"/>
        <w:ind w:left="360"/>
        <w:jc w:val="left"/>
        <w:rPr>
          <w:rFonts w:cs="Arial"/>
          <w:szCs w:val="24"/>
        </w:rPr>
      </w:pPr>
    </w:p>
    <w:p w14:paraId="7064D6EE" w14:textId="35161E03" w:rsidR="006725E8" w:rsidRPr="00993B55" w:rsidRDefault="006725E8" w:rsidP="007A60F3">
      <w:pPr>
        <w:widowControl w:val="0"/>
        <w:ind w:left="360"/>
        <w:rPr>
          <w:rFonts w:ascii="Times New Roman" w:hAnsi="Times New Roman"/>
          <w:szCs w:val="24"/>
        </w:rPr>
      </w:pPr>
      <w:r w:rsidRPr="00993B55">
        <w:rPr>
          <w:rFonts w:cs="Arial"/>
          <w:color w:val="000000"/>
          <w:szCs w:val="24"/>
        </w:rPr>
        <w:t>The current project occurs at an existing</w:t>
      </w:r>
      <w:r w:rsidR="0034356B">
        <w:rPr>
          <w:rFonts w:cs="Arial"/>
          <w:color w:val="000000"/>
          <w:szCs w:val="24"/>
        </w:rPr>
        <w:t xml:space="preserve"> </w:t>
      </w:r>
      <w:r w:rsidRPr="00993B55">
        <w:rPr>
          <w:rFonts w:cs="Arial"/>
          <w:color w:val="000000"/>
          <w:szCs w:val="24"/>
        </w:rPr>
        <w:t>facility. The applicant proposes to install</w:t>
      </w:r>
      <w:r w:rsidR="0034356B">
        <w:rPr>
          <w:rFonts w:cs="Arial"/>
          <w:color w:val="000000"/>
          <w:szCs w:val="24"/>
        </w:rPr>
        <w:t xml:space="preserve"> </w:t>
      </w:r>
      <w:r w:rsidRPr="00993B55">
        <w:rPr>
          <w:rFonts w:cs="Arial"/>
          <w:color w:val="000000"/>
          <w:szCs w:val="24"/>
        </w:rPr>
        <w:t>a</w:t>
      </w:r>
      <w:r w:rsidR="0034356B">
        <w:rPr>
          <w:rFonts w:cs="Arial"/>
          <w:color w:val="800000"/>
          <w:szCs w:val="24"/>
        </w:rPr>
        <w:t xml:space="preserve"> </w:t>
      </w:r>
      <w:r w:rsidRPr="00993B55">
        <w:rPr>
          <w:rFonts w:cs="Arial"/>
          <w:color w:val="0000FF"/>
          <w:szCs w:val="24"/>
        </w:rPr>
        <w:t>[Insert project description]</w:t>
      </w:r>
      <w:r w:rsidRPr="0034356B">
        <w:rPr>
          <w:rFonts w:cs="Arial"/>
          <w:szCs w:val="24"/>
        </w:rPr>
        <w:t>.</w:t>
      </w:r>
    </w:p>
    <w:p w14:paraId="679657E1" w14:textId="77777777" w:rsidR="006725E8" w:rsidRPr="0034356B" w:rsidRDefault="006725E8" w:rsidP="0034356B">
      <w:pPr>
        <w:widowControl w:val="0"/>
        <w:ind w:left="360"/>
        <w:jc w:val="left"/>
        <w:rPr>
          <w:rFonts w:cs="Arial"/>
          <w:szCs w:val="24"/>
        </w:rPr>
      </w:pPr>
    </w:p>
    <w:p w14:paraId="0DB6307A" w14:textId="7DA0C4FE" w:rsidR="006725E8" w:rsidRPr="00993B55" w:rsidRDefault="006725E8" w:rsidP="007A60F3">
      <w:pPr>
        <w:widowControl w:val="0"/>
        <w:ind w:left="360"/>
        <w:rPr>
          <w:rFonts w:cs="Arial"/>
          <w:color w:val="000000"/>
          <w:szCs w:val="24"/>
        </w:rPr>
      </w:pPr>
      <w:r w:rsidRPr="00993B55">
        <w:rPr>
          <w:rFonts w:cs="Arial"/>
          <w:color w:val="000000"/>
          <w:szCs w:val="24"/>
        </w:rPr>
        <w:t>Since the project</w:t>
      </w:r>
      <w:r w:rsidR="0034356B">
        <w:rPr>
          <w:rFonts w:cs="Arial"/>
          <w:color w:val="000000"/>
          <w:szCs w:val="24"/>
        </w:rPr>
        <w:t xml:space="preserve"> </w:t>
      </w:r>
      <w:r w:rsidRPr="00993B55">
        <w:rPr>
          <w:rFonts w:cs="Arial"/>
          <w:color w:val="000000"/>
          <w:szCs w:val="24"/>
        </w:rPr>
        <w:t>will provide</w:t>
      </w:r>
      <w:r w:rsidR="0034356B">
        <w:rPr>
          <w:rFonts w:cs="Arial"/>
          <w:color w:val="000000"/>
          <w:szCs w:val="24"/>
        </w:rPr>
        <w:t xml:space="preserve"> </w:t>
      </w:r>
      <w:r w:rsidRPr="00993B55">
        <w:rPr>
          <w:rFonts w:cs="Arial"/>
          <w:color w:val="0000FF"/>
          <w:szCs w:val="24"/>
        </w:rPr>
        <w:t>[Insert description]</w:t>
      </w:r>
      <w:r w:rsidRPr="00993B55">
        <w:rPr>
          <w:rFonts w:cs="Arial"/>
          <w:color w:val="800000"/>
          <w:szCs w:val="24"/>
        </w:rPr>
        <w:t xml:space="preserve"> </w:t>
      </w:r>
      <w:r w:rsidRPr="00993B55">
        <w:rPr>
          <w:rFonts w:cs="Arial"/>
          <w:color w:val="000000"/>
          <w:szCs w:val="24"/>
        </w:rPr>
        <w:t>to be used at the same location, the</w:t>
      </w:r>
      <w:r w:rsidRPr="00993B55">
        <w:rPr>
          <w:rFonts w:cs="Arial"/>
          <w:color w:val="800000"/>
          <w:szCs w:val="24"/>
        </w:rPr>
        <w:t xml:space="preserve"> </w:t>
      </w:r>
      <w:r w:rsidRPr="00993B55">
        <w:rPr>
          <w:rFonts w:cs="Arial"/>
          <w:color w:val="000000"/>
          <w:szCs w:val="24"/>
        </w:rPr>
        <w:t>existing site will result in the least possible impact from the project. Alternative sites would involve the relocation and/or construction of various support structures on a much greater scale, and would therefore result in a much greater impact.</w:t>
      </w:r>
    </w:p>
    <w:p w14:paraId="194581EC" w14:textId="3329FEB7" w:rsidR="000177D5" w:rsidRPr="005938D3" w:rsidRDefault="006725E8" w:rsidP="00366F05">
      <w:pPr>
        <w:pStyle w:val="Heading5"/>
      </w:pPr>
      <w:r>
        <w:t>H</w:t>
      </w:r>
      <w:r w:rsidR="000177D5" w:rsidRPr="005938D3">
        <w:t>.</w:t>
      </w:r>
      <w:r w:rsidR="000177D5" w:rsidRPr="005938D3">
        <w:tab/>
        <w:t>Compliance Certification</w:t>
      </w:r>
    </w:p>
    <w:p w14:paraId="078C8083" w14:textId="77777777" w:rsidR="000177D5" w:rsidRPr="00993B55" w:rsidRDefault="000177D5" w:rsidP="007A60F3">
      <w:pPr>
        <w:widowControl w:val="0"/>
        <w:tabs>
          <w:tab w:val="left" w:pos="720"/>
          <w:tab w:val="left" w:pos="3690"/>
        </w:tabs>
        <w:ind w:left="360"/>
        <w:rPr>
          <w:iCs/>
          <w:color w:val="FF0000"/>
        </w:rPr>
      </w:pPr>
      <w:r w:rsidRPr="00993B55">
        <w:rPr>
          <w:bCs/>
          <w:i/>
          <w:color w:val="FF0000"/>
        </w:rPr>
        <w:t>(</w:t>
      </w:r>
      <w:r w:rsidRPr="00993B55">
        <w:rPr>
          <w:bCs/>
          <w:i/>
          <w:color w:val="FF0000"/>
          <w:u w:val="single"/>
        </w:rPr>
        <w:t>This section applies to</w:t>
      </w:r>
      <w:r w:rsidRPr="00993B55">
        <w:rPr>
          <w:b/>
          <w:i/>
          <w:color w:val="FF0000"/>
        </w:rPr>
        <w:t xml:space="preserve"> New Major Sources/Major Modifications only</w:t>
      </w:r>
      <w:r w:rsidRPr="00993B55">
        <w:rPr>
          <w:bCs/>
          <w:i/>
          <w:color w:val="FF0000"/>
        </w:rPr>
        <w:t>, otherwise delete this section.)</w:t>
      </w:r>
    </w:p>
    <w:p w14:paraId="342AE540" w14:textId="77777777" w:rsidR="000177D5" w:rsidRPr="00793DA6" w:rsidRDefault="000177D5" w:rsidP="007A60F3">
      <w:pPr>
        <w:widowControl w:val="0"/>
        <w:ind w:left="360"/>
        <w:rPr>
          <w:color w:val="FF0000"/>
        </w:rPr>
      </w:pPr>
    </w:p>
    <w:p w14:paraId="6CA9A2E9" w14:textId="3E41E7A0" w:rsidR="000177D5" w:rsidRDefault="000177D5" w:rsidP="007A60F3">
      <w:pPr>
        <w:widowControl w:val="0"/>
        <w:ind w:left="360"/>
        <w:rPr>
          <w:bCs/>
          <w:color w:val="FF0000"/>
        </w:rPr>
      </w:pPr>
      <w:r w:rsidRPr="00993B55">
        <w:rPr>
          <w:color w:val="FF0000"/>
        </w:rPr>
        <w:t xml:space="preserve">The compliance certification is required </w:t>
      </w:r>
      <w:r w:rsidRPr="00993B55">
        <w:rPr>
          <w:bCs/>
          <w:color w:val="FF0000"/>
        </w:rPr>
        <w:t>for any project, which constitutes a New Major Source or a Federal Major Modification.</w:t>
      </w:r>
    </w:p>
    <w:p w14:paraId="015FB467" w14:textId="77777777" w:rsidR="00496216" w:rsidRPr="00993B55" w:rsidRDefault="00496216" w:rsidP="007A60F3">
      <w:pPr>
        <w:widowControl w:val="0"/>
        <w:ind w:left="360"/>
        <w:rPr>
          <w:bCs/>
          <w:color w:val="FF0000"/>
        </w:rPr>
      </w:pPr>
    </w:p>
    <w:p w14:paraId="42DBBC9B" w14:textId="5C34DDDB" w:rsidR="000177D5" w:rsidRDefault="00121AEA" w:rsidP="007A60F3">
      <w:pPr>
        <w:widowControl w:val="0"/>
        <w:ind w:left="360"/>
        <w:rPr>
          <w:bCs/>
          <w:i/>
          <w:color w:val="FF0000"/>
        </w:rPr>
      </w:pPr>
      <w:r>
        <w:rPr>
          <w:b/>
          <w:i/>
          <w:color w:val="FF0000"/>
        </w:rPr>
        <w:t xml:space="preserve">Please </w:t>
      </w:r>
      <w:r w:rsidR="001667BD" w:rsidRPr="00AC5150">
        <w:rPr>
          <w:b/>
          <w:i/>
          <w:color w:val="FF0000"/>
        </w:rPr>
        <w:t xml:space="preserve">contact the Compliance Department to verify whether or not the facility is in compliance or on a schedule for compliance with all applicable emission limitations </w:t>
      </w:r>
      <w:r w:rsidR="001667BD" w:rsidRPr="0042504E">
        <w:rPr>
          <w:b/>
          <w:i/>
          <w:color w:val="FF0000"/>
        </w:rPr>
        <w:t>and standards (e.g., existence of outstanding Notice of Violation(s)).</w:t>
      </w:r>
      <w:r w:rsidR="001667BD" w:rsidRPr="00993B55">
        <w:rPr>
          <w:bCs/>
          <w:i/>
          <w:color w:val="FF0000"/>
        </w:rPr>
        <w:t xml:space="preserve"> </w:t>
      </w:r>
      <w:r w:rsidR="00D22BEE">
        <w:rPr>
          <w:bCs/>
          <w:i/>
          <w:color w:val="FF0000"/>
        </w:rPr>
        <w:t xml:space="preserve"> </w:t>
      </w:r>
      <w:r w:rsidR="001667BD" w:rsidRPr="00993B55">
        <w:rPr>
          <w:bCs/>
          <w:i/>
          <w:color w:val="FF0000"/>
        </w:rPr>
        <w:t xml:space="preserve">On a case-by-case basis, extra research may be required to verify whether or not the other Major Source facilities owned or operated by the facility are in fact in compliance.  If any facilities </w:t>
      </w:r>
      <w:r w:rsidR="00D22BEE">
        <w:rPr>
          <w:bCs/>
          <w:i/>
          <w:color w:val="FF0000"/>
        </w:rPr>
        <w:t>have outstanding NOVs that have not been corrected</w:t>
      </w:r>
      <w:r w:rsidR="00F17A01">
        <w:rPr>
          <w:bCs/>
          <w:i/>
          <w:color w:val="FF0000"/>
        </w:rPr>
        <w:t xml:space="preserve"> or not on an enforceable schedule to correct the violation</w:t>
      </w:r>
      <w:r w:rsidR="001667BD" w:rsidRPr="00993B55">
        <w:rPr>
          <w:bCs/>
          <w:i/>
          <w:color w:val="FF0000"/>
        </w:rPr>
        <w:t xml:space="preserve">, the District </w:t>
      </w:r>
      <w:r w:rsidR="001667BD" w:rsidRPr="00AC5150">
        <w:rPr>
          <w:b/>
          <w:i/>
          <w:color w:val="FF0000"/>
        </w:rPr>
        <w:t>cannot proceed</w:t>
      </w:r>
      <w:r w:rsidR="001667BD" w:rsidRPr="00993B55">
        <w:rPr>
          <w:bCs/>
          <w:i/>
          <w:color w:val="FF0000"/>
        </w:rPr>
        <w:t xml:space="preserve"> with the issuance of the ATC(s).</w:t>
      </w:r>
      <w:r w:rsidR="00A930C1">
        <w:rPr>
          <w:bCs/>
          <w:i/>
          <w:color w:val="FF0000"/>
        </w:rPr>
        <w:t xml:space="preserve"> </w:t>
      </w:r>
      <w:r w:rsidR="00D13F4E" w:rsidRPr="00AC5150">
        <w:rPr>
          <w:b/>
          <w:i/>
          <w:color w:val="FF0000"/>
        </w:rPr>
        <w:t xml:space="preserve">In </w:t>
      </w:r>
      <w:r w:rsidR="00D13F4E">
        <w:rPr>
          <w:b/>
          <w:i/>
          <w:color w:val="FF0000"/>
        </w:rPr>
        <w:t>such</w:t>
      </w:r>
      <w:r w:rsidR="00D13F4E" w:rsidRPr="00AC5150">
        <w:rPr>
          <w:b/>
          <w:i/>
          <w:color w:val="FF0000"/>
        </w:rPr>
        <w:t xml:space="preserve"> case</w:t>
      </w:r>
      <w:r w:rsidR="00D13F4E">
        <w:rPr>
          <w:b/>
          <w:i/>
          <w:color w:val="FF0000"/>
        </w:rPr>
        <w:t>s</w:t>
      </w:r>
      <w:r w:rsidR="00D13F4E" w:rsidRPr="00AC5150">
        <w:rPr>
          <w:b/>
          <w:i/>
          <w:color w:val="FF0000"/>
        </w:rPr>
        <w:t>, p</w:t>
      </w:r>
      <w:r w:rsidR="00A930C1" w:rsidRPr="00AC5150">
        <w:rPr>
          <w:b/>
          <w:i/>
          <w:color w:val="FF0000"/>
        </w:rPr>
        <w:t>lease talk to your supervisor/manager</w:t>
      </w:r>
      <w:r w:rsidR="00D13F4E">
        <w:rPr>
          <w:b/>
          <w:i/>
          <w:color w:val="FF0000"/>
        </w:rPr>
        <w:t>.</w:t>
      </w:r>
    </w:p>
    <w:p w14:paraId="6DD4CCA6" w14:textId="77777777" w:rsidR="0061432D" w:rsidRPr="00993B55" w:rsidRDefault="0061432D" w:rsidP="007A60F3">
      <w:pPr>
        <w:widowControl w:val="0"/>
        <w:ind w:left="360"/>
      </w:pPr>
    </w:p>
    <w:p w14:paraId="02DF58CF" w14:textId="77777777" w:rsidR="000177D5" w:rsidRPr="00993B55" w:rsidRDefault="000177D5" w:rsidP="007A60F3">
      <w:pPr>
        <w:widowControl w:val="0"/>
        <w:tabs>
          <w:tab w:val="left" w:pos="1890"/>
        </w:tabs>
        <w:autoSpaceDE w:val="0"/>
        <w:autoSpaceDN w:val="0"/>
        <w:adjustRightInd w:val="0"/>
        <w:ind w:left="360"/>
        <w:rPr>
          <w:i/>
          <w:iCs/>
          <w:color w:val="0000FF"/>
        </w:rPr>
      </w:pPr>
      <w:r w:rsidRPr="00993B55">
        <w:rPr>
          <w:i/>
          <w:iCs/>
          <w:color w:val="0000FF"/>
          <w:u w:val="single"/>
        </w:rPr>
        <w:t>For example</w:t>
      </w:r>
      <w:r w:rsidRPr="00993B55">
        <w:rPr>
          <w:i/>
          <w:iCs/>
          <w:color w:val="0000FF"/>
        </w:rPr>
        <w:t>:</w:t>
      </w:r>
    </w:p>
    <w:p w14:paraId="4D5EB026" w14:textId="1FF0AABC" w:rsidR="000177D5" w:rsidRPr="00993B55" w:rsidRDefault="000177D5" w:rsidP="007A60F3">
      <w:pPr>
        <w:widowControl w:val="0"/>
        <w:ind w:left="360"/>
        <w:rPr>
          <w:color w:val="0000FF"/>
        </w:rPr>
      </w:pPr>
      <w:r w:rsidRPr="00993B55">
        <w:t>Section 4.1</w:t>
      </w:r>
      <w:r w:rsidR="006725E8">
        <w:t>6</w:t>
      </w:r>
      <w:r w:rsidRPr="00993B55">
        <w:t xml:space="preserve">.2 of this Rule requires the owner of a New Major Source or a source undergoing a Federal Major Modification to demonstrate to the satisfaction of the District that all other Major Sources owned by such person and operating in California are in compliance or are on a schedule for compliance with all applicable emission limitations and standards.  As discussed in Section VIII above, this facility is a new major source and this project does constitute a Federal Major Modification, therefore this requirement is applicable.  </w:t>
      </w:r>
      <w:r w:rsidRPr="00993B55">
        <w:rPr>
          <w:color w:val="0000FF"/>
        </w:rPr>
        <w:t>Corporation XYZ’s compliance certification is included in Appendix XXX.</w:t>
      </w:r>
    </w:p>
    <w:p w14:paraId="2BFC7597" w14:textId="0C9BF5E2" w:rsidR="008803C4" w:rsidRPr="00A97C36" w:rsidRDefault="008803C4" w:rsidP="00366F05">
      <w:pPr>
        <w:pStyle w:val="Heading5"/>
      </w:pPr>
      <w:r>
        <w:t>I</w:t>
      </w:r>
      <w:r w:rsidRPr="00A97C36">
        <w:t xml:space="preserve">. </w:t>
      </w:r>
      <w:r>
        <w:t>Visibility Impact</w:t>
      </w:r>
      <w:r w:rsidRPr="00A97C36">
        <w:t xml:space="preserve"> Analysis</w:t>
      </w:r>
    </w:p>
    <w:p w14:paraId="2903D3DE" w14:textId="4911D815" w:rsidR="00BB4EAA" w:rsidRPr="00154673" w:rsidRDefault="00BB4EAA" w:rsidP="007A60F3">
      <w:pPr>
        <w:pStyle w:val="ListParagraph"/>
        <w:widowControl w:val="0"/>
        <w:ind w:left="360"/>
        <w:rPr>
          <w:color w:val="FF0000"/>
        </w:rPr>
      </w:pPr>
      <w:r w:rsidRPr="00154673">
        <w:rPr>
          <w:color w:val="FF0000"/>
        </w:rPr>
        <w:t>If this project is a NMS or a FMM under Rule 2201, then the project will need to be assessed for its potential to adversely impact visibility on the nearest Mandatory Class I Federal Area (MCFA)</w:t>
      </w:r>
      <w:r w:rsidRPr="00154673">
        <w:t xml:space="preserve">.  </w:t>
      </w:r>
      <w:r w:rsidRPr="00154673">
        <w:rPr>
          <w:color w:val="FF0000"/>
        </w:rPr>
        <w:t>Only one of the following scenarios will apply to a project.</w:t>
      </w:r>
    </w:p>
    <w:p w14:paraId="12E3BAED" w14:textId="77777777" w:rsidR="00BB4EAA" w:rsidRPr="00154673" w:rsidRDefault="00BB4EAA" w:rsidP="007A60F3">
      <w:pPr>
        <w:pStyle w:val="ListParagraph"/>
        <w:widowControl w:val="0"/>
        <w:ind w:left="360"/>
        <w:rPr>
          <w:color w:val="FF0000"/>
        </w:rPr>
      </w:pPr>
    </w:p>
    <w:p w14:paraId="4586D051" w14:textId="3BACADB9" w:rsidR="00BB4EAA" w:rsidRPr="00154673" w:rsidRDefault="00BB4EAA" w:rsidP="007A60F3">
      <w:pPr>
        <w:pStyle w:val="ListParagraph"/>
        <w:widowControl w:val="0"/>
        <w:ind w:left="360"/>
        <w:rPr>
          <w:color w:val="FF0000"/>
          <w:u w:val="single"/>
        </w:rPr>
      </w:pPr>
      <w:r w:rsidRPr="00154673">
        <w:rPr>
          <w:b/>
          <w:color w:val="FF0000"/>
          <w:u w:val="single"/>
        </w:rPr>
        <w:t xml:space="preserve">Scenario 1a: </w:t>
      </w:r>
      <w:r w:rsidRPr="00154673">
        <w:rPr>
          <w:color w:val="FF0000"/>
          <w:u w:val="single"/>
        </w:rPr>
        <w:t>(project not a NMS or FMM)</w:t>
      </w:r>
    </w:p>
    <w:p w14:paraId="0B5E02ED" w14:textId="77777777" w:rsidR="00210426" w:rsidRDefault="00210426" w:rsidP="007A60F3">
      <w:pPr>
        <w:pStyle w:val="ListParagraph"/>
        <w:widowControl w:val="0"/>
        <w:ind w:left="360"/>
        <w:rPr>
          <w:color w:val="FF0000"/>
        </w:rPr>
      </w:pPr>
    </w:p>
    <w:p w14:paraId="5FF2926F" w14:textId="1342F92E" w:rsidR="00BB4EAA" w:rsidRPr="00154673" w:rsidRDefault="00BB4EAA" w:rsidP="007A60F3">
      <w:pPr>
        <w:pStyle w:val="ListParagraph"/>
        <w:widowControl w:val="0"/>
        <w:ind w:left="360"/>
        <w:rPr>
          <w:color w:val="FF0000"/>
        </w:rPr>
      </w:pPr>
      <w:r w:rsidRPr="00154673">
        <w:rPr>
          <w:color w:val="FF0000"/>
        </w:rPr>
        <w:t>If this project is not a NMS or a FMM under Rule 2201, choose the paragraph below and delete the Scenario 1b.  Otherwise delete this scenario.</w:t>
      </w:r>
    </w:p>
    <w:p w14:paraId="77E89273" w14:textId="77777777" w:rsidR="00BB4EAA" w:rsidRDefault="00BB4EAA" w:rsidP="007A60F3">
      <w:pPr>
        <w:pStyle w:val="ListParagraph"/>
        <w:widowControl w:val="0"/>
        <w:ind w:left="360"/>
      </w:pPr>
    </w:p>
    <w:p w14:paraId="304735B9" w14:textId="6601674C" w:rsidR="00BB4EAA" w:rsidRPr="00A4463C" w:rsidRDefault="00BB4EAA" w:rsidP="007A60F3">
      <w:pPr>
        <w:pStyle w:val="ListParagraph"/>
        <w:widowControl w:val="0"/>
        <w:ind w:left="360"/>
      </w:pPr>
      <w:bookmarkStart w:id="4" w:name="OLE_LINK1"/>
      <w:bookmarkStart w:id="5" w:name="OLE_LINK2"/>
      <w:r w:rsidRPr="00256B35">
        <w:t>Section 4.16.3</w:t>
      </w:r>
      <w:r>
        <w:t xml:space="preserve"> of District Rule 2201</w:t>
      </w:r>
      <w:r w:rsidRPr="00256B35">
        <w:t xml:space="preserve"> requires the District</w:t>
      </w:r>
      <w:r>
        <w:t>, in consultation with the designated Federal Land Manager (FLM),</w:t>
      </w:r>
      <w:r w:rsidRPr="00256B35">
        <w:t xml:space="preserve"> to assess the impact of the emissions from </w:t>
      </w:r>
      <w:r>
        <w:t>New Major Sources</w:t>
      </w:r>
      <w:r w:rsidRPr="00256B35">
        <w:t xml:space="preserve"> and </w:t>
      </w:r>
      <w:r>
        <w:t>Federal Major Modifications</w:t>
      </w:r>
      <w:r w:rsidRPr="00256B35">
        <w:t xml:space="preserve"> to visibility in </w:t>
      </w:r>
      <w:r>
        <w:t xml:space="preserve">the nearest or most affected </w:t>
      </w:r>
      <w:r w:rsidRPr="00256B35">
        <w:t>Mandatory Class I Federal Area</w:t>
      </w:r>
      <w:r>
        <w:t xml:space="preserve"> (MCFA)</w:t>
      </w:r>
      <w:r w:rsidRPr="00256B35">
        <w:t xml:space="preserve">.  </w:t>
      </w:r>
      <w:bookmarkEnd w:id="4"/>
      <w:bookmarkEnd w:id="5"/>
      <w:r w:rsidRPr="00256B35">
        <w:t>As shown in Section VII.</w:t>
      </w:r>
      <w:r>
        <w:t>C.</w:t>
      </w:r>
      <w:r w:rsidRPr="00256B35">
        <w:t xml:space="preserve">8 above, this project is not a </w:t>
      </w:r>
      <w:r>
        <w:t>New Major Source</w:t>
      </w:r>
      <w:r w:rsidRPr="00256B35">
        <w:t xml:space="preserve"> or a F</w:t>
      </w:r>
      <w:r>
        <w:t xml:space="preserve">ederal </w:t>
      </w:r>
      <w:r w:rsidRPr="00256B35">
        <w:t>M</w:t>
      </w:r>
      <w:r>
        <w:t xml:space="preserve">ajor </w:t>
      </w:r>
      <w:r w:rsidRPr="00256B35">
        <w:t>M</w:t>
      </w:r>
      <w:r>
        <w:t>odification</w:t>
      </w:r>
      <w:r w:rsidRPr="00256B35">
        <w:t xml:space="preserve"> for any pollutant; therefore, a </w:t>
      </w:r>
      <w:r w:rsidRPr="00256B35">
        <w:lastRenderedPageBreak/>
        <w:t xml:space="preserve">visibility impact assessment under Section 4.16.3 is not required, and no further analysis is </w:t>
      </w:r>
      <w:r>
        <w:t>required</w:t>
      </w:r>
      <w:r w:rsidRPr="00256B35">
        <w:t>.</w:t>
      </w:r>
    </w:p>
    <w:p w14:paraId="36E4BC12" w14:textId="77777777" w:rsidR="00BB4EAA" w:rsidRDefault="00BB4EAA" w:rsidP="007A60F3">
      <w:pPr>
        <w:pStyle w:val="ListParagraph"/>
        <w:widowControl w:val="0"/>
        <w:ind w:left="360"/>
      </w:pPr>
    </w:p>
    <w:p w14:paraId="000FCB6B" w14:textId="77777777" w:rsidR="00BB4EAA" w:rsidRPr="00154673" w:rsidRDefault="00BB4EAA" w:rsidP="007A60F3">
      <w:pPr>
        <w:pStyle w:val="ListParagraph"/>
        <w:widowControl w:val="0"/>
        <w:ind w:left="360"/>
        <w:rPr>
          <w:color w:val="FF0000"/>
        </w:rPr>
      </w:pPr>
      <w:r w:rsidRPr="00154673">
        <w:rPr>
          <w:b/>
          <w:color w:val="FF0000"/>
          <w:u w:val="single"/>
        </w:rPr>
        <w:t>Scenario 1b:</w:t>
      </w:r>
      <w:r w:rsidRPr="00154673">
        <w:rPr>
          <w:color w:val="FF0000"/>
          <w:u w:val="single"/>
        </w:rPr>
        <w:t xml:space="preserve"> (project is a NMS or FMM, but is not a source of NOx, SOx, PM10, and sulfuric acid emissions)</w:t>
      </w:r>
    </w:p>
    <w:p w14:paraId="68D7CE2B" w14:textId="77777777" w:rsidR="009808FD" w:rsidRPr="00154673" w:rsidRDefault="009808FD" w:rsidP="007A60F3">
      <w:pPr>
        <w:pStyle w:val="ListParagraph"/>
        <w:widowControl w:val="0"/>
        <w:ind w:left="360"/>
        <w:rPr>
          <w:color w:val="FF0000"/>
        </w:rPr>
      </w:pPr>
    </w:p>
    <w:p w14:paraId="64CE7EF3" w14:textId="7A6791BD" w:rsidR="00BB4EAA" w:rsidRPr="00154673" w:rsidRDefault="00BB4EAA" w:rsidP="007A60F3">
      <w:pPr>
        <w:pStyle w:val="ListParagraph"/>
        <w:widowControl w:val="0"/>
        <w:ind w:left="360"/>
        <w:rPr>
          <w:color w:val="FF0000"/>
        </w:rPr>
      </w:pPr>
      <w:r w:rsidRPr="00154673">
        <w:rPr>
          <w:color w:val="FF0000"/>
        </w:rPr>
        <w:t>If this project is a NMS or FMM for VOC or CO, and has either no NOx, SOx, PM10, and sulfuric acid mist</w:t>
      </w:r>
      <w:r w:rsidRPr="00154673">
        <w:t xml:space="preserve"> </w:t>
      </w:r>
      <w:r w:rsidRPr="00154673">
        <w:rPr>
          <w:color w:val="FF0000"/>
        </w:rPr>
        <w:t xml:space="preserve">emissions or a net emissions increase below the NSR significance threshold of ≤ 0.5 lb/day for each pollutant according to the guidance </w:t>
      </w:r>
      <w:r w:rsidR="00154673">
        <w:rPr>
          <w:color w:val="FF0000"/>
        </w:rPr>
        <w:t xml:space="preserve">under </w:t>
      </w:r>
      <w:r w:rsidRPr="00154673">
        <w:rPr>
          <w:color w:val="FF0000"/>
        </w:rPr>
        <w:t xml:space="preserve">APR 1150, </w:t>
      </w:r>
      <w:r w:rsidRPr="00154673">
        <w:rPr>
          <w:i/>
          <w:color w:val="FF0000"/>
        </w:rPr>
        <w:t>Implementation of Rule 2201 for SB 288 and Federal Major Modifications</w:t>
      </w:r>
      <w:r w:rsidRPr="00154673">
        <w:rPr>
          <w:color w:val="FF0000"/>
        </w:rPr>
        <w:t>, then choose the following paragraph.  Otherwise delete this scenario.</w:t>
      </w:r>
    </w:p>
    <w:p w14:paraId="60E91834" w14:textId="77777777" w:rsidR="00BB4EAA" w:rsidRPr="00793DA6" w:rsidRDefault="00BB4EAA" w:rsidP="007A60F3">
      <w:pPr>
        <w:pStyle w:val="ListParagraph"/>
        <w:widowControl w:val="0"/>
        <w:ind w:left="360"/>
      </w:pPr>
    </w:p>
    <w:p w14:paraId="69525A41" w14:textId="6CF11FBE" w:rsidR="00BB4EAA" w:rsidRPr="00A4463C" w:rsidRDefault="00BB4EAA" w:rsidP="007A60F3">
      <w:pPr>
        <w:pStyle w:val="ListParagraph"/>
        <w:widowControl w:val="0"/>
        <w:ind w:left="360"/>
        <w:rPr>
          <w:color w:val="0000FF"/>
        </w:rPr>
      </w:pPr>
      <w:r w:rsidRPr="00256B35">
        <w:t xml:space="preserve">Section 4.16.3 </w:t>
      </w:r>
      <w:r>
        <w:t>of District Rule 2201</w:t>
      </w:r>
      <w:r w:rsidRPr="00256B35">
        <w:t xml:space="preserve"> requires the District</w:t>
      </w:r>
      <w:r>
        <w:t>, in consultation with the designated Federal Land Manager (FLM),</w:t>
      </w:r>
      <w:r w:rsidRPr="00256B35">
        <w:t xml:space="preserve"> to assess the impact of the emissions from </w:t>
      </w:r>
      <w:r>
        <w:t>New Major Sources</w:t>
      </w:r>
      <w:r w:rsidRPr="00256B35">
        <w:t xml:space="preserve"> and </w:t>
      </w:r>
      <w:r>
        <w:t>Federal Major Modifications</w:t>
      </w:r>
      <w:r w:rsidRPr="00256B35">
        <w:t xml:space="preserve"> to visibility </w:t>
      </w:r>
      <w:r w:rsidR="00234ACF">
        <w:t>in</w:t>
      </w:r>
      <w:r w:rsidRPr="00256B35">
        <w:t xml:space="preserve"> </w:t>
      </w:r>
      <w:r>
        <w:t xml:space="preserve">the nearest or most affected </w:t>
      </w:r>
      <w:r w:rsidRPr="00256B35">
        <w:t>Mandatory Class I Federal Area</w:t>
      </w:r>
      <w:r>
        <w:t xml:space="preserve"> (MCFA).  </w:t>
      </w:r>
      <w:r w:rsidRPr="00C53296">
        <w:t>As shown in Section VII.</w:t>
      </w:r>
      <w:r>
        <w:t>C.</w:t>
      </w:r>
      <w:r w:rsidRPr="00C53296">
        <w:t>8 above, this project is a</w:t>
      </w:r>
      <w:r>
        <w:t xml:space="preserve"> </w:t>
      </w:r>
      <w:r w:rsidRPr="00170130">
        <w:rPr>
          <w:color w:val="FF0000"/>
        </w:rPr>
        <w:t>[choose one]</w:t>
      </w:r>
      <w:r>
        <w:t xml:space="preserve"> </w:t>
      </w:r>
      <w:r>
        <w:rPr>
          <w:color w:val="0000FF"/>
        </w:rPr>
        <w:t xml:space="preserve">New Major Source </w:t>
      </w:r>
      <w:r>
        <w:rPr>
          <w:color w:val="FF0000"/>
        </w:rPr>
        <w:t>or</w:t>
      </w:r>
      <w:r w:rsidRPr="00380F33">
        <w:rPr>
          <w:color w:val="0000FF"/>
        </w:rPr>
        <w:t xml:space="preserve"> </w:t>
      </w:r>
      <w:r>
        <w:rPr>
          <w:color w:val="0000FF"/>
        </w:rPr>
        <w:t xml:space="preserve">Federal Major Modification </w:t>
      </w:r>
      <w:r w:rsidRPr="007E0084">
        <w:rPr>
          <w:color w:val="0000FF"/>
        </w:rPr>
        <w:t>for VOC</w:t>
      </w:r>
      <w:r>
        <w:rPr>
          <w:color w:val="0000FF"/>
        </w:rPr>
        <w:t xml:space="preserve"> and/or CO</w:t>
      </w:r>
      <w:r w:rsidRPr="007E0084">
        <w:rPr>
          <w:color w:val="0000FF"/>
        </w:rPr>
        <w:t xml:space="preserve">; </w:t>
      </w:r>
      <w:r w:rsidRPr="00C53296">
        <w:t xml:space="preserve">therefore, a visibility impact assessment under Section 4.16.3 is required.  A visibility impact assessment </w:t>
      </w:r>
      <w:r>
        <w:t xml:space="preserve">evaluates </w:t>
      </w:r>
      <w:r w:rsidRPr="00C53296">
        <w:t xml:space="preserve">the </w:t>
      </w:r>
      <w:r>
        <w:t>impact to visibility</w:t>
      </w:r>
      <w:r w:rsidRPr="00C53296">
        <w:t xml:space="preserve"> </w:t>
      </w:r>
      <w:r>
        <w:t xml:space="preserve">from </w:t>
      </w:r>
      <w:r w:rsidRPr="00C53296">
        <w:t>a project</w:t>
      </w:r>
      <w:r>
        <w:t>’</w:t>
      </w:r>
      <w:r w:rsidRPr="00C53296">
        <w:t xml:space="preserve">s total NOx, SOx, PM10, and sulfuric acid mist emissions </w:t>
      </w:r>
      <w:r>
        <w:t>to</w:t>
      </w:r>
      <w:r w:rsidRPr="00C53296">
        <w:t xml:space="preserve"> the nearest or most affected </w:t>
      </w:r>
      <w:r>
        <w:t>MCFA</w:t>
      </w:r>
      <w:r w:rsidRPr="00C53296">
        <w:t xml:space="preserve">.  </w:t>
      </w:r>
      <w:r w:rsidRPr="007E0084">
        <w:rPr>
          <w:color w:val="FF0000"/>
        </w:rPr>
        <w:t>[</w:t>
      </w:r>
      <w:r w:rsidRPr="00170130">
        <w:rPr>
          <w:color w:val="FF0000"/>
        </w:rPr>
        <w:t>choose one]</w:t>
      </w:r>
      <w:r>
        <w:t xml:space="preserve"> </w:t>
      </w:r>
      <w:r w:rsidRPr="00FC384E">
        <w:rPr>
          <w:color w:val="0000FF"/>
        </w:rPr>
        <w:t xml:space="preserve">However, </w:t>
      </w:r>
      <w:r>
        <w:rPr>
          <w:color w:val="0000FF"/>
        </w:rPr>
        <w:t xml:space="preserve">since </w:t>
      </w:r>
      <w:r w:rsidRPr="00FC384E">
        <w:rPr>
          <w:color w:val="0000FF"/>
        </w:rPr>
        <w:t>this project is not a source of NOx, SOx, PM10, or sulfuric acid mist</w:t>
      </w:r>
      <w:r>
        <w:rPr>
          <w:color w:val="0000FF"/>
        </w:rPr>
        <w:t xml:space="preserve"> emissions</w:t>
      </w:r>
      <w:r w:rsidRPr="00FC384E">
        <w:rPr>
          <w:color w:val="0000FF"/>
        </w:rPr>
        <w:t xml:space="preserve">, </w:t>
      </w:r>
      <w:r>
        <w:rPr>
          <w:color w:val="0000FF"/>
        </w:rPr>
        <w:t xml:space="preserve">this project is presumed to have no adverse impact on visibility at any MCFA, and no further analysis is required. </w:t>
      </w:r>
      <w:r>
        <w:rPr>
          <w:color w:val="FF0000"/>
        </w:rPr>
        <w:t>or</w:t>
      </w:r>
      <w:r w:rsidRPr="00380F33">
        <w:rPr>
          <w:color w:val="0000FF"/>
        </w:rPr>
        <w:t xml:space="preserve"> </w:t>
      </w:r>
      <w:r w:rsidRPr="00FC384E">
        <w:rPr>
          <w:color w:val="0000FF"/>
        </w:rPr>
        <w:t xml:space="preserve">However, </w:t>
      </w:r>
      <w:r>
        <w:rPr>
          <w:color w:val="0000FF"/>
        </w:rPr>
        <w:t xml:space="preserve">the </w:t>
      </w:r>
      <w:r w:rsidRPr="00FC384E">
        <w:rPr>
          <w:color w:val="0000FF"/>
        </w:rPr>
        <w:t>increase</w:t>
      </w:r>
      <w:r>
        <w:rPr>
          <w:color w:val="0000FF"/>
        </w:rPr>
        <w:t>s</w:t>
      </w:r>
      <w:r w:rsidRPr="00FC384E">
        <w:rPr>
          <w:color w:val="0000FF"/>
        </w:rPr>
        <w:t xml:space="preserve"> of NOx, SOx, PM10, </w:t>
      </w:r>
      <w:r>
        <w:rPr>
          <w:color w:val="0000FF"/>
        </w:rPr>
        <w:t>and</w:t>
      </w:r>
      <w:r w:rsidRPr="00FC384E">
        <w:rPr>
          <w:color w:val="0000FF"/>
        </w:rPr>
        <w:t xml:space="preserve"> sulfuric acid mist</w:t>
      </w:r>
      <w:r>
        <w:rPr>
          <w:color w:val="0000FF"/>
        </w:rPr>
        <w:t xml:space="preserve"> emissions from this project are below the District’s significance threshold (i.e. averaging ≤ </w:t>
      </w:r>
      <w:r w:rsidRPr="00FC384E">
        <w:rPr>
          <w:color w:val="0000FF"/>
        </w:rPr>
        <w:t>0.5 lb/day</w:t>
      </w:r>
      <w:r>
        <w:rPr>
          <w:color w:val="0000FF"/>
        </w:rPr>
        <w:t xml:space="preserve"> for each pollutant) for triggering New Source Review requirements under District Policy APR 1150, </w:t>
      </w:r>
      <w:r w:rsidRPr="00983252">
        <w:rPr>
          <w:i/>
          <w:color w:val="0000FF"/>
        </w:rPr>
        <w:t>Implementation of Rule 2201 for SB 288 and Federal Major Modifications</w:t>
      </w:r>
      <w:r>
        <w:rPr>
          <w:color w:val="0000FF"/>
        </w:rPr>
        <w:t>.  Therefore, this project is presumed to have no adverse impact on visibility at any MCFA, and no further analysis is required.</w:t>
      </w:r>
    </w:p>
    <w:p w14:paraId="175D67E0" w14:textId="77777777" w:rsidR="00BB4EAA" w:rsidRDefault="00BB4EAA" w:rsidP="007A60F3">
      <w:pPr>
        <w:pStyle w:val="ListParagraph"/>
        <w:widowControl w:val="0"/>
        <w:ind w:left="360"/>
      </w:pPr>
    </w:p>
    <w:p w14:paraId="4255741E" w14:textId="7566C44E" w:rsidR="00F54217" w:rsidRDefault="00BB4EAA" w:rsidP="007A60F3">
      <w:pPr>
        <w:pStyle w:val="ListParagraph"/>
        <w:widowControl w:val="0"/>
        <w:ind w:left="360"/>
        <w:rPr>
          <w:color w:val="FF0000"/>
          <w:u w:val="single"/>
        </w:rPr>
      </w:pPr>
      <w:r w:rsidRPr="00BB4EAA">
        <w:rPr>
          <w:b/>
          <w:i/>
          <w:color w:val="FF0000"/>
          <w:u w:val="single"/>
        </w:rPr>
        <w:t xml:space="preserve">NOTE: </w:t>
      </w:r>
      <w:r w:rsidRPr="00BB4EAA">
        <w:rPr>
          <w:i/>
          <w:color w:val="FF0000"/>
          <w:u w:val="single"/>
        </w:rPr>
        <w:t>If not one of the scenarios above…</w:t>
      </w:r>
    </w:p>
    <w:p w14:paraId="448F2FA7" w14:textId="77777777" w:rsidR="00472C3E" w:rsidRPr="00E32F54" w:rsidRDefault="00472C3E" w:rsidP="007A60F3">
      <w:pPr>
        <w:pStyle w:val="ListParagraph"/>
        <w:widowControl w:val="0"/>
        <w:ind w:left="360"/>
        <w:rPr>
          <w:color w:val="FF0000"/>
        </w:rPr>
      </w:pPr>
    </w:p>
    <w:p w14:paraId="3B61CEE9" w14:textId="546EC424" w:rsidR="00F54217" w:rsidRPr="005938D3" w:rsidRDefault="00F54217" w:rsidP="007A60F3">
      <w:pPr>
        <w:widowControl w:val="0"/>
        <w:ind w:left="630" w:right="-36"/>
        <w:contextualSpacing/>
        <w:jc w:val="center"/>
        <w:rPr>
          <w:rFonts w:cs="Arial"/>
          <w:i/>
          <w:color w:val="FF0000"/>
          <w:sz w:val="32"/>
        </w:rPr>
      </w:pPr>
      <w:bookmarkStart w:id="6" w:name="_Hlk220651717"/>
      <w:r w:rsidRPr="00993B55">
        <w:rPr>
          <w:rFonts w:cs="Arial"/>
          <w:i/>
          <w:color w:val="FF0000"/>
          <w:sz w:val="32"/>
        </w:rPr>
        <w:t>*****PLEASE DISCUSS THE PROJECT WITH YOUR MANAGER/SUPERVISOR*****</w:t>
      </w:r>
    </w:p>
    <w:bookmarkEnd w:id="6"/>
    <w:p w14:paraId="64EEA869" w14:textId="67C8C89D" w:rsidR="000177D5" w:rsidRPr="00545278" w:rsidRDefault="000177D5" w:rsidP="00E75CEC">
      <w:pPr>
        <w:pStyle w:val="Heading4"/>
      </w:pPr>
      <w:r w:rsidRPr="00545278">
        <w:t>Rule 2410</w:t>
      </w:r>
      <w:r w:rsidR="00D21C0C" w:rsidRPr="00545278">
        <w:tab/>
      </w:r>
      <w:r w:rsidRPr="00545278">
        <w:t>Prevention of Significant Deterioration</w:t>
      </w:r>
    </w:p>
    <w:p w14:paraId="09A83891" w14:textId="77777777" w:rsidR="000177D5" w:rsidRPr="00993B55" w:rsidRDefault="000177D5" w:rsidP="007A60F3">
      <w:pPr>
        <w:widowControl w:val="0"/>
        <w:rPr>
          <w:rFonts w:cs="Arial"/>
          <w:color w:val="000000"/>
          <w:szCs w:val="24"/>
        </w:rPr>
      </w:pPr>
      <w:r w:rsidRPr="00993B55">
        <w:rPr>
          <w:rFonts w:cs="Arial"/>
          <w:color w:val="000000"/>
          <w:szCs w:val="24"/>
        </w:rPr>
        <w:t>As shown in Section VII.C.9 above, this project does not result in a new PSD major source or PSD major modification.  No further discussion is required.</w:t>
      </w:r>
    </w:p>
    <w:p w14:paraId="158ED06C" w14:textId="77777777" w:rsidR="000177D5" w:rsidRPr="00993B55" w:rsidRDefault="000177D5" w:rsidP="007A60F3">
      <w:pPr>
        <w:widowControl w:val="0"/>
        <w:jc w:val="left"/>
        <w:rPr>
          <w:rFonts w:cs="Arial"/>
          <w:color w:val="000000"/>
          <w:szCs w:val="24"/>
        </w:rPr>
      </w:pPr>
    </w:p>
    <w:p w14:paraId="72531E40" w14:textId="21095CBF" w:rsidR="000177D5" w:rsidRPr="00993B55" w:rsidRDefault="000177D5" w:rsidP="00A4463C">
      <w:pPr>
        <w:widowControl w:val="0"/>
        <w:rPr>
          <w:rFonts w:cs="Arial"/>
          <w:color w:val="000000"/>
          <w:szCs w:val="24"/>
        </w:rPr>
      </w:pPr>
      <w:r w:rsidRPr="00993B55">
        <w:rPr>
          <w:rFonts w:cs="Arial"/>
          <w:color w:val="FF0000"/>
          <w:szCs w:val="24"/>
        </w:rPr>
        <w:t>O</w:t>
      </w:r>
      <w:r w:rsidR="00226B2A">
        <w:rPr>
          <w:rFonts w:cs="Arial"/>
          <w:color w:val="FF0000"/>
          <w:szCs w:val="24"/>
        </w:rPr>
        <w:t>R if the facility is a PSD major source or PSD major mod</w:t>
      </w:r>
      <w:r w:rsidR="00C228D1">
        <w:rPr>
          <w:rFonts w:cs="Arial"/>
          <w:color w:val="FF0000"/>
          <w:szCs w:val="24"/>
        </w:rPr>
        <w:t>ification, consult with your supervisor.</w:t>
      </w:r>
    </w:p>
    <w:p w14:paraId="11429B80" w14:textId="77777777" w:rsidR="000177D5" w:rsidRPr="00545278" w:rsidRDefault="000177D5" w:rsidP="00E75CEC">
      <w:pPr>
        <w:pStyle w:val="Heading4"/>
      </w:pPr>
      <w:r w:rsidRPr="00545278">
        <w:t>Rule 2520</w:t>
      </w:r>
      <w:r w:rsidRPr="00545278">
        <w:tab/>
        <w:t>Federally Mandated Operating Permits</w:t>
      </w:r>
    </w:p>
    <w:p w14:paraId="10F02C99" w14:textId="77777777" w:rsidR="000177D5" w:rsidRPr="00993B55" w:rsidRDefault="000177D5" w:rsidP="007A60F3">
      <w:pPr>
        <w:widowControl w:val="0"/>
        <w:autoSpaceDE w:val="0"/>
        <w:autoSpaceDN w:val="0"/>
        <w:adjustRightInd w:val="0"/>
        <w:ind w:left="1530" w:hanging="1530"/>
        <w:rPr>
          <w:rFonts w:cs="Arial"/>
          <w:i/>
          <w:iCs/>
          <w:color w:val="0000FF"/>
        </w:rPr>
      </w:pPr>
      <w:r w:rsidRPr="00993B55">
        <w:rPr>
          <w:i/>
          <w:iCs/>
          <w:color w:val="0000FF"/>
          <w:u w:val="single"/>
        </w:rPr>
        <w:t>Example (a)</w:t>
      </w:r>
      <w:r w:rsidRPr="00993B55">
        <w:rPr>
          <w:i/>
          <w:iCs/>
          <w:color w:val="0000FF"/>
        </w:rPr>
        <w:t>:</w:t>
      </w:r>
      <w:r w:rsidRPr="00993B55">
        <w:rPr>
          <w:i/>
          <w:iCs/>
          <w:color w:val="0000FF"/>
        </w:rPr>
        <w:tab/>
        <w:t>(</w:t>
      </w:r>
      <w:r w:rsidRPr="00993B55">
        <w:rPr>
          <w:rFonts w:cs="Arial"/>
          <w:i/>
          <w:iCs/>
          <w:color w:val="0000FF"/>
        </w:rPr>
        <w:t>For a facility becoming a major source as the result of this project by crossing the existing major source threshold (and no change has been made in the major source threshold since the project had been deemed complete).)</w:t>
      </w:r>
    </w:p>
    <w:p w14:paraId="68EBA11A" w14:textId="77777777" w:rsidR="000177D5" w:rsidRPr="00993B55" w:rsidRDefault="000177D5" w:rsidP="007A60F3">
      <w:pPr>
        <w:widowControl w:val="0"/>
        <w:rPr>
          <w:i/>
          <w:iCs/>
          <w:u w:val="single"/>
        </w:rPr>
      </w:pPr>
      <w:r w:rsidRPr="00993B55">
        <w:rPr>
          <w:rFonts w:cs="Arial"/>
          <w:color w:val="000000"/>
        </w:rPr>
        <w:t xml:space="preserve">As discussed above, this facility is a major source.  Pursuant to Rule 2520 and as required by permit condition, the facility will have up to 12 months from the date of ATC issuance to either </w:t>
      </w:r>
      <w:r w:rsidRPr="00993B55">
        <w:rPr>
          <w:rFonts w:cs="Arial"/>
          <w:color w:val="000000"/>
        </w:rPr>
        <w:lastRenderedPageBreak/>
        <w:t>submit a Title V Application or comply with District Rule 2530</w:t>
      </w:r>
      <w:r w:rsidRPr="00993B55">
        <w:rPr>
          <w:rFonts w:cs="Arial"/>
          <w:i/>
          <w:iCs/>
          <w:color w:val="000000"/>
        </w:rPr>
        <w:t xml:space="preserve"> Federally Enforceable Potential to Emit.</w:t>
      </w:r>
    </w:p>
    <w:p w14:paraId="32905323" w14:textId="77777777" w:rsidR="000177D5" w:rsidRPr="00D35A7D" w:rsidRDefault="000177D5" w:rsidP="007A60F3">
      <w:pPr>
        <w:widowControl w:val="0"/>
        <w:rPr>
          <w:rFonts w:cs="Arial"/>
          <w:color w:val="000000"/>
        </w:rPr>
      </w:pPr>
    </w:p>
    <w:p w14:paraId="65D246BF" w14:textId="77777777" w:rsidR="000177D5" w:rsidRPr="00993B55" w:rsidRDefault="000177D5" w:rsidP="007A60F3">
      <w:pPr>
        <w:widowControl w:val="0"/>
        <w:tabs>
          <w:tab w:val="left" w:pos="1530"/>
        </w:tabs>
        <w:autoSpaceDE w:val="0"/>
        <w:autoSpaceDN w:val="0"/>
        <w:adjustRightInd w:val="0"/>
        <w:rPr>
          <w:rFonts w:cs="Arial"/>
          <w:i/>
          <w:iCs/>
          <w:color w:val="0000FF"/>
        </w:rPr>
      </w:pPr>
      <w:r w:rsidRPr="00993B55">
        <w:rPr>
          <w:i/>
          <w:iCs/>
          <w:color w:val="0000FF"/>
          <w:u w:val="single"/>
        </w:rPr>
        <w:t>Example (b)</w:t>
      </w:r>
      <w:r w:rsidRPr="00993B55">
        <w:rPr>
          <w:i/>
          <w:iCs/>
          <w:color w:val="0000FF"/>
        </w:rPr>
        <w:t>:</w:t>
      </w:r>
      <w:r w:rsidRPr="00993B55">
        <w:rPr>
          <w:i/>
          <w:iCs/>
          <w:color w:val="0000FF"/>
        </w:rPr>
        <w:tab/>
        <w:t>(</w:t>
      </w:r>
      <w:r w:rsidRPr="00993B55">
        <w:rPr>
          <w:rFonts w:cs="Arial"/>
          <w:i/>
          <w:iCs/>
          <w:color w:val="0000FF"/>
        </w:rPr>
        <w:t>For a facility that is not a major source before or after the project.)</w:t>
      </w:r>
    </w:p>
    <w:p w14:paraId="4EF0EFD8" w14:textId="77777777" w:rsidR="000177D5" w:rsidRPr="00993B55" w:rsidRDefault="000177D5" w:rsidP="007A60F3">
      <w:pPr>
        <w:widowControl w:val="0"/>
        <w:autoSpaceDE w:val="0"/>
        <w:autoSpaceDN w:val="0"/>
        <w:adjustRightInd w:val="0"/>
        <w:rPr>
          <w:rFonts w:cs="Arial"/>
          <w:color w:val="000000"/>
        </w:rPr>
      </w:pPr>
      <w:r w:rsidRPr="00993B55">
        <w:rPr>
          <w:rFonts w:cs="Arial"/>
          <w:color w:val="000000"/>
        </w:rPr>
        <w:t>Since this facility’s potential emissions do not exceed any major source thresholds of Rule 2201, this facility is not a major source, and Rule 2520 does not apply.</w:t>
      </w:r>
    </w:p>
    <w:p w14:paraId="0C2DFEE0" w14:textId="77777777" w:rsidR="000177D5" w:rsidRPr="00993B55" w:rsidRDefault="000177D5" w:rsidP="007A60F3">
      <w:pPr>
        <w:widowControl w:val="0"/>
        <w:rPr>
          <w:bCs/>
          <w:color w:val="000000"/>
        </w:rPr>
      </w:pPr>
    </w:p>
    <w:p w14:paraId="5B977CD6" w14:textId="77777777" w:rsidR="000177D5" w:rsidRPr="00993B55" w:rsidRDefault="000177D5" w:rsidP="007A60F3">
      <w:pPr>
        <w:widowControl w:val="0"/>
        <w:tabs>
          <w:tab w:val="left" w:pos="1530"/>
        </w:tabs>
        <w:autoSpaceDE w:val="0"/>
        <w:autoSpaceDN w:val="0"/>
        <w:adjustRightInd w:val="0"/>
        <w:ind w:left="1530" w:hanging="1530"/>
        <w:rPr>
          <w:rFonts w:cs="Arial"/>
          <w:i/>
          <w:iCs/>
          <w:color w:val="0000FF"/>
        </w:rPr>
      </w:pPr>
      <w:r w:rsidRPr="00993B55">
        <w:rPr>
          <w:i/>
          <w:iCs/>
          <w:color w:val="0000FF"/>
          <w:u w:val="single"/>
        </w:rPr>
        <w:t>Example (c)</w:t>
      </w:r>
      <w:r w:rsidRPr="00993B55">
        <w:rPr>
          <w:i/>
          <w:iCs/>
          <w:color w:val="0000FF"/>
        </w:rPr>
        <w:t>:</w:t>
      </w:r>
      <w:r w:rsidRPr="00993B55">
        <w:rPr>
          <w:i/>
          <w:iCs/>
          <w:color w:val="0000FF"/>
        </w:rPr>
        <w:tab/>
        <w:t>(</w:t>
      </w:r>
      <w:r w:rsidRPr="00993B55">
        <w:rPr>
          <w:rFonts w:cs="Arial"/>
          <w:i/>
          <w:iCs/>
          <w:color w:val="0000FF"/>
        </w:rPr>
        <w:t>For a facility that is an existing major source but has not received their Title V permit.)</w:t>
      </w:r>
    </w:p>
    <w:p w14:paraId="5D9D170D" w14:textId="77777777" w:rsidR="000177D5" w:rsidRPr="00993B55" w:rsidRDefault="000177D5" w:rsidP="007A60F3">
      <w:pPr>
        <w:widowControl w:val="0"/>
        <w:rPr>
          <w:bCs/>
          <w:color w:val="000000"/>
        </w:rPr>
      </w:pPr>
      <w:r w:rsidRPr="00993B55">
        <w:rPr>
          <w:bCs/>
          <w:color w:val="000000"/>
        </w:rPr>
        <w:t xml:space="preserve">Pursuant to their current operating permit, this facility is an existing major source; however, the facility has not received their Title V permit.  An application to comply with Rule 2520 - </w:t>
      </w:r>
      <w:r w:rsidRPr="00993B55">
        <w:rPr>
          <w:bCs/>
          <w:i/>
          <w:iCs/>
          <w:color w:val="000000"/>
        </w:rPr>
        <w:t>Federally Mandated Operating Permits</w:t>
      </w:r>
      <w:r w:rsidRPr="00993B55">
        <w:rPr>
          <w:bCs/>
          <w:color w:val="000000"/>
        </w:rPr>
        <w:t xml:space="preserve"> has already been submitted to the District.  Therefore, n</w:t>
      </w:r>
      <w:r w:rsidRPr="00993B55">
        <w:t>o action is required at this time.</w:t>
      </w:r>
    </w:p>
    <w:p w14:paraId="6E8A2A7B" w14:textId="77777777" w:rsidR="000177D5" w:rsidRPr="00993B55" w:rsidRDefault="000177D5" w:rsidP="007A60F3">
      <w:pPr>
        <w:widowControl w:val="0"/>
        <w:rPr>
          <w:bCs/>
          <w:color w:val="000000"/>
        </w:rPr>
      </w:pPr>
    </w:p>
    <w:p w14:paraId="458CABF1" w14:textId="77777777" w:rsidR="000177D5" w:rsidRPr="00993B55" w:rsidRDefault="000177D5" w:rsidP="007A60F3">
      <w:pPr>
        <w:widowControl w:val="0"/>
        <w:tabs>
          <w:tab w:val="left" w:pos="1530"/>
        </w:tabs>
        <w:autoSpaceDE w:val="0"/>
        <w:autoSpaceDN w:val="0"/>
        <w:adjustRightInd w:val="0"/>
        <w:ind w:left="1530" w:hanging="1530"/>
        <w:rPr>
          <w:rFonts w:cs="Arial"/>
          <w:i/>
          <w:iCs/>
          <w:color w:val="0000FF"/>
        </w:rPr>
      </w:pPr>
      <w:r w:rsidRPr="00993B55">
        <w:rPr>
          <w:i/>
          <w:iCs/>
          <w:color w:val="0000FF"/>
          <w:u w:val="single"/>
        </w:rPr>
        <w:t>Example (d)</w:t>
      </w:r>
      <w:r w:rsidRPr="00993B55">
        <w:rPr>
          <w:i/>
          <w:iCs/>
          <w:color w:val="0000FF"/>
        </w:rPr>
        <w:t>:</w:t>
      </w:r>
      <w:r w:rsidRPr="00993B55">
        <w:rPr>
          <w:i/>
          <w:iCs/>
          <w:color w:val="0000FF"/>
        </w:rPr>
        <w:tab/>
        <w:t>(</w:t>
      </w:r>
      <w:r w:rsidRPr="00993B55">
        <w:rPr>
          <w:rFonts w:cs="Arial"/>
          <w:i/>
          <w:iCs/>
          <w:color w:val="0000FF"/>
        </w:rPr>
        <w:t>For a facility that is an existing major source, has a Title V permit, and is proposing a Title V Minor Modification.)</w:t>
      </w:r>
    </w:p>
    <w:p w14:paraId="40AD0EBF" w14:textId="77777777" w:rsidR="000177D5" w:rsidRPr="00993B55" w:rsidRDefault="000177D5" w:rsidP="007A60F3">
      <w:pPr>
        <w:widowControl w:val="0"/>
      </w:pPr>
    </w:p>
    <w:p w14:paraId="4A1B9931" w14:textId="77777777" w:rsidR="000177D5" w:rsidRPr="00993B55" w:rsidRDefault="000177D5" w:rsidP="007A60F3">
      <w:pPr>
        <w:widowControl w:val="0"/>
      </w:pPr>
      <w:r w:rsidRPr="00993B55">
        <w:t>This facility is subject to this Rule, and has received their Title V Operating Permit.  The proposed modification is a Minor Modification to the Title V Permit.</w:t>
      </w:r>
    </w:p>
    <w:p w14:paraId="1FD0C48B" w14:textId="77777777" w:rsidR="000177D5" w:rsidRPr="00993B55" w:rsidRDefault="000177D5" w:rsidP="007A60F3">
      <w:pPr>
        <w:widowControl w:val="0"/>
      </w:pPr>
    </w:p>
    <w:p w14:paraId="2710D6DF" w14:textId="77777777" w:rsidR="000177D5" w:rsidRPr="00993B55" w:rsidRDefault="000177D5" w:rsidP="007A60F3">
      <w:pPr>
        <w:widowControl w:val="0"/>
      </w:pPr>
      <w:r w:rsidRPr="00993B55">
        <w:t>In accordance with Rule 2520, Minor Permit Modifications are permit modifications that:</w:t>
      </w:r>
    </w:p>
    <w:p w14:paraId="4C1002B3" w14:textId="77777777" w:rsidR="000177D5" w:rsidRPr="00993B55" w:rsidRDefault="000177D5" w:rsidP="007A60F3">
      <w:pPr>
        <w:widowControl w:val="0"/>
        <w:ind w:left="720"/>
      </w:pPr>
    </w:p>
    <w:p w14:paraId="1D447721" w14:textId="7C6585A2" w:rsidR="000177D5" w:rsidRPr="00993B55" w:rsidRDefault="000177D5" w:rsidP="007A60F3">
      <w:pPr>
        <w:widowControl w:val="0"/>
        <w:numPr>
          <w:ilvl w:val="0"/>
          <w:numId w:val="10"/>
        </w:numPr>
        <w:tabs>
          <w:tab w:val="clear" w:pos="1800"/>
        </w:tabs>
        <w:ind w:left="720"/>
      </w:pPr>
      <w:r w:rsidRPr="00993B55">
        <w:t xml:space="preserve">Do not violate requirements of any applicable federally enforceable local or federal </w:t>
      </w:r>
      <w:r w:rsidR="00DB7C08">
        <w:t>regulations</w:t>
      </w:r>
      <w:r w:rsidRPr="00993B55">
        <w:t>;</w:t>
      </w:r>
    </w:p>
    <w:p w14:paraId="669AE841" w14:textId="77777777" w:rsidR="000177D5" w:rsidRPr="00993B55" w:rsidRDefault="000177D5" w:rsidP="007A60F3">
      <w:pPr>
        <w:widowControl w:val="0"/>
        <w:numPr>
          <w:ilvl w:val="0"/>
          <w:numId w:val="10"/>
        </w:numPr>
        <w:ind w:left="720"/>
      </w:pPr>
      <w:r w:rsidRPr="00993B55">
        <w:t>Do not relax monitoring, reporting, or recordkeeping requirements in the permit and are not significant changes in existing monitoring permit terms or conditions;</w:t>
      </w:r>
    </w:p>
    <w:p w14:paraId="5FCCF973" w14:textId="77777777" w:rsidR="000177D5" w:rsidRPr="00993B55" w:rsidRDefault="000177D5" w:rsidP="007A60F3">
      <w:pPr>
        <w:widowControl w:val="0"/>
        <w:numPr>
          <w:ilvl w:val="0"/>
          <w:numId w:val="10"/>
        </w:numPr>
        <w:ind w:left="720"/>
      </w:pPr>
      <w:r w:rsidRPr="00993B55">
        <w:t>Do not require or change a case-by-case determination of an emission limitation or other standard, or a source-specific determination for temporary sources of ambient impacts, or a visibility or increment analysis;</w:t>
      </w:r>
    </w:p>
    <w:p w14:paraId="558AA9EF" w14:textId="77777777" w:rsidR="000177D5" w:rsidRPr="00993B55" w:rsidRDefault="000177D5" w:rsidP="007A60F3">
      <w:pPr>
        <w:widowControl w:val="0"/>
        <w:numPr>
          <w:ilvl w:val="0"/>
          <w:numId w:val="10"/>
        </w:numPr>
        <w:ind w:left="720"/>
      </w:pPr>
      <w:r w:rsidRPr="00993B55">
        <w:t>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14:paraId="43A62B03" w14:textId="4CECDB99" w:rsidR="000177D5" w:rsidRPr="00993B55" w:rsidRDefault="000177D5" w:rsidP="007A60F3">
      <w:pPr>
        <w:widowControl w:val="0"/>
        <w:numPr>
          <w:ilvl w:val="0"/>
          <w:numId w:val="11"/>
        </w:numPr>
        <w:ind w:left="1170"/>
      </w:pPr>
      <w:r w:rsidRPr="00993B55">
        <w:t>A federally enforceable emission cap assumed to avoid classification as a modification under any provisions of Title I of the Federal Clean Air Act</w:t>
      </w:r>
      <w:r w:rsidR="00294A5C">
        <w:t>,</w:t>
      </w:r>
      <w:r w:rsidR="00AA165E">
        <w:t xml:space="preserve"> </w:t>
      </w:r>
      <w:r w:rsidR="00294A5C">
        <w:t>prevention of significant deterioration (PSD) provisions of the CAA, or EPA PSD regulations;</w:t>
      </w:r>
      <w:r w:rsidRPr="00993B55">
        <w:t xml:space="preserve"> and</w:t>
      </w:r>
    </w:p>
    <w:p w14:paraId="58CCEF39" w14:textId="77777777" w:rsidR="000177D5" w:rsidRPr="00993B55" w:rsidRDefault="000177D5" w:rsidP="007A60F3">
      <w:pPr>
        <w:widowControl w:val="0"/>
        <w:numPr>
          <w:ilvl w:val="0"/>
          <w:numId w:val="11"/>
        </w:numPr>
        <w:ind w:left="1170"/>
      </w:pPr>
      <w:r w:rsidRPr="00993B55">
        <w:t>An alternative emissions limit approved pursuant to regulations promulgated under section 112(i)(5) of the Federal Clean Air Act; and</w:t>
      </w:r>
    </w:p>
    <w:p w14:paraId="49025571" w14:textId="67721419" w:rsidR="000177D5" w:rsidRPr="00993B55" w:rsidRDefault="000177D5" w:rsidP="00DB2B5F">
      <w:pPr>
        <w:pStyle w:val="BodyTextIndent"/>
        <w:widowControl w:val="0"/>
        <w:numPr>
          <w:ilvl w:val="0"/>
          <w:numId w:val="10"/>
        </w:numPr>
        <w:ind w:left="720"/>
      </w:pPr>
      <w:r w:rsidRPr="00993B55">
        <w:t xml:space="preserve">Are not </w:t>
      </w:r>
      <w:r w:rsidR="004C080C">
        <w:t>Federal Major Modifications as defined in this rule,</w:t>
      </w:r>
      <w:r w:rsidRPr="00993B55">
        <w:t xml:space="preserve"> modifications as defined in section 111 or 112 of the Federal Clean Air Act</w:t>
      </w:r>
      <w:r w:rsidR="0027002B">
        <w:t>, or major modifications under the prevention of significant deterioration (PSD) provisions of Title I of the CAA or under EPA PSD regulations</w:t>
      </w:r>
      <w:r w:rsidRPr="00993B55">
        <w:t>; and</w:t>
      </w:r>
    </w:p>
    <w:p w14:paraId="7994B3ED" w14:textId="060B9C12" w:rsidR="000177D5" w:rsidRPr="00993B55" w:rsidRDefault="000177D5" w:rsidP="007A60F3">
      <w:pPr>
        <w:pStyle w:val="BodyTextIndent"/>
        <w:widowControl w:val="0"/>
        <w:numPr>
          <w:ilvl w:val="0"/>
          <w:numId w:val="10"/>
        </w:numPr>
        <w:ind w:left="720"/>
        <w:jc w:val="left"/>
      </w:pPr>
      <w:r w:rsidRPr="00993B55">
        <w:t>Do not seek to consolidate overlapping applicable requirements</w:t>
      </w:r>
      <w:r w:rsidR="00736E9E">
        <w:t>.</w:t>
      </w:r>
    </w:p>
    <w:p w14:paraId="7AF2B23C" w14:textId="77777777" w:rsidR="000177D5" w:rsidRPr="00993B55" w:rsidRDefault="000177D5" w:rsidP="007A60F3">
      <w:pPr>
        <w:widowControl w:val="0"/>
      </w:pPr>
    </w:p>
    <w:p w14:paraId="4BACA839" w14:textId="77777777" w:rsidR="000177D5" w:rsidRPr="00993B55" w:rsidRDefault="000177D5" w:rsidP="007A60F3">
      <w:pPr>
        <w:widowControl w:val="0"/>
      </w:pPr>
      <w:r w:rsidRPr="00993B55">
        <w:t xml:space="preserve">Additionally, Section 11.4 requires a description of the proposed change, the emissions resulting from the change, any new applicable requirements that will apply if the change occurs, suggested draft permits, compliance certification and an EPA 45-day review period of the proposed permit modification (or a shorter period if EPA has notified the District that EPA will </w:t>
      </w:r>
      <w:r w:rsidRPr="00993B55">
        <w:lastRenderedPageBreak/>
        <w:t>not object to issuance of the permit modification, whichever is first).</w:t>
      </w:r>
    </w:p>
    <w:p w14:paraId="39BE796F" w14:textId="77777777" w:rsidR="000177D5" w:rsidRPr="00993B55" w:rsidRDefault="000177D5" w:rsidP="007A60F3">
      <w:pPr>
        <w:widowControl w:val="0"/>
      </w:pPr>
    </w:p>
    <w:p w14:paraId="5B457249" w14:textId="77777777" w:rsidR="000177D5" w:rsidRPr="00993B55" w:rsidRDefault="000177D5" w:rsidP="007A60F3">
      <w:pPr>
        <w:widowControl w:val="0"/>
        <w:rPr>
          <w:rFonts w:cs="Arial"/>
          <w:i/>
          <w:iCs/>
          <w:color w:val="0000FF"/>
        </w:rPr>
      </w:pPr>
      <w:r w:rsidRPr="00993B55">
        <w:rPr>
          <w:rFonts w:cs="Arial"/>
          <w:i/>
          <w:iCs/>
          <w:color w:val="0000FF"/>
        </w:rPr>
        <w:t>With COC (otherwise delete):</w:t>
      </w:r>
    </w:p>
    <w:p w14:paraId="123E47FE" w14:textId="15FEF553" w:rsidR="000177D5" w:rsidRPr="002D6BCF" w:rsidRDefault="000177D5" w:rsidP="007A60F3">
      <w:pPr>
        <w:widowControl w:val="0"/>
      </w:pPr>
      <w:r w:rsidRPr="00993B55">
        <w:t>As discussed above, the facility has applied for a Certificate of Conformity (COC) and the District will forward to EPA, for a 45-day review period, this application review which includes the proposed modified Title V permit [i.e. proposed ATC(s)] and the compliance certification form which demonstrates compliance with the minor permit modification requirements in Section 11.4.  Therefore, the facility must apply to modify their Title V permit with an administrative amendment, prior to operating with the proposed modifications.  Continued compliance with this rule is expected.  The facility may construct/operate under the ATC upon submittal of the Title V administrative amendment application.</w:t>
      </w:r>
      <w:r w:rsidR="00A82F71">
        <w:t xml:space="preserve">  Therefore, the following conditions will be included on </w:t>
      </w:r>
      <w:r w:rsidR="00A82F71" w:rsidRPr="002D6BCF">
        <w:t>the ATC(s):</w:t>
      </w:r>
    </w:p>
    <w:p w14:paraId="71162274" w14:textId="107377F5" w:rsidR="00A82F71" w:rsidRPr="002D6BCF" w:rsidRDefault="00A82F71" w:rsidP="007A60F3">
      <w:pPr>
        <w:widowControl w:val="0"/>
      </w:pPr>
    </w:p>
    <w:p w14:paraId="34DD4CC1" w14:textId="0CB75B96" w:rsidR="002D6BCF" w:rsidRDefault="002D6BCF" w:rsidP="007A60F3">
      <w:pPr>
        <w:pStyle w:val="ListParagraph"/>
        <w:widowControl w:val="0"/>
        <w:numPr>
          <w:ilvl w:val="0"/>
          <w:numId w:val="47"/>
        </w:numPr>
      </w:pPr>
      <w:r w:rsidRPr="002D6BCF">
        <w:t>{1830} This Authority to Construct serves as a written certificate of conformity with the procedural requirements of 40 CFR 70.7 and 70.8 and with the compliance requirements of 40 CFR 70.6(c). [District Rule 2201]</w:t>
      </w:r>
    </w:p>
    <w:p w14:paraId="71413758" w14:textId="77777777" w:rsidR="004047BE" w:rsidRPr="002D6BCF" w:rsidRDefault="004047BE" w:rsidP="007A60F3">
      <w:pPr>
        <w:pStyle w:val="ListParagraph"/>
        <w:widowControl w:val="0"/>
      </w:pPr>
    </w:p>
    <w:p w14:paraId="38CDBA89" w14:textId="7FA5F727" w:rsidR="00A82F71" w:rsidRPr="002D6BCF" w:rsidRDefault="002D6BCF" w:rsidP="007A60F3">
      <w:pPr>
        <w:pStyle w:val="ListParagraph"/>
        <w:widowControl w:val="0"/>
        <w:numPr>
          <w:ilvl w:val="0"/>
          <w:numId w:val="47"/>
        </w:numPr>
      </w:pPr>
      <w:r w:rsidRPr="002D6BCF">
        <w:t>{1831} Prior to operating with modifications authorized by this Authority to Construct, the facility shall submit an application to modify the Title V permit with an administrative amendment in accordance with District Rule 2520 Section 5.3.4. [District Rule 2520, 5.3.4]</w:t>
      </w:r>
    </w:p>
    <w:p w14:paraId="7A5C9D35" w14:textId="77777777" w:rsidR="000177D5" w:rsidRPr="00D35A7D" w:rsidRDefault="000177D5" w:rsidP="007A60F3">
      <w:pPr>
        <w:widowControl w:val="0"/>
        <w:rPr>
          <w:rFonts w:cs="Arial"/>
        </w:rPr>
      </w:pPr>
    </w:p>
    <w:p w14:paraId="4E07F476" w14:textId="77777777" w:rsidR="000177D5" w:rsidRPr="00993B55" w:rsidRDefault="000177D5" w:rsidP="007A60F3">
      <w:pPr>
        <w:widowControl w:val="0"/>
        <w:rPr>
          <w:rFonts w:cs="Arial"/>
          <w:i/>
          <w:iCs/>
          <w:color w:val="0000FF"/>
        </w:rPr>
      </w:pPr>
      <w:r w:rsidRPr="00993B55">
        <w:rPr>
          <w:rFonts w:cs="Arial"/>
          <w:i/>
          <w:iCs/>
          <w:color w:val="0000FF"/>
        </w:rPr>
        <w:t>Without COC (otherwise delete):</w:t>
      </w:r>
    </w:p>
    <w:p w14:paraId="3629B205" w14:textId="3DFECE3E" w:rsidR="00A82F71" w:rsidRPr="002D6BCF" w:rsidRDefault="000177D5" w:rsidP="007A60F3">
      <w:pPr>
        <w:widowControl w:val="0"/>
      </w:pPr>
      <w:r w:rsidRPr="00993B55">
        <w:t xml:space="preserve">As discussed above, the facility has not applied for a Certificate of Conformity (COC).  Therefore, the facility must apply to modify their Title V permit with a minor modification, prior to operating with the proposed modifications.  Upon receipt of the minor modification application, the District will forward to EPA, for a 45-day review period, the proposed modified Title V permit, the ATCs </w:t>
      </w:r>
      <w:r w:rsidRPr="002D6BCF">
        <w:t>issued in this project, a compliance certification form, and a copy of this evaluation, which demonstrates compliance with the minor permit modification requirements in Section 11.4.  The facility may construct/operate under the ATC upon submittal of the Title V minor modification application.</w:t>
      </w:r>
      <w:r w:rsidR="00A82F71" w:rsidRPr="002D6BCF">
        <w:t xml:space="preserve"> Therefore, the following condition will be included on the ATC(s):</w:t>
      </w:r>
    </w:p>
    <w:p w14:paraId="789F33C4" w14:textId="77777777" w:rsidR="00A82F71" w:rsidRPr="002D6BCF" w:rsidRDefault="00A82F71" w:rsidP="007A60F3">
      <w:pPr>
        <w:widowControl w:val="0"/>
      </w:pPr>
    </w:p>
    <w:p w14:paraId="223A3699" w14:textId="1F62E63F" w:rsidR="000177D5" w:rsidRPr="002D6BCF" w:rsidRDefault="002D6BCF" w:rsidP="007A60F3">
      <w:pPr>
        <w:pStyle w:val="ListParagraph"/>
        <w:widowControl w:val="0"/>
        <w:numPr>
          <w:ilvl w:val="0"/>
          <w:numId w:val="47"/>
        </w:numPr>
      </w:pPr>
      <w:r w:rsidRPr="002D6BCF">
        <w:t>{1829} The facility shall submit an application to modify the Title V permit in accordance with the timeframes and procedures of District Rule 2520. [District Rule 2520]</w:t>
      </w:r>
    </w:p>
    <w:p w14:paraId="2E4D5C5B" w14:textId="77777777" w:rsidR="000177D5" w:rsidRPr="00993B55" w:rsidRDefault="000177D5" w:rsidP="007A60F3">
      <w:pPr>
        <w:pStyle w:val="Header"/>
        <w:widowControl w:val="0"/>
        <w:tabs>
          <w:tab w:val="clear" w:pos="4320"/>
          <w:tab w:val="clear" w:pos="8640"/>
        </w:tabs>
      </w:pPr>
    </w:p>
    <w:p w14:paraId="68DCE18D" w14:textId="77777777" w:rsidR="000177D5" w:rsidRPr="00993B55" w:rsidRDefault="000177D5" w:rsidP="007A60F3">
      <w:pPr>
        <w:widowControl w:val="0"/>
        <w:tabs>
          <w:tab w:val="left" w:pos="1530"/>
        </w:tabs>
        <w:autoSpaceDE w:val="0"/>
        <w:autoSpaceDN w:val="0"/>
        <w:adjustRightInd w:val="0"/>
        <w:ind w:left="1530" w:hanging="1530"/>
        <w:rPr>
          <w:rFonts w:cs="Arial"/>
          <w:i/>
          <w:iCs/>
          <w:color w:val="0000FF"/>
        </w:rPr>
      </w:pPr>
      <w:r w:rsidRPr="00993B55">
        <w:rPr>
          <w:i/>
          <w:iCs/>
          <w:color w:val="0000FF"/>
          <w:u w:val="single"/>
        </w:rPr>
        <w:t>Example (e)</w:t>
      </w:r>
      <w:r w:rsidRPr="00993B55">
        <w:rPr>
          <w:i/>
          <w:iCs/>
          <w:color w:val="0000FF"/>
        </w:rPr>
        <w:t>:</w:t>
      </w:r>
      <w:r w:rsidRPr="00993B55">
        <w:rPr>
          <w:i/>
          <w:iCs/>
          <w:color w:val="0000FF"/>
        </w:rPr>
        <w:tab/>
        <w:t>(</w:t>
      </w:r>
      <w:r w:rsidRPr="00993B55">
        <w:rPr>
          <w:rFonts w:cs="Arial"/>
          <w:i/>
          <w:iCs/>
          <w:color w:val="0000FF"/>
        </w:rPr>
        <w:t>For a facility that is an existing major source, has a Title V permit, and is proposing a Title V Significant Modification.)</w:t>
      </w:r>
    </w:p>
    <w:p w14:paraId="7CC5DDE6" w14:textId="77777777" w:rsidR="000177D5" w:rsidRPr="00993B55" w:rsidRDefault="000177D5" w:rsidP="007A60F3">
      <w:pPr>
        <w:widowControl w:val="0"/>
        <w:rPr>
          <w:rFonts w:cs="Arial"/>
        </w:rPr>
      </w:pPr>
      <w:r w:rsidRPr="00993B55">
        <w:t xml:space="preserve">This facility is subject to this Rule, and has received their Title V Operating Permit.  </w:t>
      </w:r>
      <w:r w:rsidRPr="00993B55">
        <w:rPr>
          <w:rFonts w:cs="Arial"/>
        </w:rPr>
        <w:t xml:space="preserve">A significant permit modification is defined as a “permit amendment that does not qualify as a minor permit modification or administrative amendment.”  </w:t>
      </w:r>
    </w:p>
    <w:p w14:paraId="4DDEAE2D" w14:textId="77777777" w:rsidR="000177D5" w:rsidRPr="00993B55" w:rsidRDefault="000177D5" w:rsidP="007A60F3">
      <w:pPr>
        <w:pStyle w:val="Header"/>
        <w:widowControl w:val="0"/>
        <w:tabs>
          <w:tab w:val="clear" w:pos="4320"/>
          <w:tab w:val="clear" w:pos="8640"/>
        </w:tabs>
        <w:rPr>
          <w:rFonts w:cs="Arial"/>
        </w:rPr>
      </w:pPr>
    </w:p>
    <w:p w14:paraId="72CCC44B" w14:textId="77777777" w:rsidR="000177D5" w:rsidRPr="00993B55" w:rsidRDefault="000177D5" w:rsidP="007A60F3">
      <w:pPr>
        <w:widowControl w:val="0"/>
        <w:rPr>
          <w:rFonts w:cs="Arial"/>
          <w:i/>
          <w:iCs/>
          <w:color w:val="0000FF"/>
        </w:rPr>
      </w:pPr>
      <w:r w:rsidRPr="00993B55">
        <w:rPr>
          <w:rFonts w:cs="Arial"/>
          <w:i/>
          <w:iCs/>
          <w:color w:val="0000FF"/>
        </w:rPr>
        <w:t>(Utilize the appropriate minor modification definition section to qualify the project as a significant modification; follow the format of one of the sample discussions below):</w:t>
      </w:r>
    </w:p>
    <w:p w14:paraId="34936A2E" w14:textId="77777777" w:rsidR="000177D5" w:rsidRPr="00A51A1F" w:rsidRDefault="000177D5" w:rsidP="007A60F3">
      <w:pPr>
        <w:widowControl w:val="0"/>
        <w:rPr>
          <w:rFonts w:cs="Arial"/>
          <w:i/>
          <w:iCs/>
        </w:rPr>
      </w:pPr>
    </w:p>
    <w:p w14:paraId="289CE2EB" w14:textId="6704904F" w:rsidR="00F40E52" w:rsidRPr="00993B55" w:rsidRDefault="00F40E52" w:rsidP="007A60F3">
      <w:pPr>
        <w:widowControl w:val="0"/>
        <w:rPr>
          <w:rFonts w:cs="Arial"/>
        </w:rPr>
      </w:pPr>
      <w:r w:rsidRPr="00993B55">
        <w:rPr>
          <w:rFonts w:cs="Arial"/>
          <w:i/>
          <w:iCs/>
          <w:color w:val="0000FF"/>
        </w:rPr>
        <w:t xml:space="preserve">(Sample Discussion </w:t>
      </w:r>
      <w:r w:rsidR="00255F4F">
        <w:rPr>
          <w:rFonts w:cs="Arial"/>
          <w:i/>
          <w:iCs/>
          <w:color w:val="0000FF"/>
        </w:rPr>
        <w:t>1</w:t>
      </w:r>
      <w:r w:rsidRPr="00993B55">
        <w:rPr>
          <w:rFonts w:cs="Arial"/>
          <w:i/>
          <w:iCs/>
          <w:color w:val="0000FF"/>
        </w:rPr>
        <w:t xml:space="preserve"> </w:t>
      </w:r>
      <w:r w:rsidR="00255F4F">
        <w:rPr>
          <w:rFonts w:cs="Arial"/>
          <w:i/>
          <w:iCs/>
          <w:color w:val="0000FF"/>
        </w:rPr>
        <w:t>–</w:t>
      </w:r>
      <w:r w:rsidRPr="00993B55">
        <w:rPr>
          <w:rFonts w:cs="Arial"/>
          <w:i/>
          <w:iCs/>
          <w:color w:val="0000FF"/>
        </w:rPr>
        <w:t xml:space="preserve"> </w:t>
      </w:r>
      <w:r w:rsidR="00255F4F">
        <w:rPr>
          <w:rFonts w:cs="Arial"/>
          <w:i/>
          <w:iCs/>
          <w:color w:val="0000FF"/>
        </w:rPr>
        <w:t>Federal Major Modification</w:t>
      </w:r>
      <w:r w:rsidRPr="00993B55">
        <w:rPr>
          <w:rFonts w:cs="Arial"/>
          <w:i/>
          <w:iCs/>
          <w:color w:val="0000FF"/>
        </w:rPr>
        <w:t>)</w:t>
      </w:r>
    </w:p>
    <w:p w14:paraId="5E21C5A2" w14:textId="072A5164" w:rsidR="00255F4F" w:rsidRPr="00255F4F" w:rsidRDefault="00255F4F" w:rsidP="007A60F3">
      <w:pPr>
        <w:widowControl w:val="0"/>
        <w:rPr>
          <w:rFonts w:cs="Arial"/>
          <w:iCs/>
        </w:rPr>
      </w:pPr>
      <w:r w:rsidRPr="00255F4F">
        <w:rPr>
          <w:rFonts w:cs="Arial"/>
          <w:iCs/>
        </w:rPr>
        <w:t>Section 3.2</w:t>
      </w:r>
      <w:r w:rsidR="00D554DF">
        <w:rPr>
          <w:rFonts w:cs="Arial"/>
          <w:iCs/>
        </w:rPr>
        <w:t>1</w:t>
      </w:r>
      <w:r w:rsidRPr="00255F4F">
        <w:rPr>
          <w:rFonts w:cs="Arial"/>
          <w:iCs/>
        </w:rPr>
        <w:t xml:space="preserve">.5 states that a minor permit modification is a permit modification that is not a major </w:t>
      </w:r>
    </w:p>
    <w:p w14:paraId="50A7ADA5" w14:textId="77777777" w:rsidR="00255F4F" w:rsidRPr="00255F4F" w:rsidRDefault="00255F4F" w:rsidP="007A60F3">
      <w:pPr>
        <w:widowControl w:val="0"/>
        <w:rPr>
          <w:rFonts w:cs="Arial"/>
          <w:iCs/>
        </w:rPr>
      </w:pPr>
      <w:r w:rsidRPr="00255F4F">
        <w:rPr>
          <w:rFonts w:cs="Arial"/>
          <w:iCs/>
        </w:rPr>
        <w:t xml:space="preserve">modification, as defined in Rule 2201.  As discussed above, this project triggers a Federal Major </w:t>
      </w:r>
    </w:p>
    <w:p w14:paraId="4BBD6BF5" w14:textId="77777777" w:rsidR="00255F4F" w:rsidRPr="00255F4F" w:rsidRDefault="00255F4F" w:rsidP="007A60F3">
      <w:pPr>
        <w:widowControl w:val="0"/>
        <w:rPr>
          <w:rFonts w:cs="Arial"/>
          <w:iCs/>
        </w:rPr>
      </w:pPr>
      <w:r w:rsidRPr="00255F4F">
        <w:rPr>
          <w:rFonts w:cs="Arial"/>
          <w:iCs/>
        </w:rPr>
        <w:lastRenderedPageBreak/>
        <w:t xml:space="preserve">Modification.  As a result, the proposed project constitutes a Significant Modification to the Title </w:t>
      </w:r>
    </w:p>
    <w:p w14:paraId="7D259A46" w14:textId="0F219A31" w:rsidR="00F40E52" w:rsidRPr="00255F4F" w:rsidRDefault="00255F4F" w:rsidP="007A60F3">
      <w:pPr>
        <w:widowControl w:val="0"/>
        <w:rPr>
          <w:rFonts w:cs="Arial"/>
          <w:iCs/>
        </w:rPr>
      </w:pPr>
      <w:r w:rsidRPr="00255F4F">
        <w:rPr>
          <w:rFonts w:cs="Arial"/>
          <w:iCs/>
        </w:rPr>
        <w:t>V Permit pursuant to Section 3.</w:t>
      </w:r>
      <w:r w:rsidR="00D554DF">
        <w:rPr>
          <w:rFonts w:cs="Arial"/>
          <w:iCs/>
        </w:rPr>
        <w:t>30</w:t>
      </w:r>
      <w:r w:rsidRPr="00255F4F">
        <w:rPr>
          <w:rFonts w:cs="Arial"/>
          <w:iCs/>
        </w:rPr>
        <w:t>.</w:t>
      </w:r>
    </w:p>
    <w:p w14:paraId="54C5D69A" w14:textId="77777777" w:rsidR="00255F4F" w:rsidRPr="00D35A7D" w:rsidRDefault="00255F4F" w:rsidP="007A60F3">
      <w:pPr>
        <w:widowControl w:val="0"/>
        <w:rPr>
          <w:rFonts w:cs="Arial"/>
        </w:rPr>
      </w:pPr>
    </w:p>
    <w:p w14:paraId="165D4726" w14:textId="49BDCF73" w:rsidR="000177D5" w:rsidRPr="00993B55" w:rsidRDefault="000177D5" w:rsidP="007A60F3">
      <w:pPr>
        <w:widowControl w:val="0"/>
        <w:rPr>
          <w:rFonts w:cs="Arial"/>
        </w:rPr>
      </w:pPr>
      <w:r w:rsidRPr="00993B55">
        <w:rPr>
          <w:rFonts w:cs="Arial"/>
          <w:i/>
          <w:iCs/>
          <w:color w:val="0000FF"/>
        </w:rPr>
        <w:t xml:space="preserve">(Sample Discussion </w:t>
      </w:r>
      <w:r w:rsidR="00F40E52">
        <w:rPr>
          <w:rFonts w:cs="Arial"/>
          <w:i/>
          <w:iCs/>
          <w:color w:val="0000FF"/>
        </w:rPr>
        <w:t>2</w:t>
      </w:r>
      <w:r w:rsidRPr="00993B55">
        <w:rPr>
          <w:rFonts w:cs="Arial"/>
          <w:i/>
          <w:iCs/>
          <w:color w:val="0000FF"/>
        </w:rPr>
        <w:t xml:space="preserve"> - relaxation in monitoring)</w:t>
      </w:r>
    </w:p>
    <w:p w14:paraId="137F2784" w14:textId="77777777" w:rsidR="000177D5" w:rsidRPr="00993B55" w:rsidRDefault="000177D5" w:rsidP="007A60F3">
      <w:pPr>
        <w:widowControl w:val="0"/>
      </w:pPr>
      <w:r w:rsidRPr="00993B55">
        <w:rPr>
          <w:rFonts w:cs="Arial"/>
        </w:rPr>
        <w:t>Minor permit modifications d</w:t>
      </w:r>
      <w:r w:rsidRPr="00993B55">
        <w:rPr>
          <w:rFonts w:cs="Arial"/>
          <w:szCs w:val="24"/>
        </w:rPr>
        <w:t xml:space="preserve">o not relax monitoring, reporting, or recordkeeping requirements in the permit and are not significant changes in existing monitoring permit terms or conditions.  The monitoring method will be changing from a CEMS to a parametric equation, which is a relaxation in monitoring conditions, as noted in ATC project C-1043772 for C-722-2-9.  </w:t>
      </w:r>
      <w:r w:rsidRPr="00993B55">
        <w:t xml:space="preserve">As a result, the proposed project constitutes a Significant Modification to the Title V Permit.  </w:t>
      </w:r>
    </w:p>
    <w:p w14:paraId="101BBAF6" w14:textId="77777777" w:rsidR="000177D5" w:rsidRPr="00993B55" w:rsidRDefault="000177D5" w:rsidP="007A60F3">
      <w:pPr>
        <w:widowControl w:val="0"/>
      </w:pPr>
    </w:p>
    <w:p w14:paraId="12E03833" w14:textId="6345E35B" w:rsidR="000177D5" w:rsidRPr="00993B55" w:rsidRDefault="000177D5" w:rsidP="007A60F3">
      <w:pPr>
        <w:pStyle w:val="BodyText2"/>
        <w:widowControl w:val="0"/>
        <w:rPr>
          <w:rFonts w:cs="Arial"/>
        </w:rPr>
      </w:pPr>
      <w:r w:rsidRPr="00993B55">
        <w:rPr>
          <w:rFonts w:cs="Arial"/>
        </w:rPr>
        <w:t xml:space="preserve">(Sample Discussion </w:t>
      </w:r>
      <w:r w:rsidR="00F40E52">
        <w:rPr>
          <w:rFonts w:cs="Arial"/>
        </w:rPr>
        <w:t>3</w:t>
      </w:r>
      <w:r w:rsidRPr="00993B55">
        <w:rPr>
          <w:rFonts w:cs="Arial"/>
        </w:rPr>
        <w:t xml:space="preserve"> - NSPS triggered)</w:t>
      </w:r>
    </w:p>
    <w:p w14:paraId="3ED8C548" w14:textId="77777777" w:rsidR="000177D5" w:rsidRPr="00993B55" w:rsidRDefault="000177D5" w:rsidP="007A60F3">
      <w:pPr>
        <w:pStyle w:val="BodyTextIndent3"/>
        <w:widowControl w:val="0"/>
        <w:ind w:left="0"/>
      </w:pPr>
      <w:r w:rsidRPr="00993B55">
        <w:t xml:space="preserve">A minor permit modification is a permit modification that does not meet the definition of modification as given in Section 111 or Section 112 of the Federal Clean Air Act.  Since this project involves the installation of a new emission unit that is subject to an NSPS requirement, the proposed project is considered to be a modification under the Federal Clean Air Act.  As a result, the proposed project constitutes a Significant Modification to the Title V Permit.  </w:t>
      </w:r>
    </w:p>
    <w:p w14:paraId="1D15434F" w14:textId="2200E7CD" w:rsidR="000177D5" w:rsidRDefault="000177D5" w:rsidP="007A60F3">
      <w:pPr>
        <w:widowControl w:val="0"/>
      </w:pPr>
    </w:p>
    <w:p w14:paraId="02F7EF18" w14:textId="4B4C3515" w:rsidR="00C641BB" w:rsidRPr="00993B55" w:rsidRDefault="00C641BB" w:rsidP="007A60F3">
      <w:pPr>
        <w:widowControl w:val="0"/>
        <w:rPr>
          <w:rFonts w:cs="Arial"/>
        </w:rPr>
      </w:pPr>
      <w:r>
        <w:rPr>
          <w:rFonts w:cs="Arial"/>
          <w:i/>
          <w:iCs/>
          <w:color w:val="0000FF"/>
        </w:rPr>
        <w:t>Use the following for all discussions for Example (e)</w:t>
      </w:r>
    </w:p>
    <w:p w14:paraId="3B75F13F" w14:textId="7B27158D" w:rsidR="00D2534D" w:rsidRPr="00993B55" w:rsidRDefault="000177D5" w:rsidP="007A60F3">
      <w:pPr>
        <w:widowControl w:val="0"/>
      </w:pPr>
      <w:r w:rsidRPr="00993B55">
        <w:t xml:space="preserve">As discussed above, the facility </w:t>
      </w:r>
      <w:r w:rsidRPr="00993B55">
        <w:rPr>
          <w:color w:val="0000FF"/>
        </w:rPr>
        <w:t>has (not)</w:t>
      </w:r>
      <w:r w:rsidRPr="00993B55">
        <w:t xml:space="preserve"> applied for a Certificate of Conformity (COC); therefore, the facility must apply to modify their Title V permit with </w:t>
      </w:r>
      <w:r w:rsidRPr="00993B55">
        <w:rPr>
          <w:color w:val="0000FF"/>
        </w:rPr>
        <w:t>a(n)</w:t>
      </w:r>
      <w:r w:rsidRPr="00993B55">
        <w:t xml:space="preserve"> </w:t>
      </w:r>
      <w:r w:rsidRPr="00993B55">
        <w:rPr>
          <w:color w:val="0000FF"/>
        </w:rPr>
        <w:t>administrative amendment/minor modification</w:t>
      </w:r>
      <w:r w:rsidRPr="00993B55">
        <w:t>, prior to operating with the proposed modifications.  Continued compliance with this rule is expected.  The facility shall not implement the changes requested until the final permit is issued.</w:t>
      </w:r>
    </w:p>
    <w:p w14:paraId="1F656D35" w14:textId="77777777" w:rsidR="000177D5" w:rsidRPr="00993B55" w:rsidRDefault="000177D5" w:rsidP="007A60F3">
      <w:pPr>
        <w:widowControl w:val="0"/>
      </w:pPr>
    </w:p>
    <w:p w14:paraId="111B5350" w14:textId="77777777" w:rsidR="000177D5" w:rsidRPr="00993B55" w:rsidRDefault="000177D5" w:rsidP="007A60F3">
      <w:pPr>
        <w:widowControl w:val="0"/>
        <w:rPr>
          <w:i/>
          <w:iCs/>
          <w:color w:val="0000FF"/>
        </w:rPr>
      </w:pPr>
      <w:r w:rsidRPr="00993B55">
        <w:rPr>
          <w:i/>
          <w:iCs/>
          <w:color w:val="0000FF"/>
        </w:rPr>
        <w:t>(If not proceeding w/COC issuance, inform applicant it is recommended to have ATC issued with a COC so that EPA can review changes prior to construction/ATC implementation.)</w:t>
      </w:r>
    </w:p>
    <w:p w14:paraId="6057DB5C" w14:textId="77777777" w:rsidR="000177D5" w:rsidRPr="00993B55" w:rsidRDefault="000177D5" w:rsidP="007A60F3">
      <w:pPr>
        <w:widowControl w:val="0"/>
      </w:pPr>
    </w:p>
    <w:p w14:paraId="25873436" w14:textId="1B1DB6FB" w:rsidR="000177D5" w:rsidRDefault="000177D5" w:rsidP="007A60F3">
      <w:pPr>
        <w:widowControl w:val="0"/>
        <w:autoSpaceDE w:val="0"/>
        <w:autoSpaceDN w:val="0"/>
        <w:adjustRightInd w:val="0"/>
        <w:ind w:left="1530" w:hanging="1530"/>
        <w:rPr>
          <w:i/>
          <w:iCs/>
          <w:color w:val="0000FF"/>
        </w:rPr>
      </w:pPr>
      <w:r w:rsidRPr="00993B55">
        <w:rPr>
          <w:i/>
          <w:iCs/>
          <w:color w:val="0000FF"/>
          <w:u w:val="single"/>
        </w:rPr>
        <w:t>Example (f)</w:t>
      </w:r>
      <w:r w:rsidRPr="00993B55">
        <w:rPr>
          <w:i/>
          <w:iCs/>
          <w:color w:val="0000FF"/>
        </w:rPr>
        <w:t>:</w:t>
      </w:r>
      <w:r w:rsidRPr="00993B55">
        <w:rPr>
          <w:i/>
          <w:iCs/>
          <w:color w:val="0000FF"/>
        </w:rPr>
        <w:tab/>
        <w:t>(</w:t>
      </w:r>
      <w:r w:rsidRPr="00993B55">
        <w:rPr>
          <w:rFonts w:cs="Arial"/>
          <w:i/>
          <w:iCs/>
          <w:color w:val="0000FF"/>
        </w:rPr>
        <w:t>When the source is major under the latest NSR rule, and NOT major under the NSR rule in effect when the application was deemed complete</w:t>
      </w:r>
      <w:r w:rsidRPr="00993B55">
        <w:rPr>
          <w:i/>
          <w:iCs/>
          <w:color w:val="0000FF"/>
        </w:rPr>
        <w:t xml:space="preserve"> - </w:t>
      </w:r>
      <w:r w:rsidRPr="00993B55">
        <w:rPr>
          <w:i/>
          <w:iCs/>
          <w:color w:val="0000FF"/>
          <w:u w:val="single"/>
        </w:rPr>
        <w:t>Very rare occurrence.</w:t>
      </w:r>
      <w:r w:rsidRPr="00993B55">
        <w:rPr>
          <w:i/>
          <w:iCs/>
          <w:color w:val="0000FF"/>
        </w:rPr>
        <w:t>)</w:t>
      </w:r>
    </w:p>
    <w:p w14:paraId="5E017002" w14:textId="77777777" w:rsidR="004F459B" w:rsidRPr="00993B55" w:rsidRDefault="004F459B" w:rsidP="007A60F3">
      <w:pPr>
        <w:widowControl w:val="0"/>
        <w:autoSpaceDE w:val="0"/>
        <w:autoSpaceDN w:val="0"/>
        <w:adjustRightInd w:val="0"/>
        <w:ind w:left="1530" w:hanging="1530"/>
        <w:rPr>
          <w:i/>
          <w:iCs/>
          <w:color w:val="0000FF"/>
        </w:rPr>
      </w:pPr>
    </w:p>
    <w:p w14:paraId="4EEAC2A6" w14:textId="77777777" w:rsidR="000177D5" w:rsidRPr="00993B55" w:rsidRDefault="000177D5" w:rsidP="007A60F3">
      <w:pPr>
        <w:widowControl w:val="0"/>
        <w:rPr>
          <w:rFonts w:cs="Arial"/>
          <w:color w:val="000000"/>
        </w:rPr>
      </w:pPr>
      <w:r w:rsidRPr="00993B55">
        <w:rPr>
          <w:rFonts w:cs="Arial"/>
          <w:color w:val="000000"/>
        </w:rPr>
        <w:t>Since this facility’s emissions exceed the new major source thresholds of the latest version of Rule 2201, this facility is now a major source subject to Title V requirements.  Pursuant to Rule 2520, and as required by permit condition, the facility will have to either submit a Title V Application or comply with District Rule 2530</w:t>
      </w:r>
      <w:r w:rsidRPr="00993B55">
        <w:rPr>
          <w:rFonts w:cs="Arial"/>
          <w:i/>
          <w:iCs/>
          <w:color w:val="000000"/>
        </w:rPr>
        <w:t xml:space="preserve"> Federally Enforceable Potential to Emit</w:t>
      </w:r>
      <w:r w:rsidRPr="00993B55">
        <w:rPr>
          <w:rFonts w:cs="Arial"/>
          <w:color w:val="000000"/>
        </w:rPr>
        <w:t>.</w:t>
      </w:r>
    </w:p>
    <w:p w14:paraId="1F3A3BA4" w14:textId="77777777" w:rsidR="000177D5" w:rsidRPr="00993B55" w:rsidRDefault="000177D5" w:rsidP="007A60F3">
      <w:pPr>
        <w:widowControl w:val="0"/>
        <w:rPr>
          <w:bCs/>
          <w:color w:val="000000"/>
        </w:rPr>
      </w:pPr>
    </w:p>
    <w:p w14:paraId="180EB42F" w14:textId="77777777" w:rsidR="000177D5" w:rsidRPr="00993B55" w:rsidRDefault="000177D5" w:rsidP="00A71C80">
      <w:pPr>
        <w:widowControl w:val="0"/>
        <w:ind w:left="1530" w:hanging="1530"/>
        <w:rPr>
          <w:bCs/>
          <w:color w:val="000000"/>
        </w:rPr>
      </w:pPr>
      <w:r w:rsidRPr="00993B55">
        <w:rPr>
          <w:i/>
          <w:iCs/>
          <w:color w:val="0000FF"/>
          <w:u w:val="single"/>
        </w:rPr>
        <w:t>Example (g)</w:t>
      </w:r>
      <w:r w:rsidRPr="00993B55">
        <w:rPr>
          <w:i/>
          <w:iCs/>
          <w:color w:val="0000FF"/>
        </w:rPr>
        <w:t>:</w:t>
      </w:r>
      <w:r w:rsidRPr="00993B55">
        <w:rPr>
          <w:i/>
          <w:iCs/>
          <w:color w:val="0000FF"/>
        </w:rPr>
        <w:tab/>
        <w:t>(</w:t>
      </w:r>
      <w:r w:rsidRPr="00993B55">
        <w:rPr>
          <w:rFonts w:cs="Arial"/>
          <w:i/>
          <w:iCs/>
          <w:color w:val="0000FF"/>
        </w:rPr>
        <w:t>If the facility is a Rule 2530 source, include the following and Rule 2530 discussion</w:t>
      </w:r>
      <w:r w:rsidRPr="00993B55">
        <w:rPr>
          <w:i/>
          <w:iCs/>
          <w:color w:val="0000FF"/>
        </w:rPr>
        <w:t>)</w:t>
      </w:r>
    </w:p>
    <w:p w14:paraId="07232BFF" w14:textId="77777777" w:rsidR="000177D5" w:rsidRPr="00993B55" w:rsidRDefault="000177D5" w:rsidP="007A60F3">
      <w:pPr>
        <w:pStyle w:val="BodyText"/>
        <w:widowControl w:val="0"/>
        <w:rPr>
          <w:color w:val="0000FF"/>
        </w:rPr>
      </w:pPr>
    </w:p>
    <w:p w14:paraId="6B5B7C99" w14:textId="77777777" w:rsidR="000177D5" w:rsidRPr="00993B55" w:rsidRDefault="000177D5" w:rsidP="007A60F3">
      <w:pPr>
        <w:pStyle w:val="BodyText"/>
        <w:widowControl w:val="0"/>
        <w:rPr>
          <w:color w:val="000000"/>
        </w:rPr>
      </w:pPr>
      <w:r w:rsidRPr="00993B55">
        <w:rPr>
          <w:color w:val="000000"/>
        </w:rPr>
        <w:t>Since this facility's emissions exceed the major source thresholds of District Rule 2201, this facility is a major source.  However, this facility has elected to comply with Rule 2530, exempts it from the requirements of Rule 2520.</w:t>
      </w:r>
    </w:p>
    <w:p w14:paraId="2A371F2D" w14:textId="77777777" w:rsidR="000177D5" w:rsidRPr="00545278" w:rsidRDefault="000177D5" w:rsidP="00E75CEC">
      <w:pPr>
        <w:pStyle w:val="Heading4"/>
      </w:pPr>
      <w:r w:rsidRPr="00545278">
        <w:t>Rule 2530</w:t>
      </w:r>
      <w:r w:rsidRPr="00545278">
        <w:tab/>
        <w:t>Federally Enforceable Potential to Emit</w:t>
      </w:r>
    </w:p>
    <w:p w14:paraId="5117DBAE" w14:textId="761710BF" w:rsidR="000177D5" w:rsidRPr="00993B55" w:rsidRDefault="000177D5" w:rsidP="007A60F3">
      <w:pPr>
        <w:widowControl w:val="0"/>
        <w:rPr>
          <w:bCs/>
          <w:color w:val="000000"/>
        </w:rPr>
      </w:pPr>
      <w:r w:rsidRPr="00993B55">
        <w:rPr>
          <w:color w:val="000000"/>
        </w:rPr>
        <w:t xml:space="preserve">The purpose of this rule is to restrict the emissions of a stationary source so that the source may elect to be exempt from the requirements of Rule 2520.  Pursuant to Rule 2530, since this facility has elected exemption from the requirements of Rule 2520 by ensuring actual emissions from </w:t>
      </w:r>
      <w:r w:rsidRPr="00993B55">
        <w:rPr>
          <w:color w:val="000000"/>
        </w:rPr>
        <w:lastRenderedPageBreak/>
        <w:t>the stationary source in every 12-month periods to not exceed the following:  ½ the major source thresholds for NOx, VOCs, CO, and PM</w:t>
      </w:r>
      <w:r w:rsidR="00E94A9F">
        <w:rPr>
          <w:color w:val="000000"/>
        </w:rPr>
        <w:t>10</w:t>
      </w:r>
      <w:r w:rsidRPr="00993B55">
        <w:rPr>
          <w:color w:val="000000"/>
        </w:rPr>
        <w:t>; 50 tons per year SO2; 5 tons per year of a single HAP; 12.5 tons per year of any combination of HAPs; 50 percent of any lesser threshold for a single HAP as the EPA may establish by rule; and 50 percent of the major source threshold for any other regulated air pollutant not listed in Rule 2530.</w:t>
      </w:r>
    </w:p>
    <w:p w14:paraId="72DC4F94" w14:textId="77777777" w:rsidR="000177D5" w:rsidRPr="00545278" w:rsidRDefault="000177D5" w:rsidP="00E75CEC">
      <w:pPr>
        <w:pStyle w:val="Heading4"/>
      </w:pPr>
      <w:r w:rsidRPr="00545278">
        <w:t>All Other 2000 Series Rules</w:t>
      </w:r>
    </w:p>
    <w:p w14:paraId="08E5C972" w14:textId="037300B6" w:rsidR="000177D5" w:rsidRPr="00993B55" w:rsidRDefault="000177D5" w:rsidP="007A60F3">
      <w:pPr>
        <w:widowControl w:val="0"/>
        <w:rPr>
          <w:color w:val="FF0000"/>
        </w:rPr>
      </w:pPr>
      <w:r w:rsidRPr="00993B55">
        <w:rPr>
          <w:color w:val="FF0000"/>
        </w:rPr>
        <w:t>Include all other 2000 series rules which apply to this project (i.e. District Rules 2530 – Federally Enforceable Potential to Emit, 2540 – Acid Rain Program, or 2550 – Federally Mandated Preconstruction Review for Major Sources of Air Toxics).  State the relevant requirements and include discussions that demonstrate compliance</w:t>
      </w:r>
      <w:r w:rsidR="002F1AE1">
        <w:rPr>
          <w:color w:val="FF0000"/>
        </w:rPr>
        <w:t>.</w:t>
      </w:r>
    </w:p>
    <w:p w14:paraId="09806AAB" w14:textId="3D0A4C2C" w:rsidR="000177D5" w:rsidRPr="00545278" w:rsidRDefault="000177D5" w:rsidP="00E75CEC">
      <w:pPr>
        <w:pStyle w:val="Heading4"/>
      </w:pPr>
      <w:bookmarkStart w:id="7" w:name="_Hlk221176925"/>
      <w:r w:rsidRPr="00545278">
        <w:t>Rule 4001</w:t>
      </w:r>
      <w:r w:rsidRPr="00545278">
        <w:tab/>
        <w:t>New Source Performance Standards (NSPS)</w:t>
      </w:r>
    </w:p>
    <w:bookmarkEnd w:id="7"/>
    <w:p w14:paraId="35B32354" w14:textId="534F615B" w:rsidR="00076E65" w:rsidRDefault="00076E65" w:rsidP="007A60F3">
      <w:pPr>
        <w:widowControl w:val="0"/>
        <w:rPr>
          <w:color w:val="FF0000"/>
        </w:rPr>
      </w:pPr>
      <w:r>
        <w:rPr>
          <w:color w:val="FF0000"/>
        </w:rPr>
        <w:t xml:space="preserve">The District will include the requirements from an NSPS on a permit if the NSPS applies to the operation and the NSPS is listed in Rule 4001 </w:t>
      </w:r>
      <w:r w:rsidRPr="00B34356">
        <w:rPr>
          <w:color w:val="FF0000"/>
        </w:rPr>
        <w:t>or</w:t>
      </w:r>
      <w:r>
        <w:rPr>
          <w:color w:val="FF0000"/>
        </w:rPr>
        <w:t xml:space="preserve"> the facility has a Title V permit.</w:t>
      </w:r>
    </w:p>
    <w:p w14:paraId="345F24E2" w14:textId="77777777" w:rsidR="00076E65" w:rsidRDefault="00076E65" w:rsidP="007A60F3">
      <w:pPr>
        <w:widowControl w:val="0"/>
        <w:rPr>
          <w:color w:val="FF0000"/>
        </w:rPr>
      </w:pPr>
    </w:p>
    <w:p w14:paraId="4116C400" w14:textId="77777777" w:rsidR="00076E65" w:rsidRDefault="00076E65" w:rsidP="007A60F3">
      <w:pPr>
        <w:widowControl w:val="0"/>
        <w:rPr>
          <w:color w:val="FF0000"/>
        </w:rPr>
      </w:pPr>
      <w:r w:rsidRPr="00C4518C">
        <w:rPr>
          <w:color w:val="FF0000"/>
        </w:rPr>
        <w:t xml:space="preserve">Each </w:t>
      </w:r>
      <w:r>
        <w:rPr>
          <w:color w:val="FF0000"/>
        </w:rPr>
        <w:t xml:space="preserve">NSPS subpart defines the </w:t>
      </w:r>
      <w:r w:rsidRPr="00C4518C">
        <w:rPr>
          <w:i/>
          <w:iCs/>
          <w:color w:val="FF0000"/>
        </w:rPr>
        <w:t>affected facilities</w:t>
      </w:r>
      <w:r>
        <w:rPr>
          <w:color w:val="FF0000"/>
        </w:rPr>
        <w:t xml:space="preserve"> to which it applies.  The meaning of </w:t>
      </w:r>
      <w:r w:rsidRPr="006878ED">
        <w:rPr>
          <w:i/>
          <w:iCs/>
          <w:color w:val="FF0000"/>
        </w:rPr>
        <w:t>facility</w:t>
      </w:r>
      <w:r>
        <w:rPr>
          <w:color w:val="FF0000"/>
        </w:rPr>
        <w:t xml:space="preserve"> in NSPS can range from an individual emissions unit (e.g. a conveyor) up to up to an entire plant (e.g. a petroleum refinery).  Also, NSPS only apply to </w:t>
      </w:r>
      <w:r w:rsidRPr="00C4518C">
        <w:rPr>
          <w:i/>
          <w:iCs/>
          <w:color w:val="FF0000"/>
        </w:rPr>
        <w:t>new</w:t>
      </w:r>
      <w:r>
        <w:rPr>
          <w:color w:val="FF0000"/>
        </w:rPr>
        <w:t xml:space="preserve">, </w:t>
      </w:r>
      <w:r w:rsidRPr="00C4518C">
        <w:rPr>
          <w:i/>
          <w:iCs/>
          <w:color w:val="FF0000"/>
        </w:rPr>
        <w:t>modified</w:t>
      </w:r>
      <w:r>
        <w:rPr>
          <w:color w:val="FF0000"/>
        </w:rPr>
        <w:t xml:space="preserve"> (40 CFR 60.14), or </w:t>
      </w:r>
      <w:r w:rsidRPr="00C4518C">
        <w:rPr>
          <w:i/>
          <w:iCs/>
          <w:color w:val="FF0000"/>
        </w:rPr>
        <w:t>reconstructed</w:t>
      </w:r>
      <w:r>
        <w:rPr>
          <w:color w:val="FF0000"/>
        </w:rPr>
        <w:t xml:space="preserve"> (40 CFR 60.15) </w:t>
      </w:r>
      <w:r w:rsidRPr="00C4518C">
        <w:rPr>
          <w:i/>
          <w:iCs/>
          <w:color w:val="FF0000"/>
        </w:rPr>
        <w:t>facilit</w:t>
      </w:r>
      <w:r>
        <w:rPr>
          <w:i/>
          <w:iCs/>
          <w:color w:val="FF0000"/>
        </w:rPr>
        <w:t xml:space="preserve">ies.  </w:t>
      </w:r>
      <w:r w:rsidRPr="006878ED">
        <w:rPr>
          <w:color w:val="FF0000"/>
        </w:rPr>
        <w:t>Generally, NSPS do not apply to</w:t>
      </w:r>
      <w:r>
        <w:rPr>
          <w:i/>
          <w:iCs/>
          <w:color w:val="FF0000"/>
        </w:rPr>
        <w:t xml:space="preserve"> existing facilities</w:t>
      </w:r>
      <w:r>
        <w:rPr>
          <w:color w:val="FF0000"/>
        </w:rPr>
        <w:t xml:space="preserve">, i.e. facilities that might otherwise be functionally equivalent to an </w:t>
      </w:r>
      <w:r w:rsidRPr="006878ED">
        <w:rPr>
          <w:i/>
          <w:iCs/>
          <w:color w:val="FF0000"/>
        </w:rPr>
        <w:t>affected facility</w:t>
      </w:r>
      <w:r>
        <w:rPr>
          <w:color w:val="FF0000"/>
        </w:rPr>
        <w:t xml:space="preserve"> but were constructed before the NSPS applicability date and have not been modified or reconstructed after the applicability date indicated in the NSPS subpart.  Note that certain types of changes (e.g. addition of control equipment per 40 CFR 60.14(e)(5)) are excluded from being considered a modification.</w:t>
      </w:r>
    </w:p>
    <w:p w14:paraId="2169FBEF" w14:textId="77777777" w:rsidR="00076E65" w:rsidRDefault="00076E65" w:rsidP="007A60F3">
      <w:pPr>
        <w:widowControl w:val="0"/>
        <w:rPr>
          <w:color w:val="FF0000"/>
        </w:rPr>
      </w:pPr>
    </w:p>
    <w:p w14:paraId="79F2C1AF" w14:textId="1A8B1060" w:rsidR="00076E65" w:rsidRDefault="00076E65" w:rsidP="007A60F3">
      <w:pPr>
        <w:widowControl w:val="0"/>
        <w:rPr>
          <w:color w:val="FF0000"/>
        </w:rPr>
      </w:pPr>
      <w:r>
        <w:rPr>
          <w:color w:val="FF0000"/>
        </w:rPr>
        <w:t>If an NSPS applies</w:t>
      </w:r>
      <w:r w:rsidR="00C922D5">
        <w:rPr>
          <w:color w:val="FF0000"/>
        </w:rPr>
        <w:t>, a</w:t>
      </w:r>
      <w:r>
        <w:rPr>
          <w:color w:val="FF0000"/>
        </w:rPr>
        <w:t xml:space="preserve"> rule breakdown is required</w:t>
      </w:r>
      <w:r w:rsidR="00C922D5">
        <w:rPr>
          <w:color w:val="FF0000"/>
        </w:rPr>
        <w:t>.  T</w:t>
      </w:r>
      <w:r>
        <w:rPr>
          <w:color w:val="FF0000"/>
        </w:rPr>
        <w:t xml:space="preserve">he NSPS title </w:t>
      </w:r>
      <w:r w:rsidR="00C922D5">
        <w:rPr>
          <w:color w:val="FF0000"/>
        </w:rPr>
        <w:t xml:space="preserve">should </w:t>
      </w:r>
      <w:r>
        <w:rPr>
          <w:color w:val="FF0000"/>
        </w:rPr>
        <w:t>be put in bold font similar to the format used for District Rules.  The example language below is a suggestion for how different scenarios might be addressed and should be modified as appropriate.</w:t>
      </w:r>
    </w:p>
    <w:p w14:paraId="70FD49D0" w14:textId="77777777" w:rsidR="00076E65" w:rsidRDefault="00076E65" w:rsidP="007A60F3">
      <w:pPr>
        <w:widowControl w:val="0"/>
        <w:rPr>
          <w:color w:val="FF0000"/>
        </w:rPr>
      </w:pPr>
    </w:p>
    <w:p w14:paraId="4005987D" w14:textId="6F0070A7" w:rsidR="00076E65" w:rsidRPr="00A71C80" w:rsidRDefault="00076E65" w:rsidP="007A60F3">
      <w:pPr>
        <w:widowControl w:val="0"/>
      </w:pPr>
      <w:r>
        <w:t>New Source Performance Standards (NSPS) (</w:t>
      </w:r>
      <w:r w:rsidRPr="00993B55">
        <w:t>Part 60, Chapter 1, Title 40, Code of Federal Regulations (CFR</w:t>
      </w:r>
      <w:r>
        <w:t>)</w:t>
      </w:r>
      <w:r w:rsidR="000E5AA8">
        <w:t>)</w:t>
      </w:r>
      <w:r>
        <w:t xml:space="preserve"> are federal air pollution control standards authorized by Section 111 of the Clean Air Act</w:t>
      </w:r>
      <w:r w:rsidR="007C7976">
        <w:t xml:space="preserve"> and promulgated by US EPA</w:t>
      </w:r>
      <w:r>
        <w:t>.  By default, US EPA</w:t>
      </w:r>
      <w:r w:rsidRPr="006878ED">
        <w:t xml:space="preserve"> </w:t>
      </w:r>
      <w:r>
        <w:t>retains authority to administer and enforce NSPS unless US EPA delegates this authority to a state or local agency.  District Rule 4001</w:t>
      </w:r>
      <w:r w:rsidRPr="00993B55">
        <w:t xml:space="preserve"> incorporates </w:t>
      </w:r>
      <w:r>
        <w:t xml:space="preserve">those </w:t>
      </w:r>
      <w:r w:rsidRPr="00993B55">
        <w:t xml:space="preserve">NSPS </w:t>
      </w:r>
      <w:r>
        <w:t>that US EPA has delegated to the District</w:t>
      </w:r>
      <w:r w:rsidRPr="00993B55">
        <w:t>.</w:t>
      </w:r>
      <w:r>
        <w:t xml:space="preserve">  In addition, for sources with Title V permits, the District acts as the administrator for all NSPS, regardless of the delegation status of the specific NSPS in Rule 4001.</w:t>
      </w:r>
    </w:p>
    <w:p w14:paraId="31B7CADA" w14:textId="77777777" w:rsidR="00076E65" w:rsidRDefault="00076E65" w:rsidP="007A60F3">
      <w:pPr>
        <w:widowControl w:val="0"/>
        <w:rPr>
          <w:color w:val="0000FF"/>
        </w:rPr>
      </w:pPr>
    </w:p>
    <w:p w14:paraId="72EDE60F" w14:textId="2688D6E7" w:rsidR="00076E65" w:rsidRPr="00AE4CC2" w:rsidRDefault="00076E65" w:rsidP="007A60F3">
      <w:pPr>
        <w:widowControl w:val="0"/>
        <w:rPr>
          <w:i/>
          <w:iCs/>
          <w:color w:val="0000FF"/>
        </w:rPr>
      </w:pPr>
      <w:r w:rsidRPr="00AE4CC2">
        <w:rPr>
          <w:i/>
          <w:iCs/>
          <w:color w:val="0000FF"/>
          <w:u w:val="single"/>
        </w:rPr>
        <w:t xml:space="preserve">Example </w:t>
      </w:r>
      <w:r w:rsidR="00953DF5" w:rsidRPr="00AE4CC2">
        <w:rPr>
          <w:i/>
          <w:iCs/>
          <w:color w:val="0000FF"/>
          <w:u w:val="single"/>
        </w:rPr>
        <w:t>(a)</w:t>
      </w:r>
      <w:r w:rsidR="009A4142">
        <w:rPr>
          <w:i/>
          <w:iCs/>
          <w:color w:val="0000FF"/>
          <w:u w:val="single"/>
        </w:rPr>
        <w:t>:</w:t>
      </w:r>
      <w:r w:rsidRPr="00AE4CC2">
        <w:rPr>
          <w:i/>
          <w:iCs/>
          <w:color w:val="0000FF"/>
        </w:rPr>
        <w:t xml:space="preserve"> (No NSPS addresses this type of operation or facility)</w:t>
      </w:r>
    </w:p>
    <w:p w14:paraId="04F359B3" w14:textId="77777777" w:rsidR="00386F43" w:rsidRDefault="00386F43" w:rsidP="007A60F3">
      <w:pPr>
        <w:widowControl w:val="0"/>
      </w:pPr>
    </w:p>
    <w:p w14:paraId="2B9FB7A0" w14:textId="2512EFF8" w:rsidR="00076E65" w:rsidRPr="0033553F" w:rsidRDefault="00076E65" w:rsidP="007A60F3">
      <w:pPr>
        <w:widowControl w:val="0"/>
      </w:pPr>
      <w:r w:rsidRPr="00993B55">
        <w:t xml:space="preserve">However, no </w:t>
      </w:r>
      <w:r>
        <w:t>NSPS</w:t>
      </w:r>
      <w:r w:rsidRPr="00993B55">
        <w:t xml:space="preserve"> apply to </w:t>
      </w:r>
      <w:r w:rsidRPr="00993B55">
        <w:rPr>
          <w:color w:val="0000FF"/>
        </w:rPr>
        <w:t xml:space="preserve">[insert operation </w:t>
      </w:r>
      <w:r>
        <w:rPr>
          <w:color w:val="0000FF"/>
        </w:rPr>
        <w:t>description</w:t>
      </w:r>
      <w:r w:rsidRPr="00993B55">
        <w:rPr>
          <w:color w:val="0000FF"/>
        </w:rPr>
        <w:t>]</w:t>
      </w:r>
      <w:r w:rsidRPr="006878ED">
        <w:t>; therefore, no further discussion of NSPS is required</w:t>
      </w:r>
      <w:r w:rsidRPr="0033553F">
        <w:t>.</w:t>
      </w:r>
    </w:p>
    <w:p w14:paraId="29543770" w14:textId="77777777" w:rsidR="00076E65" w:rsidRDefault="00076E65" w:rsidP="007A60F3">
      <w:pPr>
        <w:pStyle w:val="Header"/>
        <w:widowControl w:val="0"/>
        <w:tabs>
          <w:tab w:val="clear" w:pos="4320"/>
          <w:tab w:val="clear" w:pos="8640"/>
        </w:tabs>
      </w:pPr>
    </w:p>
    <w:p w14:paraId="1EDF9403" w14:textId="73578311" w:rsidR="00076E65" w:rsidRDefault="00076E65" w:rsidP="007A60F3">
      <w:pPr>
        <w:widowControl w:val="0"/>
        <w:rPr>
          <w:i/>
          <w:iCs/>
          <w:color w:val="0000FF"/>
        </w:rPr>
      </w:pPr>
      <w:r w:rsidRPr="00AE4CC2">
        <w:rPr>
          <w:i/>
          <w:iCs/>
          <w:color w:val="0000FF"/>
          <w:u w:val="single"/>
        </w:rPr>
        <w:t xml:space="preserve">Example </w:t>
      </w:r>
      <w:r w:rsidR="00386F43" w:rsidRPr="00AE4CC2">
        <w:rPr>
          <w:i/>
          <w:iCs/>
          <w:color w:val="0000FF"/>
          <w:u w:val="single"/>
        </w:rPr>
        <w:t>(b)</w:t>
      </w:r>
      <w:r w:rsidRPr="00AE4CC2">
        <w:rPr>
          <w:i/>
          <w:iCs/>
          <w:color w:val="0000FF"/>
        </w:rPr>
        <w:t>: (Although an NSPS addresses this type of operation, the NSPS is not listed in Rule 4001 nor does the facility have a Title V permit)</w:t>
      </w:r>
    </w:p>
    <w:p w14:paraId="7F4C2087" w14:textId="77777777" w:rsidR="006146A7" w:rsidRPr="00FD6177" w:rsidRDefault="006146A7" w:rsidP="007A60F3">
      <w:pPr>
        <w:widowControl w:val="0"/>
        <w:rPr>
          <w:color w:val="0000FF"/>
        </w:rPr>
      </w:pPr>
    </w:p>
    <w:p w14:paraId="13C72119" w14:textId="77777777" w:rsidR="009A4142" w:rsidRDefault="00076E65" w:rsidP="007A60F3">
      <w:pPr>
        <w:widowControl w:val="0"/>
      </w:pPr>
      <w:r w:rsidRPr="00C4518C">
        <w:rPr>
          <w:color w:val="0000FF"/>
        </w:rPr>
        <w:lastRenderedPageBreak/>
        <w:t>[</w:t>
      </w:r>
      <w:r>
        <w:rPr>
          <w:color w:val="0000FF"/>
        </w:rPr>
        <w:t>I</w:t>
      </w:r>
      <w:r w:rsidRPr="00C4518C">
        <w:rPr>
          <w:color w:val="0000FF"/>
        </w:rPr>
        <w:t xml:space="preserve">nsert operation description] </w:t>
      </w:r>
      <w:r w:rsidRPr="00C4518C">
        <w:t xml:space="preserve">may be an </w:t>
      </w:r>
      <w:r w:rsidRPr="00C4518C">
        <w:rPr>
          <w:i/>
          <w:iCs/>
        </w:rPr>
        <w:t>affected facility</w:t>
      </w:r>
      <w:r w:rsidRPr="00C4518C">
        <w:t xml:space="preserve"> under </w:t>
      </w:r>
      <w:r w:rsidRPr="00C4518C">
        <w:rPr>
          <w:color w:val="0000FF"/>
        </w:rPr>
        <w:t>[</w:t>
      </w:r>
      <w:r>
        <w:rPr>
          <w:color w:val="0000FF"/>
        </w:rPr>
        <w:t>i</w:t>
      </w:r>
      <w:r w:rsidRPr="00C4518C">
        <w:rPr>
          <w:color w:val="0000FF"/>
        </w:rPr>
        <w:t>nsert NSPS Title]</w:t>
      </w:r>
      <w:r>
        <w:t xml:space="preserve">; however, US </w:t>
      </w:r>
    </w:p>
    <w:p w14:paraId="023E0625" w14:textId="628CCED7" w:rsidR="00076E65" w:rsidRDefault="00076E65" w:rsidP="007A60F3">
      <w:pPr>
        <w:widowControl w:val="0"/>
      </w:pPr>
      <w:r>
        <w:t>EPA has not delegated this NSPS to the District nor does the facility have a Title V permit.  Therefore, since the District does not have the authority to administer or enforce this NSPS, no further discussion of this NSPS is required.</w:t>
      </w:r>
    </w:p>
    <w:p w14:paraId="207E5EC2" w14:textId="77777777" w:rsidR="00076E65" w:rsidRDefault="00076E65" w:rsidP="007A60F3">
      <w:pPr>
        <w:widowControl w:val="0"/>
      </w:pPr>
    </w:p>
    <w:p w14:paraId="2B05FD7D" w14:textId="77777777" w:rsidR="00076E65" w:rsidRDefault="00076E65" w:rsidP="007A60F3">
      <w:pPr>
        <w:widowControl w:val="0"/>
      </w:pPr>
      <w:r>
        <w:t>No other</w:t>
      </w:r>
      <w:r w:rsidRPr="00993B55">
        <w:t xml:space="preserve"> </w:t>
      </w:r>
      <w:r>
        <w:t>NSPS</w:t>
      </w:r>
      <w:r w:rsidRPr="00993B55">
        <w:t xml:space="preserve"> apply to </w:t>
      </w:r>
      <w:r w:rsidRPr="00993B55">
        <w:rPr>
          <w:color w:val="0000FF"/>
        </w:rPr>
        <w:t xml:space="preserve">[insert operation </w:t>
      </w:r>
      <w:r>
        <w:rPr>
          <w:color w:val="0000FF"/>
        </w:rPr>
        <w:t>description</w:t>
      </w:r>
      <w:r w:rsidRPr="00993B55">
        <w:rPr>
          <w:color w:val="0000FF"/>
        </w:rPr>
        <w:t>]</w:t>
      </w:r>
      <w:r>
        <w:rPr>
          <w:color w:val="0000FF"/>
        </w:rPr>
        <w:t>;</w:t>
      </w:r>
      <w:r w:rsidRPr="0016599F">
        <w:t xml:space="preserve"> </w:t>
      </w:r>
      <w:r w:rsidRPr="00C4518C">
        <w:t>therefore, no further discussion of NSPS is required.</w:t>
      </w:r>
    </w:p>
    <w:p w14:paraId="1FDA7A0E" w14:textId="77777777" w:rsidR="00076E65" w:rsidRDefault="00076E65" w:rsidP="007A60F3">
      <w:pPr>
        <w:pStyle w:val="Header"/>
        <w:widowControl w:val="0"/>
        <w:tabs>
          <w:tab w:val="clear" w:pos="4320"/>
          <w:tab w:val="clear" w:pos="8640"/>
        </w:tabs>
      </w:pPr>
    </w:p>
    <w:p w14:paraId="1B89362B" w14:textId="76E29E45" w:rsidR="00076E65" w:rsidRPr="00AE4CC2" w:rsidRDefault="00076E65" w:rsidP="007A60F3">
      <w:pPr>
        <w:widowControl w:val="0"/>
        <w:rPr>
          <w:i/>
          <w:iCs/>
          <w:color w:val="0000FF"/>
        </w:rPr>
      </w:pPr>
      <w:r w:rsidRPr="00AE4CC2">
        <w:rPr>
          <w:i/>
          <w:iCs/>
          <w:color w:val="0000FF"/>
          <w:u w:val="single"/>
        </w:rPr>
        <w:t xml:space="preserve">Example </w:t>
      </w:r>
      <w:r w:rsidR="00386F43" w:rsidRPr="00AE4CC2">
        <w:rPr>
          <w:i/>
          <w:iCs/>
          <w:color w:val="0000FF"/>
          <w:u w:val="single"/>
        </w:rPr>
        <w:t>(c)</w:t>
      </w:r>
      <w:r w:rsidRPr="00AE4CC2">
        <w:rPr>
          <w:i/>
          <w:iCs/>
          <w:color w:val="0000FF"/>
        </w:rPr>
        <w:t>: (Although an NSPS addresses this type of operation, and the NSPS is listed in Rule 4001 and/or the facility has a Title V permit, the project does not involve a new, modified, or reconstructed facility and so the operation is not an affected facility under the subpart)</w:t>
      </w:r>
    </w:p>
    <w:p w14:paraId="0EA4EAF4" w14:textId="77777777" w:rsidR="009A4142" w:rsidRDefault="009A4142" w:rsidP="007A60F3">
      <w:pPr>
        <w:widowControl w:val="0"/>
        <w:rPr>
          <w:color w:val="0000FF"/>
        </w:rPr>
      </w:pPr>
    </w:p>
    <w:p w14:paraId="79EFC33E" w14:textId="41E43A5F" w:rsidR="00076E65" w:rsidRDefault="00076E65" w:rsidP="007A60F3">
      <w:pPr>
        <w:widowControl w:val="0"/>
      </w:pPr>
      <w:r w:rsidRPr="00C4518C">
        <w:rPr>
          <w:color w:val="0000FF"/>
        </w:rPr>
        <w:t>[</w:t>
      </w:r>
      <w:r>
        <w:rPr>
          <w:color w:val="0000FF"/>
        </w:rPr>
        <w:t>I</w:t>
      </w:r>
      <w:r w:rsidRPr="00C4518C">
        <w:rPr>
          <w:color w:val="0000FF"/>
        </w:rPr>
        <w:t xml:space="preserve">nsert NSPS Title] </w:t>
      </w:r>
      <w:r w:rsidRPr="006878ED">
        <w:t xml:space="preserve">applies to new, modified, </w:t>
      </w:r>
      <w:r>
        <w:t>or</w:t>
      </w:r>
      <w:r w:rsidRPr="006878ED">
        <w:t xml:space="preserve"> reconstructed </w:t>
      </w:r>
      <w:r w:rsidRPr="00C4518C">
        <w:rPr>
          <w:color w:val="0000FF"/>
        </w:rPr>
        <w:t>[</w:t>
      </w:r>
      <w:r>
        <w:rPr>
          <w:color w:val="0000FF"/>
        </w:rPr>
        <w:t>i</w:t>
      </w:r>
      <w:r w:rsidRPr="00C4518C">
        <w:rPr>
          <w:color w:val="0000FF"/>
        </w:rPr>
        <w:t>nsert operation description]</w:t>
      </w:r>
      <w:r>
        <w:rPr>
          <w:color w:val="0000FF"/>
        </w:rPr>
        <w:t xml:space="preserve">.  </w:t>
      </w:r>
      <w:r w:rsidRPr="006878ED">
        <w:t xml:space="preserve">However, </w:t>
      </w:r>
      <w:r w:rsidRPr="00C4518C">
        <w:rPr>
          <w:color w:val="0000FF"/>
        </w:rPr>
        <w:t>[</w:t>
      </w:r>
      <w:r>
        <w:rPr>
          <w:color w:val="0000FF"/>
        </w:rPr>
        <w:t>i</w:t>
      </w:r>
      <w:r w:rsidRPr="00C4518C">
        <w:rPr>
          <w:color w:val="0000FF"/>
        </w:rPr>
        <w:t>nsert operation description]</w:t>
      </w:r>
      <w:r>
        <w:rPr>
          <w:color w:val="0000FF"/>
        </w:rPr>
        <w:t xml:space="preserve"> </w:t>
      </w:r>
      <w:r w:rsidRPr="006878ED">
        <w:t xml:space="preserve">was installed </w:t>
      </w:r>
      <w:r>
        <w:rPr>
          <w:color w:val="0000FF"/>
        </w:rPr>
        <w:t>[on date or prior to date]</w:t>
      </w:r>
      <w:r w:rsidRPr="006878ED">
        <w:t>,</w:t>
      </w:r>
      <w:r>
        <w:rPr>
          <w:color w:val="0000FF"/>
        </w:rPr>
        <w:t xml:space="preserve"> </w:t>
      </w:r>
      <w:r w:rsidRPr="006878ED">
        <w:t>and, has not undergone a modification</w:t>
      </w:r>
      <w:r>
        <w:rPr>
          <w:color w:val="0000FF"/>
        </w:rPr>
        <w:t xml:space="preserve"> (</w:t>
      </w:r>
      <w:r>
        <w:t xml:space="preserve">as defined in </w:t>
      </w:r>
      <w:r w:rsidRPr="00C4518C">
        <w:t>40 CFR 60.14</w:t>
      </w:r>
      <w:r>
        <w:t xml:space="preserve">) or a reconstruction (as defined in 40 CFR 60.15) after the applicability date as defined in </w:t>
      </w:r>
      <w:r w:rsidRPr="006878ED">
        <w:rPr>
          <w:color w:val="0000FF"/>
        </w:rPr>
        <w:t>[insert subsection or paragraph reference</w:t>
      </w:r>
      <w:r>
        <w:rPr>
          <w:color w:val="0000FF"/>
        </w:rPr>
        <w:t xml:space="preserve"> as applicable</w:t>
      </w:r>
      <w:r w:rsidRPr="006878ED">
        <w:rPr>
          <w:color w:val="0000FF"/>
        </w:rPr>
        <w:t>]</w:t>
      </w:r>
      <w:r>
        <w:t xml:space="preserve"> of this subpart</w:t>
      </w:r>
      <w:r w:rsidRPr="00DA04E0">
        <w:t xml:space="preserve">; </w:t>
      </w:r>
      <w:r w:rsidRPr="006878ED">
        <w:t xml:space="preserve">therefore, </w:t>
      </w:r>
      <w:r w:rsidRPr="00C4518C">
        <w:rPr>
          <w:color w:val="0000FF"/>
        </w:rPr>
        <w:t>[</w:t>
      </w:r>
      <w:r>
        <w:rPr>
          <w:color w:val="0000FF"/>
        </w:rPr>
        <w:t>i</w:t>
      </w:r>
      <w:r w:rsidRPr="00C4518C">
        <w:rPr>
          <w:color w:val="0000FF"/>
        </w:rPr>
        <w:t>nsert operation description]</w:t>
      </w:r>
      <w:r>
        <w:rPr>
          <w:color w:val="0000FF"/>
        </w:rPr>
        <w:t xml:space="preserve"> </w:t>
      </w:r>
      <w:r w:rsidRPr="006878ED">
        <w:t xml:space="preserve">is not an </w:t>
      </w:r>
      <w:r w:rsidRPr="006878ED">
        <w:rPr>
          <w:i/>
          <w:iCs/>
        </w:rPr>
        <w:t>affected facility</w:t>
      </w:r>
      <w:r w:rsidRPr="006878ED">
        <w:t xml:space="preserve"> under this subpart,</w:t>
      </w:r>
      <w:r w:rsidRPr="00DA04E0">
        <w:t xml:space="preserve"> </w:t>
      </w:r>
      <w:r>
        <w:t>and no further discussion is required.</w:t>
      </w:r>
    </w:p>
    <w:p w14:paraId="7E22277E" w14:textId="77777777" w:rsidR="00076E65" w:rsidRDefault="00076E65" w:rsidP="007A60F3">
      <w:pPr>
        <w:widowControl w:val="0"/>
      </w:pPr>
    </w:p>
    <w:p w14:paraId="7F520448" w14:textId="77777777" w:rsidR="00076E65" w:rsidRDefault="00076E65" w:rsidP="007A60F3">
      <w:pPr>
        <w:widowControl w:val="0"/>
      </w:pPr>
      <w:r>
        <w:t>No other</w:t>
      </w:r>
      <w:r w:rsidRPr="00993B55">
        <w:t xml:space="preserve"> </w:t>
      </w:r>
      <w:r>
        <w:t>NSPS</w:t>
      </w:r>
      <w:r w:rsidRPr="00993B55">
        <w:t xml:space="preserve"> apply to </w:t>
      </w:r>
      <w:r w:rsidRPr="00993B55">
        <w:rPr>
          <w:color w:val="0000FF"/>
        </w:rPr>
        <w:t xml:space="preserve">[insert operation </w:t>
      </w:r>
      <w:r>
        <w:rPr>
          <w:color w:val="0000FF"/>
        </w:rPr>
        <w:t>description</w:t>
      </w:r>
      <w:r w:rsidRPr="00993B55">
        <w:rPr>
          <w:color w:val="0000FF"/>
        </w:rPr>
        <w:t>]</w:t>
      </w:r>
      <w:r>
        <w:rPr>
          <w:color w:val="0000FF"/>
        </w:rPr>
        <w:t>;</w:t>
      </w:r>
      <w:r w:rsidRPr="0016599F">
        <w:t xml:space="preserve"> </w:t>
      </w:r>
      <w:r w:rsidRPr="00C4518C">
        <w:t>therefore, no further discussion of NSPS is required.</w:t>
      </w:r>
    </w:p>
    <w:p w14:paraId="087B3393" w14:textId="77777777" w:rsidR="00076E65" w:rsidRDefault="00076E65" w:rsidP="007A60F3">
      <w:pPr>
        <w:widowControl w:val="0"/>
      </w:pPr>
    </w:p>
    <w:p w14:paraId="797633CA" w14:textId="3240B168" w:rsidR="00076E65" w:rsidRDefault="00076E65" w:rsidP="007A60F3">
      <w:pPr>
        <w:widowControl w:val="0"/>
        <w:rPr>
          <w:i/>
          <w:iCs/>
          <w:color w:val="0000FF"/>
        </w:rPr>
      </w:pPr>
      <w:r w:rsidRPr="00AE4CC2">
        <w:rPr>
          <w:i/>
          <w:iCs/>
          <w:color w:val="0000FF"/>
          <w:u w:val="single"/>
        </w:rPr>
        <w:t xml:space="preserve">Example </w:t>
      </w:r>
      <w:r w:rsidR="00386F43" w:rsidRPr="00AE4CC2">
        <w:rPr>
          <w:i/>
          <w:iCs/>
          <w:color w:val="0000FF"/>
          <w:u w:val="single"/>
        </w:rPr>
        <w:t>(d)</w:t>
      </w:r>
      <w:r w:rsidRPr="00AE4CC2">
        <w:rPr>
          <w:i/>
          <w:iCs/>
          <w:color w:val="0000FF"/>
        </w:rPr>
        <w:t>: (An NSPS applies and is listed in Rule 4001 and/or the facility has a Title V permit)</w:t>
      </w:r>
    </w:p>
    <w:p w14:paraId="28ECFAB7" w14:textId="77777777" w:rsidR="007F09DC" w:rsidRDefault="007F09DC" w:rsidP="007A60F3">
      <w:pPr>
        <w:widowControl w:val="0"/>
      </w:pPr>
    </w:p>
    <w:p w14:paraId="46ADBEB9" w14:textId="79B49C50" w:rsidR="00076E65" w:rsidRDefault="00076E65" w:rsidP="007A60F3">
      <w:pPr>
        <w:widowControl w:val="0"/>
      </w:pPr>
      <w:r w:rsidRPr="00C4518C">
        <w:rPr>
          <w:color w:val="0000FF"/>
        </w:rPr>
        <w:t>[</w:t>
      </w:r>
      <w:r>
        <w:rPr>
          <w:color w:val="0000FF"/>
        </w:rPr>
        <w:t>I</w:t>
      </w:r>
      <w:r w:rsidRPr="00C4518C">
        <w:rPr>
          <w:color w:val="0000FF"/>
        </w:rPr>
        <w:t xml:space="preserve">nsert NSPS Title] </w:t>
      </w:r>
      <w:r w:rsidRPr="00AE4CC2">
        <w:t xml:space="preserve">applies to new, modified, and reconstructed </w:t>
      </w:r>
      <w:r w:rsidRPr="00C4518C">
        <w:rPr>
          <w:color w:val="0000FF"/>
        </w:rPr>
        <w:t>[</w:t>
      </w:r>
      <w:r>
        <w:rPr>
          <w:color w:val="0000FF"/>
        </w:rPr>
        <w:t>i</w:t>
      </w:r>
      <w:r w:rsidRPr="00C4518C">
        <w:rPr>
          <w:color w:val="0000FF"/>
        </w:rPr>
        <w:t xml:space="preserve">nsert </w:t>
      </w:r>
      <w:r>
        <w:rPr>
          <w:color w:val="0000FF"/>
        </w:rPr>
        <w:t xml:space="preserve">the applicable subpart definition of an </w:t>
      </w:r>
      <w:r w:rsidRPr="006878ED">
        <w:rPr>
          <w:i/>
          <w:iCs/>
          <w:color w:val="0000FF"/>
        </w:rPr>
        <w:t>affected unit</w:t>
      </w:r>
      <w:r>
        <w:rPr>
          <w:color w:val="0000FF"/>
        </w:rPr>
        <w:t xml:space="preserve"> relevant to this project</w:t>
      </w:r>
      <w:r w:rsidRPr="00C4518C">
        <w:rPr>
          <w:color w:val="0000FF"/>
        </w:rPr>
        <w:t>]</w:t>
      </w:r>
      <w:r>
        <w:rPr>
          <w:color w:val="0000FF"/>
        </w:rPr>
        <w:t xml:space="preserve"> </w:t>
      </w:r>
      <w:r>
        <w:t xml:space="preserve">as defined </w:t>
      </w:r>
      <w:r w:rsidRPr="00C4518C">
        <w:t xml:space="preserve">under </w:t>
      </w:r>
      <w:r w:rsidRPr="00C4518C">
        <w:rPr>
          <w:color w:val="0000FF"/>
        </w:rPr>
        <w:t>[</w:t>
      </w:r>
      <w:r>
        <w:rPr>
          <w:color w:val="0000FF"/>
        </w:rPr>
        <w:t>subsection or paragraph reference</w:t>
      </w:r>
      <w:r w:rsidRPr="00C4518C">
        <w:rPr>
          <w:color w:val="0000FF"/>
        </w:rPr>
        <w:t>]</w:t>
      </w:r>
      <w:r>
        <w:rPr>
          <w:color w:val="0000FF"/>
        </w:rPr>
        <w:t>.  [I</w:t>
      </w:r>
      <w:r w:rsidRPr="00C4518C">
        <w:rPr>
          <w:color w:val="0000FF"/>
        </w:rPr>
        <w:t xml:space="preserve">nsert operation description] </w:t>
      </w:r>
      <w:r w:rsidRPr="00653670">
        <w:t xml:space="preserve">is </w:t>
      </w:r>
      <w:r>
        <w:t xml:space="preserve">a </w:t>
      </w:r>
      <w:r w:rsidRPr="006878ED">
        <w:rPr>
          <w:color w:val="0000FF"/>
        </w:rPr>
        <w:t xml:space="preserve">[new, modified (as defined in 40 CFR 60.14), or reconstructed (as defined in 40 CFR 60.15)] </w:t>
      </w:r>
      <w:r>
        <w:t>and so is an</w:t>
      </w:r>
      <w:r w:rsidRPr="00C4518C">
        <w:t xml:space="preserve"> </w:t>
      </w:r>
      <w:r w:rsidRPr="00C4518C">
        <w:rPr>
          <w:i/>
          <w:iCs/>
        </w:rPr>
        <w:t>affected facility</w:t>
      </w:r>
      <w:r>
        <w:t xml:space="preserve"> under this subpart.  </w:t>
      </w:r>
      <w:r w:rsidRPr="006878ED">
        <w:rPr>
          <w:color w:val="0000FF"/>
        </w:rPr>
        <w:t xml:space="preserve">[US EPA </w:t>
      </w:r>
      <w:r w:rsidR="00F420B7">
        <w:rPr>
          <w:color w:val="0000FF"/>
        </w:rPr>
        <w:t xml:space="preserve">has </w:t>
      </w:r>
      <w:r w:rsidRPr="006878ED">
        <w:rPr>
          <w:color w:val="0000FF"/>
        </w:rPr>
        <w:t>delegated this NSPS to the District under Rule 4001 and/or facility name has a Title V permit</w:t>
      </w:r>
      <w:r>
        <w:rPr>
          <w:color w:val="0000FF"/>
        </w:rPr>
        <w:t>]</w:t>
      </w:r>
      <w:r>
        <w:t>; therefore, the District has the authority to administer and enforce this NSPS.</w:t>
      </w:r>
    </w:p>
    <w:p w14:paraId="127AA03E" w14:textId="77777777" w:rsidR="00076E65" w:rsidRDefault="00076E65" w:rsidP="007A60F3">
      <w:pPr>
        <w:widowControl w:val="0"/>
      </w:pPr>
    </w:p>
    <w:p w14:paraId="0562269F" w14:textId="33489A79" w:rsidR="00076E65" w:rsidRDefault="00076E65" w:rsidP="007A60F3">
      <w:pPr>
        <w:widowControl w:val="0"/>
        <w:rPr>
          <w:color w:val="0000FF"/>
        </w:rPr>
      </w:pPr>
      <w:r>
        <w:t xml:space="preserve">The following section analyzes the applicable requirements from </w:t>
      </w:r>
      <w:r w:rsidRPr="00C4518C">
        <w:rPr>
          <w:color w:val="0000FF"/>
        </w:rPr>
        <w:t>[</w:t>
      </w:r>
      <w:r>
        <w:rPr>
          <w:color w:val="0000FF"/>
        </w:rPr>
        <w:t>I</w:t>
      </w:r>
      <w:r w:rsidRPr="00C4518C">
        <w:rPr>
          <w:color w:val="0000FF"/>
        </w:rPr>
        <w:t>nsert NSPS Title]</w:t>
      </w:r>
      <w:r>
        <w:rPr>
          <w:color w:val="0000FF"/>
        </w:rPr>
        <w:t>.</w:t>
      </w:r>
    </w:p>
    <w:p w14:paraId="035ADB5E" w14:textId="4F9E5C98" w:rsidR="006745E8" w:rsidRDefault="006745E8" w:rsidP="007A60F3">
      <w:pPr>
        <w:widowControl w:val="0"/>
        <w:rPr>
          <w:color w:val="0000FF"/>
        </w:rPr>
      </w:pPr>
    </w:p>
    <w:p w14:paraId="548A2EB4" w14:textId="0413BE2E" w:rsidR="006745E8" w:rsidRPr="00993B55" w:rsidRDefault="007D3462" w:rsidP="007A60F3">
      <w:pPr>
        <w:widowControl w:val="0"/>
        <w:rPr>
          <w:color w:val="FF0000"/>
        </w:rPr>
      </w:pPr>
      <w:r>
        <w:rPr>
          <w:color w:val="FF0000"/>
        </w:rPr>
        <w:t xml:space="preserve">Breakdown the regulation in detail - </w:t>
      </w:r>
      <w:r w:rsidR="006745E8">
        <w:rPr>
          <w:color w:val="FF0000"/>
        </w:rPr>
        <w:t xml:space="preserve">List and </w:t>
      </w:r>
      <w:r w:rsidR="006745E8" w:rsidRPr="00993B55">
        <w:rPr>
          <w:color w:val="FF0000"/>
        </w:rPr>
        <w:t xml:space="preserve">discuss every applicable </w:t>
      </w:r>
      <w:r w:rsidR="006745E8" w:rsidRPr="00A30BFD">
        <w:rPr>
          <w:color w:val="FF0000"/>
        </w:rPr>
        <w:t>section in the regula</w:t>
      </w:r>
      <w:r w:rsidR="006745E8">
        <w:rPr>
          <w:color w:val="FF0000"/>
        </w:rPr>
        <w:t>t</w:t>
      </w:r>
      <w:r w:rsidR="006745E8" w:rsidRPr="00A30BFD">
        <w:rPr>
          <w:color w:val="FF0000"/>
        </w:rPr>
        <w:t>ion to ensure compliance with this regulation.</w:t>
      </w:r>
    </w:p>
    <w:p w14:paraId="67C9659E" w14:textId="77777777" w:rsidR="000177D5" w:rsidRPr="00545278" w:rsidRDefault="000177D5" w:rsidP="00E75CEC">
      <w:pPr>
        <w:pStyle w:val="Heading4"/>
      </w:pPr>
      <w:r w:rsidRPr="00545278">
        <w:t xml:space="preserve">Rule 4002 </w:t>
      </w:r>
      <w:r w:rsidRPr="00545278">
        <w:tab/>
        <w:t>National Emission Standards for Hazardous Air Pollutants (NESHAPs)</w:t>
      </w:r>
    </w:p>
    <w:p w14:paraId="35DE330E" w14:textId="6DEEEDAD" w:rsidR="00570B7E" w:rsidRDefault="00570B7E" w:rsidP="007A60F3">
      <w:pPr>
        <w:widowControl w:val="0"/>
        <w:rPr>
          <w:color w:val="FF0000"/>
        </w:rPr>
      </w:pPr>
      <w:r>
        <w:rPr>
          <w:color w:val="FF0000"/>
        </w:rPr>
        <w:t xml:space="preserve">The District will include the requirements from a NESHAP on a permit if the NESHAP applies to the operation and </w:t>
      </w:r>
      <w:r w:rsidR="00F40B24">
        <w:rPr>
          <w:color w:val="FF0000"/>
        </w:rPr>
        <w:t>if</w:t>
      </w:r>
      <w:r>
        <w:rPr>
          <w:color w:val="FF0000"/>
        </w:rPr>
        <w:t xml:space="preserve"> the NESHAP is listed in Rule 400</w:t>
      </w:r>
      <w:r w:rsidR="003A0604">
        <w:rPr>
          <w:color w:val="FF0000"/>
        </w:rPr>
        <w:t>2</w:t>
      </w:r>
      <w:r>
        <w:rPr>
          <w:color w:val="FF0000"/>
        </w:rPr>
        <w:t xml:space="preserve"> </w:t>
      </w:r>
      <w:r w:rsidRPr="00B34356">
        <w:rPr>
          <w:color w:val="FF0000"/>
        </w:rPr>
        <w:t>or</w:t>
      </w:r>
      <w:r>
        <w:rPr>
          <w:color w:val="FF0000"/>
        </w:rPr>
        <w:t xml:space="preserve"> the facility has a Title V permit.  </w:t>
      </w:r>
      <w:r w:rsidR="006A6E4B">
        <w:rPr>
          <w:color w:val="FF0000"/>
        </w:rPr>
        <w:t xml:space="preserve">District </w:t>
      </w:r>
      <w:r w:rsidR="006A59F4">
        <w:rPr>
          <w:color w:val="FF0000"/>
        </w:rPr>
        <w:t xml:space="preserve">Rule 2520 (section 2.1) requires </w:t>
      </w:r>
      <w:r w:rsidR="006A59F4" w:rsidRPr="00AE4CC2">
        <w:rPr>
          <w:i/>
          <w:iCs/>
          <w:color w:val="FF0000"/>
        </w:rPr>
        <w:t>major air toxics sources</w:t>
      </w:r>
      <w:r w:rsidR="006A59F4">
        <w:rPr>
          <w:color w:val="FF0000"/>
        </w:rPr>
        <w:t xml:space="preserve"> </w:t>
      </w:r>
      <w:r w:rsidR="00497BED">
        <w:rPr>
          <w:color w:val="FF0000"/>
        </w:rPr>
        <w:t xml:space="preserve">(i.e. </w:t>
      </w:r>
      <w:r w:rsidR="00497BED" w:rsidRPr="00AE4CC2">
        <w:rPr>
          <w:i/>
          <w:iCs/>
          <w:color w:val="FF0000"/>
        </w:rPr>
        <w:t>major sources</w:t>
      </w:r>
      <w:r w:rsidR="00497BED">
        <w:rPr>
          <w:color w:val="FF0000"/>
        </w:rPr>
        <w:t xml:space="preserve"> of HAPs) </w:t>
      </w:r>
      <w:r w:rsidR="006A59F4">
        <w:rPr>
          <w:color w:val="FF0000"/>
        </w:rPr>
        <w:t>to obtain a Title V permit.</w:t>
      </w:r>
    </w:p>
    <w:p w14:paraId="285969BE" w14:textId="77777777" w:rsidR="00570B7E" w:rsidRDefault="00570B7E" w:rsidP="007A60F3">
      <w:pPr>
        <w:widowControl w:val="0"/>
        <w:rPr>
          <w:color w:val="FF0000"/>
        </w:rPr>
      </w:pPr>
    </w:p>
    <w:p w14:paraId="093A66B5" w14:textId="724BEC1A" w:rsidR="00570B7E" w:rsidRPr="001B3DD2" w:rsidRDefault="00570B7E" w:rsidP="007A60F3">
      <w:pPr>
        <w:widowControl w:val="0"/>
        <w:rPr>
          <w:color w:val="FF0000"/>
        </w:rPr>
      </w:pPr>
      <w:r w:rsidRPr="00C4518C">
        <w:rPr>
          <w:color w:val="FF0000"/>
        </w:rPr>
        <w:t xml:space="preserve">Each </w:t>
      </w:r>
      <w:r w:rsidR="00C368B7">
        <w:rPr>
          <w:color w:val="FF0000"/>
        </w:rPr>
        <w:t>NESHAP</w:t>
      </w:r>
      <w:r>
        <w:rPr>
          <w:color w:val="FF0000"/>
        </w:rPr>
        <w:t xml:space="preserve"> subpart defines the </w:t>
      </w:r>
      <w:r w:rsidRPr="00C4518C">
        <w:rPr>
          <w:i/>
          <w:iCs/>
          <w:color w:val="FF0000"/>
        </w:rPr>
        <w:t xml:space="preserve">affected </w:t>
      </w:r>
      <w:r w:rsidR="00C368B7">
        <w:rPr>
          <w:i/>
          <w:iCs/>
          <w:color w:val="FF0000"/>
        </w:rPr>
        <w:t>source</w:t>
      </w:r>
      <w:r w:rsidR="00F001DC">
        <w:rPr>
          <w:i/>
          <w:iCs/>
          <w:color w:val="FF0000"/>
        </w:rPr>
        <w:t>(</w:t>
      </w:r>
      <w:r w:rsidR="00C368B7">
        <w:rPr>
          <w:i/>
          <w:iCs/>
          <w:color w:val="FF0000"/>
        </w:rPr>
        <w:t>s</w:t>
      </w:r>
      <w:r w:rsidR="00F001DC">
        <w:rPr>
          <w:i/>
          <w:iCs/>
          <w:color w:val="FF0000"/>
        </w:rPr>
        <w:t>)</w:t>
      </w:r>
      <w:r>
        <w:rPr>
          <w:color w:val="FF0000"/>
        </w:rPr>
        <w:t xml:space="preserve"> to which it applies.  </w:t>
      </w:r>
      <w:r w:rsidR="009F007F">
        <w:rPr>
          <w:color w:val="FF0000"/>
        </w:rPr>
        <w:t xml:space="preserve">A key concept of NESHAP </w:t>
      </w:r>
      <w:r w:rsidR="002B2AE4">
        <w:rPr>
          <w:color w:val="FF0000"/>
        </w:rPr>
        <w:t xml:space="preserve">applicability </w:t>
      </w:r>
      <w:r w:rsidR="009F007F">
        <w:rPr>
          <w:color w:val="FF0000"/>
        </w:rPr>
        <w:t xml:space="preserve">is the difference between </w:t>
      </w:r>
      <w:r w:rsidR="00736DD6" w:rsidRPr="00AE4CC2">
        <w:rPr>
          <w:i/>
          <w:iCs/>
          <w:color w:val="FF0000"/>
        </w:rPr>
        <w:t>m</w:t>
      </w:r>
      <w:r w:rsidR="009F007F" w:rsidRPr="00AE4CC2">
        <w:rPr>
          <w:i/>
          <w:iCs/>
          <w:color w:val="FF0000"/>
        </w:rPr>
        <w:t xml:space="preserve">ajor </w:t>
      </w:r>
      <w:r w:rsidR="00736DD6" w:rsidRPr="00AE4CC2">
        <w:rPr>
          <w:i/>
          <w:iCs/>
          <w:color w:val="FF0000"/>
        </w:rPr>
        <w:t>s</w:t>
      </w:r>
      <w:r w:rsidR="009F007F" w:rsidRPr="00AE4CC2">
        <w:rPr>
          <w:i/>
          <w:iCs/>
          <w:color w:val="FF0000"/>
        </w:rPr>
        <w:t>ource</w:t>
      </w:r>
      <w:r w:rsidR="008D03B9" w:rsidRPr="00AE4CC2">
        <w:rPr>
          <w:i/>
          <w:iCs/>
          <w:color w:val="FF0000"/>
        </w:rPr>
        <w:t>s</w:t>
      </w:r>
      <w:r w:rsidR="008D03B9">
        <w:rPr>
          <w:color w:val="FF0000"/>
        </w:rPr>
        <w:t xml:space="preserve"> </w:t>
      </w:r>
      <w:r w:rsidR="001165D9">
        <w:rPr>
          <w:color w:val="FF0000"/>
        </w:rPr>
        <w:t xml:space="preserve">and </w:t>
      </w:r>
      <w:r w:rsidR="00736DD6" w:rsidRPr="00AE4CC2">
        <w:rPr>
          <w:i/>
          <w:iCs/>
          <w:color w:val="FF0000"/>
        </w:rPr>
        <w:t>a</w:t>
      </w:r>
      <w:r w:rsidR="001165D9" w:rsidRPr="00AE4CC2">
        <w:rPr>
          <w:i/>
          <w:iCs/>
          <w:color w:val="FF0000"/>
        </w:rPr>
        <w:t xml:space="preserve">rea </w:t>
      </w:r>
      <w:r w:rsidR="00736DD6" w:rsidRPr="00AE4CC2">
        <w:rPr>
          <w:i/>
          <w:iCs/>
          <w:color w:val="FF0000"/>
        </w:rPr>
        <w:t>s</w:t>
      </w:r>
      <w:r w:rsidR="001165D9" w:rsidRPr="00AE4CC2">
        <w:rPr>
          <w:i/>
          <w:iCs/>
          <w:color w:val="FF0000"/>
        </w:rPr>
        <w:t>ources</w:t>
      </w:r>
      <w:r w:rsidR="007C0948">
        <w:rPr>
          <w:i/>
          <w:iCs/>
          <w:color w:val="FF0000"/>
        </w:rPr>
        <w:t xml:space="preserve"> </w:t>
      </w:r>
      <w:r w:rsidR="007C0948" w:rsidRPr="00AE4CC2">
        <w:rPr>
          <w:color w:val="FF0000"/>
        </w:rPr>
        <w:t>of HAPs</w:t>
      </w:r>
      <w:r w:rsidR="008D03B9">
        <w:rPr>
          <w:color w:val="FF0000"/>
        </w:rPr>
        <w:t xml:space="preserve">.  </w:t>
      </w:r>
      <w:r w:rsidR="002B2AE4">
        <w:rPr>
          <w:color w:val="FF0000"/>
        </w:rPr>
        <w:t xml:space="preserve">A </w:t>
      </w:r>
      <w:r w:rsidR="003D129B" w:rsidRPr="00AE4CC2">
        <w:rPr>
          <w:i/>
          <w:iCs/>
          <w:color w:val="FF0000"/>
        </w:rPr>
        <w:t>m</w:t>
      </w:r>
      <w:r w:rsidR="002B2AE4" w:rsidRPr="00AE4CC2">
        <w:rPr>
          <w:i/>
          <w:iCs/>
          <w:color w:val="FF0000"/>
        </w:rPr>
        <w:t xml:space="preserve">ajor </w:t>
      </w:r>
      <w:r w:rsidR="003D129B" w:rsidRPr="00AE4CC2">
        <w:rPr>
          <w:i/>
          <w:iCs/>
          <w:color w:val="FF0000"/>
        </w:rPr>
        <w:t>s</w:t>
      </w:r>
      <w:r w:rsidR="002B2AE4" w:rsidRPr="00AE4CC2">
        <w:rPr>
          <w:i/>
          <w:iCs/>
          <w:color w:val="FF0000"/>
        </w:rPr>
        <w:t>ource</w:t>
      </w:r>
      <w:r w:rsidR="002B2AE4">
        <w:rPr>
          <w:color w:val="FF0000"/>
        </w:rPr>
        <w:t xml:space="preserve"> of HAPs </w:t>
      </w:r>
      <w:r w:rsidR="002B2AE4" w:rsidRPr="006878ED">
        <w:rPr>
          <w:color w:val="FF0000"/>
        </w:rPr>
        <w:t xml:space="preserve">has the potential to emit </w:t>
      </w:r>
      <w:r w:rsidR="003D129B">
        <w:rPr>
          <w:color w:val="FF0000"/>
        </w:rPr>
        <w:t xml:space="preserve">of </w:t>
      </w:r>
      <w:r w:rsidR="002B2AE4" w:rsidRPr="006878ED">
        <w:rPr>
          <w:color w:val="FF0000"/>
        </w:rPr>
        <w:t xml:space="preserve">10 </w:t>
      </w:r>
      <w:r w:rsidR="0012334C">
        <w:rPr>
          <w:color w:val="FF0000"/>
        </w:rPr>
        <w:t>tpy</w:t>
      </w:r>
      <w:r w:rsidR="002B2AE4" w:rsidRPr="006878ED">
        <w:rPr>
          <w:color w:val="FF0000"/>
        </w:rPr>
        <w:t xml:space="preserve"> or more of any </w:t>
      </w:r>
      <w:r w:rsidR="00F968A7">
        <w:rPr>
          <w:color w:val="FF0000"/>
        </w:rPr>
        <w:t xml:space="preserve">single </w:t>
      </w:r>
      <w:r w:rsidR="002B2AE4">
        <w:rPr>
          <w:color w:val="FF0000"/>
        </w:rPr>
        <w:t>HAP</w:t>
      </w:r>
      <w:r w:rsidR="002B2AE4" w:rsidRPr="006878ED">
        <w:rPr>
          <w:color w:val="FF0000"/>
        </w:rPr>
        <w:t xml:space="preserve"> or </w:t>
      </w:r>
      <w:r w:rsidR="0012334C">
        <w:rPr>
          <w:color w:val="FF0000"/>
        </w:rPr>
        <w:t>25 tpy</w:t>
      </w:r>
      <w:r w:rsidR="002B2AE4" w:rsidRPr="006878ED">
        <w:rPr>
          <w:color w:val="FF0000"/>
        </w:rPr>
        <w:t xml:space="preserve"> or more of any combination of </w:t>
      </w:r>
      <w:r w:rsidR="002B2AE4">
        <w:rPr>
          <w:color w:val="FF0000"/>
        </w:rPr>
        <w:t>HAPs</w:t>
      </w:r>
      <w:r w:rsidR="00CE5736">
        <w:rPr>
          <w:color w:val="FF0000"/>
        </w:rPr>
        <w:t>,</w:t>
      </w:r>
      <w:r w:rsidR="006344F5">
        <w:rPr>
          <w:color w:val="FF0000"/>
        </w:rPr>
        <w:t xml:space="preserve"> </w:t>
      </w:r>
      <w:r w:rsidR="006344F5" w:rsidRPr="006344F5">
        <w:rPr>
          <w:color w:val="FF0000"/>
        </w:rPr>
        <w:t>or such lesser quantity as the EPA may establish by rule</w:t>
      </w:r>
      <w:r w:rsidR="002B2AE4" w:rsidRPr="006878ED">
        <w:rPr>
          <w:color w:val="FF0000"/>
        </w:rPr>
        <w:t>.</w:t>
      </w:r>
      <w:r w:rsidR="00CE1148">
        <w:rPr>
          <w:color w:val="FF0000"/>
        </w:rPr>
        <w:t xml:space="preserve">  An </w:t>
      </w:r>
      <w:r w:rsidR="003D129B" w:rsidRPr="00AE4CC2">
        <w:rPr>
          <w:i/>
          <w:iCs/>
          <w:color w:val="FF0000"/>
        </w:rPr>
        <w:t>a</w:t>
      </w:r>
      <w:r w:rsidR="00CE1148" w:rsidRPr="00AE4CC2">
        <w:rPr>
          <w:i/>
          <w:iCs/>
          <w:color w:val="FF0000"/>
        </w:rPr>
        <w:t xml:space="preserve">rea </w:t>
      </w:r>
      <w:r w:rsidR="003D129B" w:rsidRPr="00AE4CC2">
        <w:rPr>
          <w:i/>
          <w:iCs/>
          <w:color w:val="FF0000"/>
        </w:rPr>
        <w:t>s</w:t>
      </w:r>
      <w:r w:rsidR="00CE1148" w:rsidRPr="00AE4CC2">
        <w:rPr>
          <w:i/>
          <w:iCs/>
          <w:color w:val="FF0000"/>
        </w:rPr>
        <w:t>ource</w:t>
      </w:r>
      <w:r w:rsidR="00CE1148">
        <w:rPr>
          <w:color w:val="FF0000"/>
        </w:rPr>
        <w:t xml:space="preserve"> of HAPs is any </w:t>
      </w:r>
      <w:r w:rsidR="00736DD6">
        <w:rPr>
          <w:color w:val="FF0000"/>
        </w:rPr>
        <w:t xml:space="preserve">stationary </w:t>
      </w:r>
      <w:r w:rsidR="00CE1148">
        <w:rPr>
          <w:color w:val="FF0000"/>
        </w:rPr>
        <w:t xml:space="preserve">source that is not </w:t>
      </w:r>
      <w:r w:rsidR="0096064C">
        <w:rPr>
          <w:color w:val="FF0000"/>
        </w:rPr>
        <w:t xml:space="preserve">a </w:t>
      </w:r>
      <w:r w:rsidR="003D129B" w:rsidRPr="00AE4CC2">
        <w:rPr>
          <w:i/>
          <w:iCs/>
          <w:color w:val="FF0000"/>
        </w:rPr>
        <w:t>m</w:t>
      </w:r>
      <w:r w:rsidR="00CE1148" w:rsidRPr="00AE4CC2">
        <w:rPr>
          <w:i/>
          <w:iCs/>
          <w:color w:val="FF0000"/>
        </w:rPr>
        <w:t xml:space="preserve">ajor </w:t>
      </w:r>
      <w:r w:rsidR="003D129B" w:rsidRPr="00AE4CC2">
        <w:rPr>
          <w:i/>
          <w:iCs/>
          <w:color w:val="FF0000"/>
        </w:rPr>
        <w:t>s</w:t>
      </w:r>
      <w:r w:rsidR="00CE1148" w:rsidRPr="00AE4CC2">
        <w:rPr>
          <w:i/>
          <w:iCs/>
          <w:color w:val="FF0000"/>
        </w:rPr>
        <w:t>ource</w:t>
      </w:r>
      <w:r w:rsidR="003D129B">
        <w:rPr>
          <w:color w:val="FF0000"/>
        </w:rPr>
        <w:t xml:space="preserve"> of HAPs</w:t>
      </w:r>
      <w:r w:rsidR="00CE1148">
        <w:rPr>
          <w:color w:val="FF0000"/>
        </w:rPr>
        <w:t xml:space="preserve">.  </w:t>
      </w:r>
      <w:r w:rsidR="002B2AE4">
        <w:rPr>
          <w:color w:val="FF0000"/>
        </w:rPr>
        <w:t xml:space="preserve">Most NESHAP </w:t>
      </w:r>
      <w:r w:rsidR="002B2AE4">
        <w:rPr>
          <w:color w:val="FF0000"/>
        </w:rPr>
        <w:lastRenderedPageBreak/>
        <w:t xml:space="preserve">only apply to </w:t>
      </w:r>
      <w:r w:rsidR="0096064C" w:rsidRPr="00AE4CC2">
        <w:rPr>
          <w:i/>
          <w:iCs/>
          <w:color w:val="FF0000"/>
        </w:rPr>
        <w:t>m</w:t>
      </w:r>
      <w:r w:rsidR="002B2AE4" w:rsidRPr="00AE4CC2">
        <w:rPr>
          <w:i/>
          <w:iCs/>
          <w:color w:val="FF0000"/>
        </w:rPr>
        <w:t xml:space="preserve">ajor </w:t>
      </w:r>
      <w:r w:rsidR="0096064C" w:rsidRPr="00AE4CC2">
        <w:rPr>
          <w:i/>
          <w:iCs/>
          <w:color w:val="FF0000"/>
        </w:rPr>
        <w:t>s</w:t>
      </w:r>
      <w:r w:rsidR="002B2AE4" w:rsidRPr="00AE4CC2">
        <w:rPr>
          <w:i/>
          <w:iCs/>
          <w:color w:val="FF0000"/>
        </w:rPr>
        <w:t>ources</w:t>
      </w:r>
      <w:r w:rsidR="002B2AE4">
        <w:rPr>
          <w:color w:val="FF0000"/>
        </w:rPr>
        <w:t xml:space="preserve"> of HAPs</w:t>
      </w:r>
      <w:r w:rsidR="00736DD6">
        <w:rPr>
          <w:color w:val="FF0000"/>
        </w:rPr>
        <w:t xml:space="preserve">, </w:t>
      </w:r>
      <w:r w:rsidR="00423172">
        <w:rPr>
          <w:color w:val="FF0000"/>
        </w:rPr>
        <w:t>a few</w:t>
      </w:r>
      <w:r w:rsidR="00736DD6">
        <w:rPr>
          <w:color w:val="FF0000"/>
        </w:rPr>
        <w:t xml:space="preserve"> apply to </w:t>
      </w:r>
      <w:r w:rsidR="0096064C" w:rsidRPr="00AE4CC2">
        <w:rPr>
          <w:i/>
          <w:iCs/>
          <w:color w:val="FF0000"/>
        </w:rPr>
        <w:t>a</w:t>
      </w:r>
      <w:r w:rsidR="00736DD6" w:rsidRPr="00AE4CC2">
        <w:rPr>
          <w:i/>
          <w:iCs/>
          <w:color w:val="FF0000"/>
        </w:rPr>
        <w:t xml:space="preserve">rea </w:t>
      </w:r>
      <w:r w:rsidR="0096064C" w:rsidRPr="00AE4CC2">
        <w:rPr>
          <w:i/>
          <w:iCs/>
          <w:color w:val="FF0000"/>
        </w:rPr>
        <w:t>s</w:t>
      </w:r>
      <w:r w:rsidR="00736DD6" w:rsidRPr="00AE4CC2">
        <w:rPr>
          <w:i/>
          <w:iCs/>
          <w:color w:val="FF0000"/>
        </w:rPr>
        <w:t>ources</w:t>
      </w:r>
      <w:r w:rsidR="002C7337">
        <w:rPr>
          <w:i/>
          <w:iCs/>
          <w:color w:val="FF0000"/>
        </w:rPr>
        <w:t xml:space="preserve"> </w:t>
      </w:r>
      <w:r w:rsidR="002C7337" w:rsidRPr="00AE4CC2">
        <w:rPr>
          <w:color w:val="FF0000"/>
        </w:rPr>
        <w:t xml:space="preserve">only (because the </w:t>
      </w:r>
      <w:r w:rsidR="002C7337" w:rsidRPr="00937642">
        <w:rPr>
          <w:i/>
          <w:iCs/>
          <w:color w:val="FF0000"/>
        </w:rPr>
        <w:t>major source</w:t>
      </w:r>
      <w:r w:rsidR="002C7337" w:rsidRPr="00AE4CC2">
        <w:rPr>
          <w:color w:val="FF0000"/>
        </w:rPr>
        <w:t xml:space="preserve"> version is covered by another NESHAP)</w:t>
      </w:r>
      <w:r w:rsidR="0096064C" w:rsidRPr="00AE4CC2">
        <w:rPr>
          <w:color w:val="FF0000"/>
        </w:rPr>
        <w:t>,</w:t>
      </w:r>
      <w:r w:rsidR="0096064C">
        <w:rPr>
          <w:i/>
          <w:iCs/>
          <w:color w:val="FF0000"/>
        </w:rPr>
        <w:t xml:space="preserve"> </w:t>
      </w:r>
      <w:r w:rsidR="004A39B7">
        <w:rPr>
          <w:i/>
          <w:iCs/>
          <w:color w:val="FF0000"/>
        </w:rPr>
        <w:t xml:space="preserve">and </w:t>
      </w:r>
      <w:r w:rsidR="00423172" w:rsidRPr="00AE4CC2">
        <w:rPr>
          <w:color w:val="FF0000"/>
        </w:rPr>
        <w:t>some</w:t>
      </w:r>
      <w:r w:rsidR="004A39B7" w:rsidRPr="00AE4CC2">
        <w:rPr>
          <w:color w:val="FF0000"/>
        </w:rPr>
        <w:t xml:space="preserve"> apply to both </w:t>
      </w:r>
      <w:r w:rsidR="004A39B7" w:rsidRPr="00423172">
        <w:rPr>
          <w:i/>
          <w:iCs/>
          <w:color w:val="FF0000"/>
        </w:rPr>
        <w:t xml:space="preserve">major </w:t>
      </w:r>
      <w:r w:rsidR="00423172" w:rsidRPr="00AE4CC2">
        <w:rPr>
          <w:i/>
          <w:iCs/>
          <w:color w:val="FF0000"/>
        </w:rPr>
        <w:t>sources</w:t>
      </w:r>
      <w:r w:rsidR="00423172">
        <w:rPr>
          <w:color w:val="FF0000"/>
        </w:rPr>
        <w:t xml:space="preserve"> </w:t>
      </w:r>
      <w:r w:rsidR="004A39B7" w:rsidRPr="00AE4CC2">
        <w:rPr>
          <w:color w:val="FF0000"/>
        </w:rPr>
        <w:t xml:space="preserve">and </w:t>
      </w:r>
      <w:r w:rsidR="004A39B7" w:rsidRPr="00423172">
        <w:rPr>
          <w:i/>
          <w:iCs/>
          <w:color w:val="FF0000"/>
        </w:rPr>
        <w:t>area sources</w:t>
      </w:r>
      <w:r w:rsidR="004A39B7" w:rsidRPr="00AE4CC2">
        <w:rPr>
          <w:color w:val="FF0000"/>
        </w:rPr>
        <w:t xml:space="preserve"> of HAPs</w:t>
      </w:r>
      <w:r w:rsidR="00DA221F" w:rsidRPr="00AE4CC2">
        <w:rPr>
          <w:color w:val="FF0000"/>
        </w:rPr>
        <w:t xml:space="preserve">, usually with </w:t>
      </w:r>
      <w:r w:rsidR="00B02D7B">
        <w:rPr>
          <w:color w:val="FF0000"/>
        </w:rPr>
        <w:t>distinct</w:t>
      </w:r>
      <w:r w:rsidR="00DA221F" w:rsidRPr="00AE4CC2">
        <w:rPr>
          <w:color w:val="FF0000"/>
        </w:rPr>
        <w:t xml:space="preserve"> requirements</w:t>
      </w:r>
      <w:r w:rsidR="00B02D7B">
        <w:rPr>
          <w:color w:val="FF0000"/>
        </w:rPr>
        <w:t xml:space="preserve"> for area and major sources</w:t>
      </w:r>
      <w:r w:rsidR="00423172">
        <w:rPr>
          <w:color w:val="FF0000"/>
        </w:rPr>
        <w:t>.</w:t>
      </w:r>
      <w:r w:rsidR="001B3DD2">
        <w:rPr>
          <w:color w:val="FF0000"/>
        </w:rPr>
        <w:t xml:space="preserve">  Thus, whether a given NESHAP</w:t>
      </w:r>
      <w:r w:rsidR="00F14A7E">
        <w:rPr>
          <w:color w:val="FF0000"/>
        </w:rPr>
        <w:t xml:space="preserve"> applies </w:t>
      </w:r>
      <w:r w:rsidR="00B02D7B">
        <w:rPr>
          <w:color w:val="FF0000"/>
        </w:rPr>
        <w:t>or</w:t>
      </w:r>
      <w:r w:rsidR="00F14A7E">
        <w:rPr>
          <w:color w:val="FF0000"/>
        </w:rPr>
        <w:t xml:space="preserve"> how it applies will depend on whether the stationary source is a </w:t>
      </w:r>
      <w:r w:rsidR="00F14A7E" w:rsidRPr="00AE4CC2">
        <w:rPr>
          <w:i/>
          <w:iCs/>
          <w:color w:val="FF0000"/>
        </w:rPr>
        <w:t>major source</w:t>
      </w:r>
      <w:r w:rsidR="00F14A7E">
        <w:rPr>
          <w:color w:val="FF0000"/>
        </w:rPr>
        <w:t xml:space="preserve"> or an </w:t>
      </w:r>
      <w:r w:rsidR="00F14A7E" w:rsidRPr="00AE4CC2">
        <w:rPr>
          <w:i/>
          <w:iCs/>
          <w:color w:val="FF0000"/>
        </w:rPr>
        <w:t>area source</w:t>
      </w:r>
      <w:r w:rsidR="00F14A7E">
        <w:rPr>
          <w:color w:val="FF0000"/>
        </w:rPr>
        <w:t xml:space="preserve"> of HAPs.</w:t>
      </w:r>
    </w:p>
    <w:p w14:paraId="2082E893" w14:textId="77777777" w:rsidR="00570B7E" w:rsidRDefault="00570B7E" w:rsidP="007A60F3">
      <w:pPr>
        <w:widowControl w:val="0"/>
        <w:rPr>
          <w:color w:val="FF0000"/>
        </w:rPr>
      </w:pPr>
    </w:p>
    <w:p w14:paraId="63896D9F" w14:textId="6B288B81" w:rsidR="00570B7E" w:rsidRDefault="00570B7E" w:rsidP="00DB2B5F">
      <w:pPr>
        <w:widowControl w:val="0"/>
        <w:rPr>
          <w:color w:val="FF0000"/>
        </w:rPr>
      </w:pPr>
      <w:r>
        <w:rPr>
          <w:color w:val="FF0000"/>
        </w:rPr>
        <w:t xml:space="preserve">If a </w:t>
      </w:r>
      <w:r w:rsidR="00525F89">
        <w:rPr>
          <w:color w:val="FF0000"/>
        </w:rPr>
        <w:t>NESHAP</w:t>
      </w:r>
      <w:r>
        <w:rPr>
          <w:color w:val="FF0000"/>
        </w:rPr>
        <w:t xml:space="preserve"> applies</w:t>
      </w:r>
      <w:r w:rsidR="008515E4">
        <w:rPr>
          <w:color w:val="FF0000"/>
        </w:rPr>
        <w:t>, a</w:t>
      </w:r>
      <w:r>
        <w:rPr>
          <w:color w:val="FF0000"/>
        </w:rPr>
        <w:t xml:space="preserve"> rule breakdown is required</w:t>
      </w:r>
      <w:r w:rsidR="008515E4">
        <w:rPr>
          <w:color w:val="FF0000"/>
        </w:rPr>
        <w:t>. T</w:t>
      </w:r>
      <w:r>
        <w:rPr>
          <w:color w:val="FF0000"/>
        </w:rPr>
        <w:t xml:space="preserve">he </w:t>
      </w:r>
      <w:r w:rsidR="00525F89">
        <w:rPr>
          <w:color w:val="FF0000"/>
        </w:rPr>
        <w:t>NESHAP</w:t>
      </w:r>
      <w:r>
        <w:rPr>
          <w:color w:val="FF0000"/>
        </w:rPr>
        <w:t xml:space="preserve"> title </w:t>
      </w:r>
      <w:r w:rsidR="008515E4">
        <w:rPr>
          <w:color w:val="FF0000"/>
        </w:rPr>
        <w:t>should</w:t>
      </w:r>
      <w:r>
        <w:rPr>
          <w:color w:val="FF0000"/>
        </w:rPr>
        <w:t xml:space="preserve"> be put in bold font similar to the format used for District Rules.  The example language below is a suggestion for how different scenarios might be addressed and should be modified as appropriate.</w:t>
      </w:r>
    </w:p>
    <w:p w14:paraId="5C2D6975" w14:textId="77777777" w:rsidR="00570B7E" w:rsidRDefault="00570B7E" w:rsidP="007A60F3">
      <w:pPr>
        <w:widowControl w:val="0"/>
        <w:jc w:val="left"/>
        <w:rPr>
          <w:color w:val="FF0000"/>
        </w:rPr>
      </w:pPr>
    </w:p>
    <w:p w14:paraId="0C7E15F7" w14:textId="5155CCAB" w:rsidR="00BE48F9" w:rsidRPr="00A2314E" w:rsidRDefault="00BE48F9" w:rsidP="007A60F3">
      <w:pPr>
        <w:widowControl w:val="0"/>
      </w:pPr>
      <w:r w:rsidRPr="00545278">
        <w:t>National Emission Standards for Hazardous Air Pollutants (NESHAP</w:t>
      </w:r>
      <w:r>
        <w:t>) (</w:t>
      </w:r>
      <w:r w:rsidRPr="00993B55">
        <w:t>Part 6</w:t>
      </w:r>
      <w:r w:rsidR="006335EE">
        <w:t>1</w:t>
      </w:r>
      <w:r w:rsidR="00F72F67">
        <w:t xml:space="preserve"> and Part 63</w:t>
      </w:r>
      <w:r w:rsidRPr="00993B55">
        <w:t xml:space="preserve">, Chapter 1, </w:t>
      </w:r>
      <w:r w:rsidR="005C797C">
        <w:t xml:space="preserve">Subchapter C, </w:t>
      </w:r>
      <w:r w:rsidRPr="00993B55">
        <w:t>Title 40, Code of Federal Regulations (CFR</w:t>
      </w:r>
      <w:r>
        <w:t>)</w:t>
      </w:r>
      <w:r w:rsidR="00F72F67">
        <w:t xml:space="preserve">) </w:t>
      </w:r>
      <w:r>
        <w:t xml:space="preserve">are federal standards </w:t>
      </w:r>
      <w:r w:rsidR="00F33615">
        <w:t xml:space="preserve">for the control of hazardous air pollutants (HAP) </w:t>
      </w:r>
      <w:r>
        <w:t>authorized by Section 11</w:t>
      </w:r>
      <w:r w:rsidR="00CC1CF3">
        <w:t>2</w:t>
      </w:r>
      <w:r>
        <w:t xml:space="preserve"> of the Clean Air Act</w:t>
      </w:r>
      <w:r w:rsidR="00AF0777">
        <w:t xml:space="preserve"> and pro</w:t>
      </w:r>
      <w:r w:rsidR="0023010A">
        <w:t>m</w:t>
      </w:r>
      <w:r w:rsidR="00AF0777">
        <w:t>ulgated by US EPA</w:t>
      </w:r>
      <w:r>
        <w:t>.  By default, US EPA</w:t>
      </w:r>
      <w:r w:rsidRPr="006878ED">
        <w:t xml:space="preserve"> </w:t>
      </w:r>
      <w:r>
        <w:t xml:space="preserve">retains authority to administer and enforce </w:t>
      </w:r>
      <w:r w:rsidR="00AC016E">
        <w:t>NESHAP</w:t>
      </w:r>
      <w:r>
        <w:t xml:space="preserve"> unless US EPA delegates this authority to a state or local agency.  District Rule 400</w:t>
      </w:r>
      <w:r w:rsidR="0001108E">
        <w:t>2</w:t>
      </w:r>
      <w:r w:rsidRPr="00993B55">
        <w:t xml:space="preserve"> incorporates </w:t>
      </w:r>
      <w:r>
        <w:t xml:space="preserve">those </w:t>
      </w:r>
      <w:r w:rsidR="0001108E">
        <w:t>NESHAP</w:t>
      </w:r>
      <w:r w:rsidRPr="00993B55">
        <w:t xml:space="preserve"> </w:t>
      </w:r>
      <w:r>
        <w:t>that US EPA has delegated to the District</w:t>
      </w:r>
      <w:r w:rsidRPr="00993B55">
        <w:t>.</w:t>
      </w:r>
      <w:r>
        <w:t xml:space="preserve">  In addition, for sources with Title V permits, the District acts as the administrator for all </w:t>
      </w:r>
      <w:r w:rsidR="006335EE">
        <w:t>NESHAP</w:t>
      </w:r>
      <w:r>
        <w:t xml:space="preserve">, regardless of the delegation status of the specific </w:t>
      </w:r>
      <w:r w:rsidR="006335EE">
        <w:t>NESHAP</w:t>
      </w:r>
      <w:r>
        <w:t xml:space="preserve"> in Rule 400</w:t>
      </w:r>
      <w:r w:rsidR="006335EE">
        <w:t>2</w:t>
      </w:r>
      <w:r>
        <w:t>.</w:t>
      </w:r>
    </w:p>
    <w:p w14:paraId="16A445D1" w14:textId="77777777" w:rsidR="00206D3F" w:rsidRPr="00A2314E" w:rsidRDefault="00206D3F" w:rsidP="007A60F3">
      <w:pPr>
        <w:pStyle w:val="BodyText2"/>
        <w:widowControl w:val="0"/>
        <w:rPr>
          <w:i w:val="0"/>
          <w:iCs w:val="0"/>
          <w:color w:val="auto"/>
        </w:rPr>
      </w:pPr>
    </w:p>
    <w:p w14:paraId="6FBF3829" w14:textId="74EA1705" w:rsidR="000177D5" w:rsidRDefault="000177D5" w:rsidP="007A60F3">
      <w:pPr>
        <w:widowControl w:val="0"/>
        <w:rPr>
          <w:i/>
          <w:iCs/>
          <w:color w:val="0000FF"/>
        </w:rPr>
      </w:pPr>
      <w:r w:rsidRPr="00AE4CC2">
        <w:rPr>
          <w:i/>
          <w:iCs/>
          <w:color w:val="0000FF"/>
          <w:u w:val="single"/>
        </w:rPr>
        <w:t>Example</w:t>
      </w:r>
      <w:r w:rsidR="00331451" w:rsidRPr="00AE4CC2">
        <w:rPr>
          <w:i/>
          <w:iCs/>
          <w:color w:val="0000FF"/>
          <w:u w:val="single"/>
        </w:rPr>
        <w:t xml:space="preserve"> </w:t>
      </w:r>
      <w:r w:rsidR="007F09DC" w:rsidRPr="00AE4CC2">
        <w:rPr>
          <w:i/>
          <w:iCs/>
          <w:color w:val="0000FF"/>
          <w:u w:val="single"/>
        </w:rPr>
        <w:t>(a)</w:t>
      </w:r>
      <w:r w:rsidR="007F09DC">
        <w:rPr>
          <w:i/>
          <w:iCs/>
          <w:color w:val="0000FF"/>
        </w:rPr>
        <w:t>:</w:t>
      </w:r>
      <w:r w:rsidR="007F09DC" w:rsidRPr="00AE4CC2">
        <w:rPr>
          <w:i/>
          <w:iCs/>
          <w:color w:val="0000FF"/>
        </w:rPr>
        <w:t xml:space="preserve"> </w:t>
      </w:r>
      <w:r w:rsidRPr="00AE4CC2">
        <w:rPr>
          <w:i/>
          <w:iCs/>
          <w:color w:val="0000FF"/>
        </w:rPr>
        <w:t>(For operation types that are not subject to NESHAPs)</w:t>
      </w:r>
    </w:p>
    <w:p w14:paraId="50D36C67" w14:textId="77777777" w:rsidR="007F09DC" w:rsidRPr="00A2314E" w:rsidRDefault="007F09DC" w:rsidP="007A60F3">
      <w:pPr>
        <w:widowControl w:val="0"/>
        <w:rPr>
          <w:i/>
          <w:iCs/>
        </w:rPr>
      </w:pPr>
    </w:p>
    <w:p w14:paraId="5470FE77" w14:textId="1775B3EA" w:rsidR="00FD2373" w:rsidRDefault="000177D5" w:rsidP="007A60F3">
      <w:pPr>
        <w:widowControl w:val="0"/>
      </w:pPr>
      <w:r w:rsidRPr="00993B55">
        <w:t xml:space="preserve">However, no subparts of 40 CFR Part 61 or 40 CFR Part 63 apply to </w:t>
      </w:r>
      <w:r w:rsidRPr="00993B55">
        <w:rPr>
          <w:color w:val="0000FF"/>
        </w:rPr>
        <w:t xml:space="preserve">[insert operation type] </w:t>
      </w:r>
      <w:r w:rsidRPr="00993B55">
        <w:t>operations</w:t>
      </w:r>
      <w:r w:rsidR="00171BFB">
        <w:t xml:space="preserve">; </w:t>
      </w:r>
      <w:r w:rsidR="00171BFB" w:rsidRPr="006878ED">
        <w:t xml:space="preserve">therefore, no further discussion of </w:t>
      </w:r>
      <w:r w:rsidR="00171BFB">
        <w:t>NESHAP</w:t>
      </w:r>
      <w:r w:rsidR="00171BFB" w:rsidRPr="006878ED">
        <w:t xml:space="preserve"> is required</w:t>
      </w:r>
      <w:r w:rsidR="00171BFB" w:rsidRPr="0033553F">
        <w:t>.</w:t>
      </w:r>
    </w:p>
    <w:p w14:paraId="44AA7E35" w14:textId="1983E1F7" w:rsidR="00BF6808" w:rsidRDefault="00BF6808" w:rsidP="007A60F3">
      <w:pPr>
        <w:widowControl w:val="0"/>
      </w:pPr>
    </w:p>
    <w:p w14:paraId="4F146F60" w14:textId="0B6596F7" w:rsidR="00F32B54" w:rsidRPr="00505E9F" w:rsidRDefault="00BF6808" w:rsidP="007A60F3">
      <w:pPr>
        <w:widowControl w:val="0"/>
        <w:rPr>
          <w:b/>
          <w:bCs/>
          <w:color w:val="FF0000"/>
        </w:rPr>
      </w:pPr>
      <w:r w:rsidRPr="00505E9F">
        <w:rPr>
          <w:b/>
          <w:bCs/>
          <w:color w:val="FF0000"/>
        </w:rPr>
        <w:t>Note: Before using</w:t>
      </w:r>
      <w:r w:rsidR="0058486B" w:rsidRPr="00505E9F">
        <w:rPr>
          <w:b/>
          <w:bCs/>
          <w:color w:val="FF0000"/>
        </w:rPr>
        <w:t xml:space="preserve"> </w:t>
      </w:r>
      <w:r w:rsidR="00A467E1" w:rsidRPr="00505E9F">
        <w:rPr>
          <w:b/>
          <w:bCs/>
          <w:color w:val="FF0000"/>
        </w:rPr>
        <w:t>E</w:t>
      </w:r>
      <w:r w:rsidRPr="00505E9F">
        <w:rPr>
          <w:b/>
          <w:bCs/>
          <w:color w:val="FF0000"/>
        </w:rPr>
        <w:t>xample</w:t>
      </w:r>
      <w:r w:rsidR="0058486B" w:rsidRPr="00505E9F">
        <w:rPr>
          <w:b/>
          <w:bCs/>
          <w:color w:val="FF0000"/>
        </w:rPr>
        <w:t xml:space="preserve">s </w:t>
      </w:r>
      <w:r w:rsidR="00106D1D" w:rsidRPr="00505E9F">
        <w:rPr>
          <w:b/>
          <w:bCs/>
          <w:color w:val="FF0000"/>
        </w:rPr>
        <w:t>(b)</w:t>
      </w:r>
      <w:r w:rsidR="00A467E1" w:rsidRPr="00505E9F">
        <w:rPr>
          <w:b/>
          <w:bCs/>
          <w:color w:val="FF0000"/>
        </w:rPr>
        <w:t xml:space="preserve"> – </w:t>
      </w:r>
      <w:r w:rsidR="00106D1D" w:rsidRPr="00505E9F">
        <w:rPr>
          <w:b/>
          <w:bCs/>
          <w:color w:val="FF0000"/>
        </w:rPr>
        <w:t>(e)</w:t>
      </w:r>
      <w:r w:rsidR="00A467E1" w:rsidRPr="00505E9F">
        <w:rPr>
          <w:b/>
          <w:bCs/>
          <w:color w:val="FF0000"/>
        </w:rPr>
        <w:t xml:space="preserve"> </w:t>
      </w:r>
      <w:r w:rsidR="0058486B" w:rsidRPr="00505E9F">
        <w:rPr>
          <w:b/>
          <w:bCs/>
          <w:color w:val="FF0000"/>
        </w:rPr>
        <w:t>below</w:t>
      </w:r>
      <w:r w:rsidRPr="00505E9F">
        <w:rPr>
          <w:b/>
          <w:bCs/>
          <w:color w:val="FF0000"/>
        </w:rPr>
        <w:t xml:space="preserve">, if it is </w:t>
      </w:r>
      <w:r w:rsidRPr="00D33C51">
        <w:rPr>
          <w:b/>
          <w:bCs/>
          <w:color w:val="FF0000"/>
          <w:u w:val="single"/>
        </w:rPr>
        <w:t>not</w:t>
      </w:r>
      <w:r w:rsidRPr="00505E9F">
        <w:rPr>
          <w:b/>
          <w:bCs/>
          <w:color w:val="FF0000"/>
        </w:rPr>
        <w:t xml:space="preserve"> obvious that the facility is an </w:t>
      </w:r>
      <w:r w:rsidRPr="00505E9F">
        <w:rPr>
          <w:b/>
          <w:bCs/>
          <w:i/>
          <w:iCs/>
          <w:color w:val="FF0000"/>
        </w:rPr>
        <w:t>area source</w:t>
      </w:r>
      <w:r w:rsidRPr="00505E9F">
        <w:rPr>
          <w:b/>
          <w:bCs/>
          <w:color w:val="FF0000"/>
        </w:rPr>
        <w:t xml:space="preserve"> of HAP emissions, </w:t>
      </w:r>
      <w:r w:rsidR="00E857C6" w:rsidRPr="00505E9F">
        <w:rPr>
          <w:b/>
          <w:bCs/>
          <w:color w:val="FF0000"/>
        </w:rPr>
        <w:t xml:space="preserve">work with Technical Services to </w:t>
      </w:r>
      <w:r w:rsidRPr="00505E9F">
        <w:rPr>
          <w:b/>
          <w:bCs/>
          <w:color w:val="FF0000"/>
        </w:rPr>
        <w:t xml:space="preserve">perform a HAP </w:t>
      </w:r>
      <w:r w:rsidRPr="00505E9F">
        <w:rPr>
          <w:b/>
          <w:bCs/>
          <w:i/>
          <w:iCs/>
          <w:color w:val="FF0000"/>
        </w:rPr>
        <w:t>major source</w:t>
      </w:r>
      <w:r w:rsidRPr="00505E9F">
        <w:rPr>
          <w:b/>
          <w:bCs/>
          <w:color w:val="FF0000"/>
        </w:rPr>
        <w:t xml:space="preserve"> determination </w:t>
      </w:r>
      <w:r w:rsidR="009B66EB" w:rsidRPr="00505E9F">
        <w:rPr>
          <w:b/>
          <w:bCs/>
          <w:color w:val="FF0000"/>
        </w:rPr>
        <w:t>and incl</w:t>
      </w:r>
      <w:r w:rsidR="004C7E1E" w:rsidRPr="00505E9F">
        <w:rPr>
          <w:b/>
          <w:bCs/>
          <w:color w:val="FF0000"/>
        </w:rPr>
        <w:t>ud</w:t>
      </w:r>
      <w:r w:rsidR="009B66EB" w:rsidRPr="00505E9F">
        <w:rPr>
          <w:b/>
          <w:bCs/>
          <w:color w:val="FF0000"/>
        </w:rPr>
        <w:t>e the calculations in an Appendix</w:t>
      </w:r>
      <w:r w:rsidRPr="00505E9F">
        <w:rPr>
          <w:b/>
          <w:bCs/>
          <w:color w:val="FF0000"/>
        </w:rPr>
        <w:t>.</w:t>
      </w:r>
    </w:p>
    <w:p w14:paraId="7EB39CF9" w14:textId="77777777" w:rsidR="00F32B54" w:rsidRDefault="00F32B54" w:rsidP="007A60F3">
      <w:pPr>
        <w:widowControl w:val="0"/>
        <w:rPr>
          <w:color w:val="FF0000"/>
        </w:rPr>
      </w:pPr>
    </w:p>
    <w:p w14:paraId="7AE9D854" w14:textId="3C1F2949" w:rsidR="00BF6808" w:rsidRPr="00604782" w:rsidRDefault="00455605" w:rsidP="007A60F3">
      <w:pPr>
        <w:widowControl w:val="0"/>
        <w:rPr>
          <w:color w:val="FF0000"/>
        </w:rPr>
      </w:pPr>
      <w:r>
        <w:rPr>
          <w:color w:val="FF0000"/>
        </w:rPr>
        <w:t>Generally</w:t>
      </w:r>
      <w:r w:rsidR="00DF2F59">
        <w:rPr>
          <w:color w:val="FF0000"/>
        </w:rPr>
        <w:t>, m</w:t>
      </w:r>
      <w:r w:rsidR="00F619B9">
        <w:rPr>
          <w:color w:val="FF0000"/>
        </w:rPr>
        <w:t xml:space="preserve">ost </w:t>
      </w:r>
      <w:r w:rsidR="00210FD3">
        <w:rPr>
          <w:color w:val="FF0000"/>
        </w:rPr>
        <w:t xml:space="preserve">HAPs are </w:t>
      </w:r>
      <w:r w:rsidR="00F946A0">
        <w:rPr>
          <w:color w:val="FF0000"/>
        </w:rPr>
        <w:t>also accounted for</w:t>
      </w:r>
      <w:r w:rsidR="00210FD3">
        <w:rPr>
          <w:color w:val="FF0000"/>
        </w:rPr>
        <w:t xml:space="preserve"> </w:t>
      </w:r>
      <w:r w:rsidR="006B18F0">
        <w:rPr>
          <w:color w:val="FF0000"/>
        </w:rPr>
        <w:t xml:space="preserve">in the SSPE calculations </w:t>
      </w:r>
      <w:r w:rsidR="00210FD3">
        <w:rPr>
          <w:color w:val="FF0000"/>
        </w:rPr>
        <w:t>as a form of PM10 or VOC</w:t>
      </w:r>
      <w:r w:rsidR="002D2B1B">
        <w:rPr>
          <w:color w:val="FF0000"/>
        </w:rPr>
        <w:t xml:space="preserve">. </w:t>
      </w:r>
      <w:r w:rsidR="00F619B9">
        <w:rPr>
          <w:color w:val="FF0000"/>
        </w:rPr>
        <w:t xml:space="preserve"> </w:t>
      </w:r>
      <w:r w:rsidR="006A5A5A">
        <w:rPr>
          <w:color w:val="FF0000"/>
        </w:rPr>
        <w:t>Staff should be alert to the exceptions</w:t>
      </w:r>
      <w:r w:rsidR="00F619B9">
        <w:rPr>
          <w:color w:val="FF0000"/>
        </w:rPr>
        <w:t xml:space="preserve"> </w:t>
      </w:r>
      <w:r w:rsidR="00573824">
        <w:rPr>
          <w:color w:val="FF0000"/>
        </w:rPr>
        <w:t xml:space="preserve">for HAPs that may not be classifiable as PM10 or VOC </w:t>
      </w:r>
      <w:r w:rsidR="00F619B9">
        <w:rPr>
          <w:color w:val="FF0000"/>
        </w:rPr>
        <w:t>(e.g. perchloroethylene, phosphine, hydrofluoric acid</w:t>
      </w:r>
      <w:r w:rsidR="006E2E18">
        <w:rPr>
          <w:color w:val="FF0000"/>
        </w:rPr>
        <w:t>, etc…</w:t>
      </w:r>
      <w:r w:rsidR="00F619B9">
        <w:rPr>
          <w:color w:val="FF0000"/>
        </w:rPr>
        <w:t>)</w:t>
      </w:r>
      <w:r w:rsidR="006A5A5A">
        <w:rPr>
          <w:color w:val="FF0000"/>
        </w:rPr>
        <w:t xml:space="preserve">.  However, </w:t>
      </w:r>
      <w:r w:rsidR="002E21C4">
        <w:rPr>
          <w:color w:val="FF0000"/>
        </w:rPr>
        <w:t>in most cases, i</w:t>
      </w:r>
      <w:r w:rsidR="00F946A0">
        <w:rPr>
          <w:color w:val="FF0000"/>
        </w:rPr>
        <w:t>f the SSPE for PM10 is &lt; 10 tpy</w:t>
      </w:r>
      <w:r w:rsidR="00945BDF">
        <w:rPr>
          <w:color w:val="FF0000"/>
        </w:rPr>
        <w:t xml:space="preserve"> and the SSPE for VOC is &lt; 10 tpy, </w:t>
      </w:r>
      <w:r w:rsidR="00FB1C38">
        <w:rPr>
          <w:color w:val="FF0000"/>
        </w:rPr>
        <w:t>the</w:t>
      </w:r>
      <w:r w:rsidR="00621172">
        <w:rPr>
          <w:color w:val="FF0000"/>
        </w:rPr>
        <w:t xml:space="preserve">n staff may conclude the facility is an </w:t>
      </w:r>
      <w:r w:rsidR="00621172" w:rsidRPr="00AE4CC2">
        <w:rPr>
          <w:i/>
          <w:iCs/>
          <w:color w:val="FF0000"/>
        </w:rPr>
        <w:t>area source</w:t>
      </w:r>
      <w:r w:rsidR="00621172">
        <w:rPr>
          <w:color w:val="FF0000"/>
        </w:rPr>
        <w:t xml:space="preserve"> without further calculation.</w:t>
      </w:r>
      <w:r w:rsidR="00FB1C38">
        <w:rPr>
          <w:color w:val="FF0000"/>
        </w:rPr>
        <w:t xml:space="preserve"> </w:t>
      </w:r>
      <w:r w:rsidR="006654DD">
        <w:rPr>
          <w:color w:val="FF0000"/>
        </w:rPr>
        <w:t xml:space="preserve"> Staff may also rely on prior </w:t>
      </w:r>
      <w:r w:rsidR="006654DD" w:rsidRPr="00AE4CC2">
        <w:rPr>
          <w:i/>
          <w:iCs/>
          <w:color w:val="FF0000"/>
        </w:rPr>
        <w:t>area source/major source</w:t>
      </w:r>
      <w:r w:rsidR="006654DD">
        <w:rPr>
          <w:color w:val="FF0000"/>
        </w:rPr>
        <w:t xml:space="preserve"> determinations on a case-by-case basis</w:t>
      </w:r>
      <w:r w:rsidR="008D6AC2">
        <w:rPr>
          <w:color w:val="FF0000"/>
        </w:rPr>
        <w:t xml:space="preserve"> (e.g. no increases in emissions since that prior determination)</w:t>
      </w:r>
      <w:r w:rsidR="006654DD">
        <w:rPr>
          <w:color w:val="FF0000"/>
        </w:rPr>
        <w:t xml:space="preserve"> in consultation with the lead engineer.</w:t>
      </w:r>
    </w:p>
    <w:p w14:paraId="15DA6665" w14:textId="781D0606" w:rsidR="000177D5" w:rsidRPr="00993B55" w:rsidRDefault="000177D5" w:rsidP="007A60F3">
      <w:pPr>
        <w:widowControl w:val="0"/>
      </w:pPr>
    </w:p>
    <w:p w14:paraId="1E851E2B" w14:textId="416FC1C6" w:rsidR="00FD2373" w:rsidRPr="00505E9F" w:rsidRDefault="00FD2373" w:rsidP="007A60F3">
      <w:pPr>
        <w:widowControl w:val="0"/>
        <w:rPr>
          <w:i/>
          <w:iCs/>
          <w:color w:val="0000FF"/>
        </w:rPr>
      </w:pPr>
      <w:r w:rsidRPr="00AE4CC2">
        <w:rPr>
          <w:i/>
          <w:iCs/>
          <w:color w:val="0000FF"/>
          <w:u w:val="single"/>
        </w:rPr>
        <w:t xml:space="preserve">Example </w:t>
      </w:r>
      <w:r w:rsidR="005D45B8" w:rsidRPr="00AE4CC2">
        <w:rPr>
          <w:i/>
          <w:iCs/>
          <w:color w:val="0000FF"/>
          <w:u w:val="single"/>
        </w:rPr>
        <w:t>(b)</w:t>
      </w:r>
      <w:r w:rsidR="005D45B8" w:rsidRPr="00AE4CC2">
        <w:rPr>
          <w:i/>
          <w:iCs/>
          <w:color w:val="0000FF"/>
        </w:rPr>
        <w:t>:</w:t>
      </w:r>
      <w:r w:rsidRPr="00505E9F">
        <w:rPr>
          <w:i/>
          <w:iCs/>
          <w:color w:val="0000FF"/>
        </w:rPr>
        <w:t xml:space="preserve"> </w:t>
      </w:r>
      <w:r w:rsidRPr="008639F4">
        <w:rPr>
          <w:i/>
          <w:iCs/>
          <w:color w:val="0000FF"/>
        </w:rPr>
        <w:t>(</w:t>
      </w:r>
      <w:r w:rsidR="00C02398" w:rsidRPr="008639F4">
        <w:rPr>
          <w:i/>
          <w:iCs/>
          <w:color w:val="0000FF"/>
        </w:rPr>
        <w:t xml:space="preserve">For operation types that are </w:t>
      </w:r>
      <w:r w:rsidR="00A224C3" w:rsidRPr="00E44FA5">
        <w:rPr>
          <w:i/>
          <w:iCs/>
          <w:color w:val="0000FF"/>
        </w:rPr>
        <w:t>located at</w:t>
      </w:r>
      <w:r w:rsidR="00C02398" w:rsidRPr="00E44FA5">
        <w:rPr>
          <w:i/>
          <w:iCs/>
          <w:color w:val="0000FF"/>
        </w:rPr>
        <w:t xml:space="preserve"> an area source and</w:t>
      </w:r>
      <w:r w:rsidRPr="00505E9F">
        <w:rPr>
          <w:i/>
          <w:iCs/>
          <w:color w:val="0000FF"/>
        </w:rPr>
        <w:t xml:space="preserve"> </w:t>
      </w:r>
      <w:r w:rsidR="00F1259E" w:rsidRPr="00505E9F">
        <w:rPr>
          <w:i/>
          <w:iCs/>
          <w:color w:val="0000FF"/>
        </w:rPr>
        <w:t>are subject to</w:t>
      </w:r>
      <w:r w:rsidR="00E50695" w:rsidRPr="00505E9F">
        <w:rPr>
          <w:i/>
          <w:iCs/>
          <w:color w:val="0000FF"/>
        </w:rPr>
        <w:t xml:space="preserve"> a</w:t>
      </w:r>
      <w:r w:rsidR="00F1259E" w:rsidRPr="00505E9F">
        <w:rPr>
          <w:i/>
          <w:iCs/>
          <w:color w:val="0000FF"/>
        </w:rPr>
        <w:t xml:space="preserve"> </w:t>
      </w:r>
      <w:r w:rsidRPr="00505E9F">
        <w:rPr>
          <w:i/>
          <w:iCs/>
          <w:color w:val="0000FF"/>
        </w:rPr>
        <w:t>NESHAP</w:t>
      </w:r>
      <w:r w:rsidR="00382F99" w:rsidRPr="00505E9F">
        <w:rPr>
          <w:i/>
          <w:iCs/>
          <w:color w:val="0000FF"/>
        </w:rPr>
        <w:t xml:space="preserve"> </w:t>
      </w:r>
      <w:r w:rsidR="00F1259E" w:rsidRPr="00505E9F">
        <w:rPr>
          <w:i/>
          <w:iCs/>
          <w:color w:val="0000FF"/>
        </w:rPr>
        <w:t xml:space="preserve">that </w:t>
      </w:r>
      <w:r w:rsidR="00382F99" w:rsidRPr="00505E9F">
        <w:rPr>
          <w:i/>
          <w:iCs/>
          <w:color w:val="0000FF"/>
        </w:rPr>
        <w:t>applies to</w:t>
      </w:r>
      <w:r w:rsidR="00696D3A" w:rsidRPr="00505E9F">
        <w:rPr>
          <w:i/>
          <w:iCs/>
          <w:color w:val="0000FF"/>
        </w:rPr>
        <w:t xml:space="preserve"> area sources of HAP emissions</w:t>
      </w:r>
      <w:r w:rsidRPr="00505E9F">
        <w:rPr>
          <w:i/>
          <w:iCs/>
          <w:color w:val="0000FF"/>
        </w:rPr>
        <w:t>)</w:t>
      </w:r>
    </w:p>
    <w:p w14:paraId="6719A5D5" w14:textId="7F150100" w:rsidR="008919A0" w:rsidRDefault="008919A0" w:rsidP="007A60F3">
      <w:pPr>
        <w:widowControl w:val="0"/>
      </w:pPr>
    </w:p>
    <w:p w14:paraId="27E27C43" w14:textId="3E625FFB" w:rsidR="0023010A" w:rsidRDefault="0060343F" w:rsidP="007A60F3">
      <w:pPr>
        <w:widowControl w:val="0"/>
      </w:pPr>
      <w:r w:rsidRPr="0091537E">
        <w:t xml:space="preserve">A key concept of NESHAP applicability is the difference between </w:t>
      </w:r>
      <w:r w:rsidRPr="0091537E">
        <w:rPr>
          <w:i/>
          <w:iCs/>
        </w:rPr>
        <w:t>major sources</w:t>
      </w:r>
      <w:r w:rsidRPr="0091537E">
        <w:t xml:space="preserve"> and </w:t>
      </w:r>
      <w:r w:rsidRPr="0091537E">
        <w:rPr>
          <w:i/>
          <w:iCs/>
        </w:rPr>
        <w:t xml:space="preserve">area sources </w:t>
      </w:r>
      <w:r w:rsidRPr="0091537E">
        <w:t xml:space="preserve">of HAPs.  A </w:t>
      </w:r>
      <w:r w:rsidRPr="0091537E">
        <w:rPr>
          <w:i/>
          <w:iCs/>
        </w:rPr>
        <w:t>major source</w:t>
      </w:r>
      <w:r w:rsidRPr="0091537E">
        <w:t xml:space="preserve"> of HAPs has the potential to emit</w:t>
      </w:r>
      <w:r>
        <w:t>, including fugitives,</w:t>
      </w:r>
      <w:r w:rsidRPr="0091537E">
        <w:t xml:space="preserve"> of 10 </w:t>
      </w:r>
      <w:r>
        <w:t>tons per year</w:t>
      </w:r>
      <w:r w:rsidRPr="0091537E">
        <w:t xml:space="preserve"> or more of any single HAP or 25 </w:t>
      </w:r>
      <w:r>
        <w:t>tons per year</w:t>
      </w:r>
      <w:r w:rsidRPr="0091537E">
        <w:t xml:space="preserve"> or more of any combination of HAPs</w:t>
      </w:r>
      <w:r>
        <w:t>, or such lesser quantity as US EPA may establish by rule</w:t>
      </w:r>
      <w:r w:rsidRPr="0091537E">
        <w:t xml:space="preserve">.  An </w:t>
      </w:r>
      <w:r w:rsidRPr="0091537E">
        <w:rPr>
          <w:i/>
          <w:iCs/>
        </w:rPr>
        <w:t>area source</w:t>
      </w:r>
      <w:r w:rsidRPr="0091537E">
        <w:t xml:space="preserve"> of HAPs is any stationary source that is not a </w:t>
      </w:r>
      <w:r w:rsidRPr="0091537E">
        <w:rPr>
          <w:i/>
          <w:iCs/>
        </w:rPr>
        <w:t>major source</w:t>
      </w:r>
      <w:r w:rsidRPr="0091537E">
        <w:t xml:space="preserve"> of HAPs.</w:t>
      </w:r>
    </w:p>
    <w:p w14:paraId="2FE613E4" w14:textId="77777777" w:rsidR="001D7510" w:rsidRPr="00361747" w:rsidRDefault="001D7510" w:rsidP="007A60F3">
      <w:pPr>
        <w:widowControl w:val="0"/>
      </w:pPr>
    </w:p>
    <w:p w14:paraId="0EF1A54B" w14:textId="2BB01A2C" w:rsidR="0063293F" w:rsidRDefault="0063293F" w:rsidP="007A60F3">
      <w:pPr>
        <w:widowControl w:val="0"/>
        <w:rPr>
          <w:iCs/>
          <w:color w:val="FF0000"/>
        </w:rPr>
      </w:pPr>
      <w:r w:rsidRPr="00A30BFD">
        <w:rPr>
          <w:iCs/>
          <w:color w:val="FF0000"/>
        </w:rPr>
        <w:t xml:space="preserve">If the District has </w:t>
      </w:r>
      <w:r w:rsidRPr="00A30BFD">
        <w:rPr>
          <w:b/>
          <w:bCs/>
          <w:iCs/>
          <w:color w:val="FF0000"/>
          <w:u w:val="single"/>
        </w:rPr>
        <w:t>not</w:t>
      </w:r>
      <w:r w:rsidRPr="00A30BFD">
        <w:rPr>
          <w:iCs/>
          <w:color w:val="FF0000"/>
        </w:rPr>
        <w:t xml:space="preserve"> been delegated authority to implement</w:t>
      </w:r>
      <w:r w:rsidR="00DF0044">
        <w:rPr>
          <w:iCs/>
          <w:color w:val="FF0000"/>
        </w:rPr>
        <w:t xml:space="preserve"> and the facility does not have a Title V permit</w:t>
      </w:r>
      <w:r>
        <w:rPr>
          <w:iCs/>
          <w:color w:val="FF0000"/>
        </w:rPr>
        <w:t>, use the following, otherwise delete.</w:t>
      </w:r>
    </w:p>
    <w:p w14:paraId="4ED86757" w14:textId="77777777" w:rsidR="004A435A" w:rsidRPr="00A2314E" w:rsidRDefault="004A435A" w:rsidP="007A60F3">
      <w:pPr>
        <w:widowControl w:val="0"/>
        <w:rPr>
          <w:iCs/>
        </w:rPr>
      </w:pPr>
    </w:p>
    <w:p w14:paraId="17A932DF" w14:textId="5F08F9CC" w:rsidR="00D8426A" w:rsidRDefault="00FD0B2A" w:rsidP="007A60F3">
      <w:pPr>
        <w:widowControl w:val="0"/>
      </w:pPr>
      <w:bookmarkStart w:id="8" w:name="_Hlk221523063"/>
      <w:r>
        <w:lastRenderedPageBreak/>
        <w:t>[</w:t>
      </w:r>
      <w:r w:rsidR="006611CB" w:rsidRPr="00A30BFD">
        <w:rPr>
          <w:color w:val="0000FF"/>
        </w:rPr>
        <w:t xml:space="preserve">As </w:t>
      </w:r>
      <w:r>
        <w:rPr>
          <w:color w:val="0000FF"/>
        </w:rPr>
        <w:t>determined</w:t>
      </w:r>
      <w:r w:rsidR="006611CB" w:rsidRPr="00A30BFD">
        <w:rPr>
          <w:color w:val="0000FF"/>
        </w:rPr>
        <w:t xml:space="preserve"> in Appendix </w:t>
      </w:r>
      <w:r w:rsidR="00DE2311">
        <w:rPr>
          <w:color w:val="0000FF"/>
        </w:rPr>
        <w:t>N</w:t>
      </w:r>
      <w:r w:rsidR="00537793">
        <w:rPr>
          <w:color w:val="0000FF"/>
        </w:rPr>
        <w:t xml:space="preserve"> </w:t>
      </w:r>
      <w:r w:rsidR="00537793" w:rsidRPr="00AE4CC2">
        <w:rPr>
          <w:color w:val="0000FF"/>
          <w:u w:val="single"/>
        </w:rPr>
        <w:t>or</w:t>
      </w:r>
      <w:r w:rsidR="00537793">
        <w:rPr>
          <w:color w:val="0000FF"/>
        </w:rPr>
        <w:t xml:space="preserve"> </w:t>
      </w:r>
      <w:r w:rsidR="0020113A">
        <w:rPr>
          <w:color w:val="0000FF"/>
        </w:rPr>
        <w:t>B</w:t>
      </w:r>
      <w:r w:rsidR="00537793" w:rsidRPr="0091537E">
        <w:rPr>
          <w:color w:val="0000FF"/>
        </w:rPr>
        <w:t>ased on the SSPE2</w:t>
      </w:r>
      <w:r w:rsidR="0020113A">
        <w:rPr>
          <w:color w:val="0000FF"/>
        </w:rPr>
        <w:t xml:space="preserve"> for PM10 and VOC from this project and </w:t>
      </w:r>
      <w:r w:rsidR="007328A3">
        <w:rPr>
          <w:color w:val="0000FF"/>
        </w:rPr>
        <w:t xml:space="preserve">that </w:t>
      </w:r>
      <w:r w:rsidR="008A14F5">
        <w:rPr>
          <w:color w:val="0000FF"/>
        </w:rPr>
        <w:t xml:space="preserve">no other HAPs </w:t>
      </w:r>
      <w:r w:rsidR="00F23F1A">
        <w:rPr>
          <w:color w:val="0000FF"/>
        </w:rPr>
        <w:t xml:space="preserve">not accounted for in the SSPE2 </w:t>
      </w:r>
      <w:r w:rsidR="008A14F5">
        <w:rPr>
          <w:color w:val="0000FF"/>
        </w:rPr>
        <w:t>are emitted from this stationary source</w:t>
      </w:r>
      <w:r w:rsidR="00331CEE">
        <w:rPr>
          <w:color w:val="0000FF"/>
        </w:rPr>
        <w:t xml:space="preserve"> </w:t>
      </w:r>
      <w:r w:rsidR="00331CEE" w:rsidRPr="00AE4CC2">
        <w:rPr>
          <w:color w:val="0000FF"/>
          <w:u w:val="single"/>
        </w:rPr>
        <w:t>or</w:t>
      </w:r>
      <w:r w:rsidR="00331CEE">
        <w:rPr>
          <w:color w:val="0000FF"/>
          <w:u w:val="single"/>
        </w:rPr>
        <w:t xml:space="preserve"> </w:t>
      </w:r>
      <w:r w:rsidR="00331CEE" w:rsidRPr="00AE4CC2">
        <w:rPr>
          <w:color w:val="0000FF"/>
        </w:rPr>
        <w:t xml:space="preserve">reference </w:t>
      </w:r>
      <w:r w:rsidR="00331CEE">
        <w:rPr>
          <w:color w:val="0000FF"/>
        </w:rPr>
        <w:t>a previous determination</w:t>
      </w:r>
      <w:r w:rsidR="008A14F5">
        <w:rPr>
          <w:color w:val="0000FF"/>
        </w:rPr>
        <w:t>]</w:t>
      </w:r>
      <w:r w:rsidR="006611CB" w:rsidRPr="00A30BFD">
        <w:rPr>
          <w:color w:val="0000FF"/>
        </w:rPr>
        <w:t>,</w:t>
      </w:r>
      <w:r w:rsidR="006611CB">
        <w:t xml:space="preserve"> the facility is an </w:t>
      </w:r>
      <w:r w:rsidR="006611CB" w:rsidRPr="00AE4CC2">
        <w:rPr>
          <w:i/>
          <w:iCs/>
        </w:rPr>
        <w:t>area source</w:t>
      </w:r>
      <w:r w:rsidR="006611CB">
        <w:t xml:space="preserve"> of HAP emissions. Although </w:t>
      </w:r>
      <w:r w:rsidR="00710D7A" w:rsidRPr="00C4518C">
        <w:rPr>
          <w:color w:val="0000FF"/>
        </w:rPr>
        <w:t>[</w:t>
      </w:r>
      <w:r w:rsidR="00710D7A">
        <w:rPr>
          <w:color w:val="0000FF"/>
        </w:rPr>
        <w:t>I</w:t>
      </w:r>
      <w:r w:rsidR="00710D7A" w:rsidRPr="00C4518C">
        <w:rPr>
          <w:color w:val="0000FF"/>
        </w:rPr>
        <w:t xml:space="preserve">nsert </w:t>
      </w:r>
      <w:r w:rsidR="00EC48FC">
        <w:rPr>
          <w:color w:val="0000FF"/>
        </w:rPr>
        <w:t>NESHAP</w:t>
      </w:r>
      <w:r w:rsidR="00710D7A" w:rsidRPr="00C4518C">
        <w:rPr>
          <w:color w:val="0000FF"/>
        </w:rPr>
        <w:t xml:space="preserve"> Title</w:t>
      </w:r>
      <w:r w:rsidR="00771870">
        <w:rPr>
          <w:color w:val="0000FF"/>
        </w:rPr>
        <w:t xml:space="preserve">, e.g. </w:t>
      </w:r>
      <w:r w:rsidR="005A4E33">
        <w:rPr>
          <w:color w:val="0000FF"/>
        </w:rPr>
        <w:t xml:space="preserve">40 CFR Part 63, </w:t>
      </w:r>
      <w:r w:rsidR="00E9718E">
        <w:rPr>
          <w:color w:val="0000FF"/>
        </w:rPr>
        <w:t>Subpart ZZZZ (</w:t>
      </w:r>
      <w:r w:rsidR="007F3CB9">
        <w:rPr>
          <w:color w:val="0000FF"/>
        </w:rPr>
        <w:t>National Emission Standards for Hazardous Air Pollutants for S</w:t>
      </w:r>
      <w:r w:rsidR="00B875DD" w:rsidRPr="00AE4CC2">
        <w:rPr>
          <w:color w:val="0000FF"/>
        </w:rPr>
        <w:t xml:space="preserve">tationary </w:t>
      </w:r>
      <w:r w:rsidR="007F3CB9" w:rsidRPr="00AE4CC2">
        <w:rPr>
          <w:color w:val="0000FF"/>
        </w:rPr>
        <w:t>R</w:t>
      </w:r>
      <w:r w:rsidR="00B875DD" w:rsidRPr="00AE4CC2">
        <w:rPr>
          <w:color w:val="0000FF"/>
        </w:rPr>
        <w:t xml:space="preserve">eciprocating </w:t>
      </w:r>
      <w:r w:rsidR="007F3CB9" w:rsidRPr="00AE4CC2">
        <w:rPr>
          <w:color w:val="0000FF"/>
        </w:rPr>
        <w:t>I</w:t>
      </w:r>
      <w:r w:rsidR="00B875DD" w:rsidRPr="00AE4CC2">
        <w:rPr>
          <w:color w:val="0000FF"/>
        </w:rPr>
        <w:t xml:space="preserve">nternal </w:t>
      </w:r>
      <w:r w:rsidR="007F3CB9" w:rsidRPr="00AE4CC2">
        <w:rPr>
          <w:color w:val="0000FF"/>
        </w:rPr>
        <w:t>C</w:t>
      </w:r>
      <w:r w:rsidR="00B875DD" w:rsidRPr="00AE4CC2">
        <w:rPr>
          <w:color w:val="0000FF"/>
        </w:rPr>
        <w:t xml:space="preserve">ombustion </w:t>
      </w:r>
      <w:r w:rsidR="007F3CB9" w:rsidRPr="00AE4CC2">
        <w:rPr>
          <w:color w:val="0000FF"/>
        </w:rPr>
        <w:t>E</w:t>
      </w:r>
      <w:r w:rsidR="00B875DD" w:rsidRPr="00AE4CC2">
        <w:rPr>
          <w:color w:val="0000FF"/>
        </w:rPr>
        <w:t>ngines</w:t>
      </w:r>
      <w:r w:rsidR="00E9718E">
        <w:rPr>
          <w:color w:val="0000FF"/>
        </w:rPr>
        <w:t>)</w:t>
      </w:r>
      <w:r w:rsidR="00710D7A" w:rsidRPr="00C4518C">
        <w:rPr>
          <w:color w:val="0000FF"/>
        </w:rPr>
        <w:t xml:space="preserve">] </w:t>
      </w:r>
      <w:r w:rsidR="00710D7A" w:rsidRPr="006878ED">
        <w:t xml:space="preserve">applies to </w:t>
      </w:r>
      <w:r w:rsidR="00710D7A" w:rsidRPr="00C4518C">
        <w:rPr>
          <w:color w:val="0000FF"/>
        </w:rPr>
        <w:t>[</w:t>
      </w:r>
      <w:r w:rsidR="00710D7A">
        <w:rPr>
          <w:color w:val="0000FF"/>
        </w:rPr>
        <w:t>i</w:t>
      </w:r>
      <w:r w:rsidR="00710D7A" w:rsidRPr="00C4518C">
        <w:rPr>
          <w:color w:val="0000FF"/>
        </w:rPr>
        <w:t xml:space="preserve">nsert operation </w:t>
      </w:r>
      <w:r w:rsidR="00EC48FC">
        <w:rPr>
          <w:color w:val="0000FF"/>
        </w:rPr>
        <w:t xml:space="preserve">or stationary source </w:t>
      </w:r>
      <w:r w:rsidR="00710D7A" w:rsidRPr="00C4518C">
        <w:rPr>
          <w:color w:val="0000FF"/>
        </w:rPr>
        <w:t>description]</w:t>
      </w:r>
      <w:r w:rsidR="00710D7A">
        <w:rPr>
          <w:color w:val="0000FF"/>
        </w:rPr>
        <w:t xml:space="preserve"> </w:t>
      </w:r>
      <w:r w:rsidR="004632B2">
        <w:t>at</w:t>
      </w:r>
      <w:r w:rsidR="006611CB">
        <w:t xml:space="preserve"> </w:t>
      </w:r>
      <w:r w:rsidR="009A2A51">
        <w:t>[</w:t>
      </w:r>
      <w:r w:rsidR="009A2A51" w:rsidRPr="00AE4CC2">
        <w:rPr>
          <w:i/>
          <w:iCs/>
          <w:color w:val="0000FF"/>
        </w:rPr>
        <w:t>area sources</w:t>
      </w:r>
      <w:r w:rsidR="009A2A51" w:rsidRPr="00AE4CC2">
        <w:rPr>
          <w:color w:val="0000FF"/>
        </w:rPr>
        <w:t xml:space="preserve"> </w:t>
      </w:r>
      <w:r w:rsidR="009A2A51" w:rsidRPr="00AE4CC2">
        <w:rPr>
          <w:color w:val="0000FF"/>
          <w:u w:val="single"/>
        </w:rPr>
        <w:t>or</w:t>
      </w:r>
      <w:r w:rsidR="009A2A51" w:rsidRPr="00AE4CC2">
        <w:rPr>
          <w:color w:val="0000FF"/>
        </w:rPr>
        <w:t xml:space="preserve"> </w:t>
      </w:r>
      <w:r w:rsidR="00FB3A0E" w:rsidRPr="00AE4CC2">
        <w:rPr>
          <w:color w:val="0000FF"/>
        </w:rPr>
        <w:t xml:space="preserve">both </w:t>
      </w:r>
      <w:r w:rsidR="00FB3A0E" w:rsidRPr="00AE4CC2">
        <w:rPr>
          <w:i/>
          <w:iCs/>
          <w:color w:val="0000FF"/>
        </w:rPr>
        <w:t>major</w:t>
      </w:r>
      <w:r w:rsidR="00FB3A0E" w:rsidRPr="00AE4CC2">
        <w:rPr>
          <w:color w:val="0000FF"/>
        </w:rPr>
        <w:t xml:space="preserve"> and </w:t>
      </w:r>
      <w:r w:rsidR="006611CB" w:rsidRPr="00AE4CC2">
        <w:rPr>
          <w:i/>
          <w:iCs/>
          <w:color w:val="0000FF"/>
        </w:rPr>
        <w:t>area sources</w:t>
      </w:r>
      <w:r w:rsidR="009A2A51" w:rsidRPr="00AE4CC2">
        <w:rPr>
          <w:color w:val="0000FF"/>
        </w:rPr>
        <w:t>]</w:t>
      </w:r>
      <w:r w:rsidR="006611CB" w:rsidRPr="00361747">
        <w:t xml:space="preserve"> </w:t>
      </w:r>
      <w:r w:rsidR="006611CB">
        <w:t>of HAP emissions</w:t>
      </w:r>
      <w:r w:rsidR="00AF08E8">
        <w:t>,</w:t>
      </w:r>
      <w:r w:rsidR="006611CB">
        <w:t xml:space="preserve"> </w:t>
      </w:r>
      <w:r w:rsidR="00E67B30">
        <w:t xml:space="preserve">US EPA has not delegated this NESHAP to the District nor does the facility have a Title V permit. </w:t>
      </w:r>
      <w:r w:rsidR="00E67B30" w:rsidDel="00E67B30">
        <w:rPr>
          <w:spacing w:val="-3"/>
        </w:rPr>
        <w:t xml:space="preserve"> </w:t>
      </w:r>
      <w:r w:rsidR="00BE3E99">
        <w:t xml:space="preserve">Therefore, since the District does not have the authority to administer or enforce this NESHAP, no further discussion of this </w:t>
      </w:r>
      <w:r w:rsidR="00F23F1A">
        <w:t>NESHAP</w:t>
      </w:r>
      <w:r w:rsidR="00BE3E99">
        <w:t xml:space="preserve"> is required.</w:t>
      </w:r>
    </w:p>
    <w:p w14:paraId="51115214" w14:textId="77777777" w:rsidR="00D8426A" w:rsidRDefault="00D8426A" w:rsidP="007A60F3">
      <w:pPr>
        <w:widowControl w:val="0"/>
      </w:pPr>
    </w:p>
    <w:p w14:paraId="2086A488" w14:textId="42EC006B" w:rsidR="00D8426A" w:rsidRDefault="00D8426A" w:rsidP="007A60F3">
      <w:pPr>
        <w:widowControl w:val="0"/>
      </w:pPr>
      <w:r>
        <w:t>No other</w:t>
      </w:r>
      <w:r w:rsidRPr="00993B55">
        <w:t xml:space="preserve"> </w:t>
      </w:r>
      <w:r w:rsidR="00020F4F">
        <w:t>NESHAP</w:t>
      </w:r>
      <w:r w:rsidRPr="00993B55">
        <w:t xml:space="preserve"> apply to </w:t>
      </w:r>
      <w:r w:rsidRPr="00993B55">
        <w:rPr>
          <w:color w:val="0000FF"/>
        </w:rPr>
        <w:t xml:space="preserve">[insert operation </w:t>
      </w:r>
      <w:r w:rsidR="00020F4F">
        <w:rPr>
          <w:color w:val="0000FF"/>
        </w:rPr>
        <w:t xml:space="preserve">or stationary source </w:t>
      </w:r>
      <w:r>
        <w:rPr>
          <w:color w:val="0000FF"/>
        </w:rPr>
        <w:t>description</w:t>
      </w:r>
      <w:r w:rsidRPr="00993B55">
        <w:rPr>
          <w:color w:val="0000FF"/>
        </w:rPr>
        <w:t>]</w:t>
      </w:r>
      <w:r>
        <w:rPr>
          <w:color w:val="0000FF"/>
        </w:rPr>
        <w:t>;</w:t>
      </w:r>
      <w:r w:rsidRPr="0016599F">
        <w:t xml:space="preserve"> </w:t>
      </w:r>
      <w:r w:rsidRPr="00C4518C">
        <w:t xml:space="preserve">therefore, no further discussion of </w:t>
      </w:r>
      <w:r w:rsidR="00985B5B">
        <w:t>NESHAP</w:t>
      </w:r>
      <w:r w:rsidRPr="00C4518C">
        <w:t xml:space="preserve"> is required.</w:t>
      </w:r>
    </w:p>
    <w:bookmarkEnd w:id="8"/>
    <w:p w14:paraId="769700F0" w14:textId="157EADBC" w:rsidR="000177D5" w:rsidRDefault="000177D5" w:rsidP="007A60F3">
      <w:pPr>
        <w:widowControl w:val="0"/>
      </w:pPr>
    </w:p>
    <w:p w14:paraId="46412BD5" w14:textId="75CD039F" w:rsidR="00283BDF" w:rsidRPr="008F5810" w:rsidRDefault="00283BDF" w:rsidP="007A60F3">
      <w:pPr>
        <w:widowControl w:val="0"/>
        <w:rPr>
          <w:iCs/>
          <w:color w:val="FF0000"/>
        </w:rPr>
      </w:pPr>
      <w:r w:rsidRPr="008F5810">
        <w:rPr>
          <w:iCs/>
          <w:color w:val="FF0000"/>
        </w:rPr>
        <w:t>If the District has been delegated authority to implement</w:t>
      </w:r>
      <w:r w:rsidR="0025614E">
        <w:rPr>
          <w:iCs/>
          <w:color w:val="FF0000"/>
        </w:rPr>
        <w:t xml:space="preserve"> or the facility has a Title V permit</w:t>
      </w:r>
      <w:r>
        <w:rPr>
          <w:iCs/>
          <w:color w:val="FF0000"/>
        </w:rPr>
        <w:t>, use the following, otherwise delete.</w:t>
      </w:r>
    </w:p>
    <w:p w14:paraId="37DBBA7F" w14:textId="0C66D5B1" w:rsidR="00283BDF" w:rsidRDefault="00283BDF" w:rsidP="007A60F3">
      <w:pPr>
        <w:widowControl w:val="0"/>
      </w:pPr>
    </w:p>
    <w:p w14:paraId="45C1FED3" w14:textId="0A14D15D" w:rsidR="006745E8" w:rsidRDefault="0064698F" w:rsidP="007A60F3">
      <w:pPr>
        <w:widowControl w:val="0"/>
      </w:pPr>
      <w:r>
        <w:t>[</w:t>
      </w:r>
      <w:r w:rsidRPr="00A30BFD">
        <w:rPr>
          <w:color w:val="0000FF"/>
        </w:rPr>
        <w:t xml:space="preserve">As </w:t>
      </w:r>
      <w:r>
        <w:rPr>
          <w:color w:val="0000FF"/>
        </w:rPr>
        <w:t>determined</w:t>
      </w:r>
      <w:r w:rsidRPr="00A30BFD">
        <w:rPr>
          <w:color w:val="0000FF"/>
        </w:rPr>
        <w:t xml:space="preserve"> in Appendix </w:t>
      </w:r>
      <w:r w:rsidR="009B1975">
        <w:rPr>
          <w:color w:val="0000FF"/>
        </w:rPr>
        <w:t>N</w:t>
      </w:r>
      <w:r>
        <w:rPr>
          <w:color w:val="0000FF"/>
        </w:rPr>
        <w:t xml:space="preserve"> </w:t>
      </w:r>
      <w:r w:rsidRPr="0091537E">
        <w:rPr>
          <w:color w:val="0000FF"/>
          <w:u w:val="single"/>
        </w:rPr>
        <w:t>or</w:t>
      </w:r>
      <w:r>
        <w:rPr>
          <w:color w:val="0000FF"/>
        </w:rPr>
        <w:t xml:space="preserve"> B</w:t>
      </w:r>
      <w:r w:rsidRPr="0091537E">
        <w:rPr>
          <w:color w:val="0000FF"/>
        </w:rPr>
        <w:t>ased on the SSPE2</w:t>
      </w:r>
      <w:r>
        <w:rPr>
          <w:color w:val="0000FF"/>
        </w:rPr>
        <w:t xml:space="preserve"> for PM10 and VOC from this project and that no other HAPs not accounted for in the SSPE2 are emitted from this stationary source </w:t>
      </w:r>
      <w:r w:rsidRPr="0091537E">
        <w:rPr>
          <w:color w:val="0000FF"/>
          <w:u w:val="single"/>
        </w:rPr>
        <w:t>or</w:t>
      </w:r>
      <w:r>
        <w:rPr>
          <w:color w:val="0000FF"/>
          <w:u w:val="single"/>
        </w:rPr>
        <w:t xml:space="preserve"> </w:t>
      </w:r>
      <w:r w:rsidRPr="0091537E">
        <w:rPr>
          <w:color w:val="0000FF"/>
        </w:rPr>
        <w:t xml:space="preserve">reference </w:t>
      </w:r>
      <w:r>
        <w:rPr>
          <w:color w:val="0000FF"/>
        </w:rPr>
        <w:t>a previous determination]</w:t>
      </w:r>
      <w:r w:rsidRPr="00A30BFD">
        <w:rPr>
          <w:color w:val="0000FF"/>
        </w:rPr>
        <w:t>,</w:t>
      </w:r>
      <w:r>
        <w:t xml:space="preserve"> the facility is an </w:t>
      </w:r>
      <w:r w:rsidRPr="0091537E">
        <w:rPr>
          <w:i/>
          <w:iCs/>
        </w:rPr>
        <w:t>area source</w:t>
      </w:r>
      <w:r>
        <w:t xml:space="preserve"> of hazardous air pollutant (HAP) emissions. </w:t>
      </w:r>
      <w:r w:rsidR="00317635">
        <w:t xml:space="preserve"> </w:t>
      </w:r>
      <w:r w:rsidRPr="00C4518C">
        <w:rPr>
          <w:color w:val="0000FF"/>
        </w:rPr>
        <w:t>[</w:t>
      </w:r>
      <w:r>
        <w:rPr>
          <w:color w:val="0000FF"/>
        </w:rPr>
        <w:t>I</w:t>
      </w:r>
      <w:r w:rsidRPr="00C4518C">
        <w:rPr>
          <w:color w:val="0000FF"/>
        </w:rPr>
        <w:t xml:space="preserve">nsert </w:t>
      </w:r>
      <w:r>
        <w:rPr>
          <w:color w:val="0000FF"/>
        </w:rPr>
        <w:t>NESHAP</w:t>
      </w:r>
      <w:r w:rsidRPr="00C4518C">
        <w:rPr>
          <w:color w:val="0000FF"/>
        </w:rPr>
        <w:t xml:space="preserve"> Title</w:t>
      </w:r>
      <w:r>
        <w:rPr>
          <w:color w:val="0000FF"/>
        </w:rPr>
        <w:t xml:space="preserve">, e.g. 40 CFR Part 63, Subpart RRR (National Emission Standards for Hazardous Air Pollutants for </w:t>
      </w:r>
      <w:r w:rsidR="00317635">
        <w:rPr>
          <w:color w:val="0000FF"/>
        </w:rPr>
        <w:t>Secondary Aluminum Production</w:t>
      </w:r>
      <w:r>
        <w:rPr>
          <w:color w:val="0000FF"/>
        </w:rPr>
        <w:t>)</w:t>
      </w:r>
      <w:r w:rsidRPr="00C4518C">
        <w:rPr>
          <w:color w:val="0000FF"/>
        </w:rPr>
        <w:t xml:space="preserve">] </w:t>
      </w:r>
      <w:r w:rsidRPr="006878ED">
        <w:t xml:space="preserve">applies to </w:t>
      </w:r>
      <w:r w:rsidRPr="00C4518C">
        <w:rPr>
          <w:color w:val="0000FF"/>
        </w:rPr>
        <w:t>[</w:t>
      </w:r>
      <w:r>
        <w:rPr>
          <w:color w:val="0000FF"/>
        </w:rPr>
        <w:t>i</w:t>
      </w:r>
      <w:r w:rsidRPr="00C4518C">
        <w:rPr>
          <w:color w:val="0000FF"/>
        </w:rPr>
        <w:t xml:space="preserve">nsert operation </w:t>
      </w:r>
      <w:r>
        <w:rPr>
          <w:color w:val="0000FF"/>
        </w:rPr>
        <w:t xml:space="preserve">or stationary source </w:t>
      </w:r>
      <w:r w:rsidRPr="00C4518C">
        <w:rPr>
          <w:color w:val="0000FF"/>
        </w:rPr>
        <w:t>description]</w:t>
      </w:r>
      <w:r>
        <w:rPr>
          <w:color w:val="0000FF"/>
        </w:rPr>
        <w:t xml:space="preserve"> </w:t>
      </w:r>
      <w:r>
        <w:t>at [</w:t>
      </w:r>
      <w:r w:rsidRPr="0091537E">
        <w:rPr>
          <w:i/>
          <w:iCs/>
          <w:color w:val="0000FF"/>
        </w:rPr>
        <w:t>area sources</w:t>
      </w:r>
      <w:r w:rsidRPr="0091537E">
        <w:rPr>
          <w:color w:val="0000FF"/>
        </w:rPr>
        <w:t xml:space="preserve"> </w:t>
      </w:r>
      <w:r w:rsidRPr="00AE4CC2">
        <w:rPr>
          <w:color w:val="0000FF"/>
          <w:u w:val="single"/>
        </w:rPr>
        <w:t>or</w:t>
      </w:r>
      <w:r w:rsidRPr="0091537E">
        <w:rPr>
          <w:color w:val="0000FF"/>
        </w:rPr>
        <w:t xml:space="preserve"> both </w:t>
      </w:r>
      <w:r w:rsidRPr="0091537E">
        <w:rPr>
          <w:i/>
          <w:iCs/>
          <w:color w:val="0000FF"/>
        </w:rPr>
        <w:t>major</w:t>
      </w:r>
      <w:r w:rsidRPr="0091537E">
        <w:rPr>
          <w:color w:val="0000FF"/>
        </w:rPr>
        <w:t xml:space="preserve"> and </w:t>
      </w:r>
      <w:r w:rsidRPr="0091537E">
        <w:rPr>
          <w:i/>
          <w:iCs/>
          <w:color w:val="0000FF"/>
        </w:rPr>
        <w:t>area sources</w:t>
      </w:r>
      <w:r w:rsidRPr="0091537E">
        <w:rPr>
          <w:color w:val="0000FF"/>
        </w:rPr>
        <w:t>]</w:t>
      </w:r>
      <w:r w:rsidRPr="0091537E">
        <w:t xml:space="preserve"> </w:t>
      </w:r>
      <w:r>
        <w:t xml:space="preserve">of HAP emissions. </w:t>
      </w:r>
      <w:r w:rsidDel="00E67B30">
        <w:rPr>
          <w:spacing w:val="-3"/>
        </w:rPr>
        <w:t xml:space="preserve"> </w:t>
      </w:r>
      <w:r w:rsidR="00F420B7">
        <w:rPr>
          <w:spacing w:val="-3"/>
        </w:rPr>
        <w:t>[</w:t>
      </w:r>
      <w:r w:rsidR="000A35EF" w:rsidRPr="006878ED">
        <w:rPr>
          <w:color w:val="0000FF"/>
        </w:rPr>
        <w:t xml:space="preserve">US EPA </w:t>
      </w:r>
      <w:r w:rsidR="00F420B7">
        <w:rPr>
          <w:color w:val="0000FF"/>
        </w:rPr>
        <w:t xml:space="preserve">has </w:t>
      </w:r>
      <w:r w:rsidR="000A35EF" w:rsidRPr="006878ED">
        <w:rPr>
          <w:color w:val="0000FF"/>
        </w:rPr>
        <w:t xml:space="preserve">delegated this </w:t>
      </w:r>
      <w:r w:rsidR="000A35EF">
        <w:rPr>
          <w:color w:val="0000FF"/>
        </w:rPr>
        <w:t>NESHAP</w:t>
      </w:r>
      <w:r w:rsidR="000A35EF" w:rsidRPr="006878ED">
        <w:rPr>
          <w:color w:val="0000FF"/>
        </w:rPr>
        <w:t xml:space="preserve"> to the District under Rule 400</w:t>
      </w:r>
      <w:r w:rsidR="000A35EF">
        <w:rPr>
          <w:color w:val="0000FF"/>
        </w:rPr>
        <w:t>2</w:t>
      </w:r>
      <w:r w:rsidR="000A35EF" w:rsidRPr="006878ED">
        <w:rPr>
          <w:color w:val="0000FF"/>
        </w:rPr>
        <w:t xml:space="preserve"> and/or facility name has a Title V permit</w:t>
      </w:r>
      <w:r w:rsidR="000A35EF">
        <w:rPr>
          <w:color w:val="0000FF"/>
        </w:rPr>
        <w:t>]</w:t>
      </w:r>
      <w:r w:rsidR="000A35EF">
        <w:t>; therefore, the District has the authority to administer and enforce this NESHAP.</w:t>
      </w:r>
    </w:p>
    <w:p w14:paraId="3693751E" w14:textId="77777777" w:rsidR="006745E8" w:rsidRDefault="006745E8" w:rsidP="007A60F3">
      <w:pPr>
        <w:widowControl w:val="0"/>
      </w:pPr>
    </w:p>
    <w:p w14:paraId="182F7546" w14:textId="4D8A3049" w:rsidR="006745E8" w:rsidRDefault="006745E8" w:rsidP="007A60F3">
      <w:pPr>
        <w:widowControl w:val="0"/>
        <w:rPr>
          <w:color w:val="0000FF"/>
        </w:rPr>
      </w:pPr>
      <w:r>
        <w:t xml:space="preserve">The following section analyzes the applicable requirements from </w:t>
      </w:r>
      <w:r w:rsidRPr="00C4518C">
        <w:rPr>
          <w:color w:val="0000FF"/>
        </w:rPr>
        <w:t>[</w:t>
      </w:r>
      <w:r>
        <w:rPr>
          <w:color w:val="0000FF"/>
        </w:rPr>
        <w:t>I</w:t>
      </w:r>
      <w:r w:rsidRPr="00C4518C">
        <w:rPr>
          <w:color w:val="0000FF"/>
        </w:rPr>
        <w:t xml:space="preserve">nsert </w:t>
      </w:r>
      <w:r>
        <w:rPr>
          <w:color w:val="0000FF"/>
        </w:rPr>
        <w:t>NESHAP</w:t>
      </w:r>
      <w:r w:rsidRPr="00C4518C">
        <w:rPr>
          <w:color w:val="0000FF"/>
        </w:rPr>
        <w:t xml:space="preserve"> Title]</w:t>
      </w:r>
      <w:r>
        <w:rPr>
          <w:color w:val="0000FF"/>
        </w:rPr>
        <w:t>.</w:t>
      </w:r>
    </w:p>
    <w:p w14:paraId="513AEEC4" w14:textId="77777777" w:rsidR="00686771" w:rsidRPr="00A30BFD" w:rsidRDefault="00686771" w:rsidP="007A60F3">
      <w:pPr>
        <w:widowControl w:val="0"/>
        <w:rPr>
          <w:spacing w:val="-3"/>
        </w:rPr>
      </w:pPr>
    </w:p>
    <w:p w14:paraId="39752616" w14:textId="5EF8C31D" w:rsidR="00D733AD" w:rsidRPr="00993B55" w:rsidRDefault="00D733AD" w:rsidP="007A60F3">
      <w:pPr>
        <w:widowControl w:val="0"/>
        <w:rPr>
          <w:color w:val="FF0000"/>
        </w:rPr>
      </w:pPr>
      <w:r>
        <w:rPr>
          <w:color w:val="FF0000"/>
        </w:rPr>
        <w:t xml:space="preserve">List and </w:t>
      </w:r>
      <w:r w:rsidRPr="00993B55">
        <w:rPr>
          <w:color w:val="FF0000"/>
        </w:rPr>
        <w:t xml:space="preserve">discuss every applicable </w:t>
      </w:r>
      <w:r w:rsidRPr="00A30BFD">
        <w:rPr>
          <w:color w:val="FF0000"/>
        </w:rPr>
        <w:t>section in the regula</w:t>
      </w:r>
      <w:r w:rsidR="00C020DB">
        <w:rPr>
          <w:color w:val="FF0000"/>
        </w:rPr>
        <w:t>t</w:t>
      </w:r>
      <w:r w:rsidRPr="00A30BFD">
        <w:rPr>
          <w:color w:val="FF0000"/>
        </w:rPr>
        <w:t>ion to ensure compliance with this regulation.</w:t>
      </w:r>
    </w:p>
    <w:p w14:paraId="358B3B77" w14:textId="330E61C9" w:rsidR="00D733AD" w:rsidRDefault="00D733AD" w:rsidP="007A60F3">
      <w:pPr>
        <w:widowControl w:val="0"/>
      </w:pPr>
    </w:p>
    <w:p w14:paraId="0C9B5D57" w14:textId="1B68C23E" w:rsidR="00382F99" w:rsidRPr="00AE4CC2" w:rsidRDefault="00382F99" w:rsidP="007A60F3">
      <w:pPr>
        <w:widowControl w:val="0"/>
        <w:rPr>
          <w:i/>
          <w:iCs/>
          <w:u w:val="single"/>
        </w:rPr>
      </w:pPr>
      <w:r w:rsidRPr="00AE4CC2">
        <w:rPr>
          <w:i/>
          <w:iCs/>
          <w:color w:val="0000FF"/>
          <w:u w:val="single"/>
        </w:rPr>
        <w:t xml:space="preserve">Example </w:t>
      </w:r>
      <w:r w:rsidR="005D45B8" w:rsidRPr="00AE4CC2">
        <w:rPr>
          <w:i/>
          <w:iCs/>
          <w:color w:val="0000FF"/>
          <w:u w:val="single"/>
        </w:rPr>
        <w:t>(c)</w:t>
      </w:r>
      <w:r w:rsidR="005D45B8" w:rsidRPr="00AE4CC2">
        <w:rPr>
          <w:i/>
          <w:iCs/>
          <w:color w:val="0000FF"/>
        </w:rPr>
        <w:t>:</w:t>
      </w:r>
      <w:r w:rsidRPr="005D45B8">
        <w:rPr>
          <w:i/>
          <w:iCs/>
          <w:color w:val="0000FF"/>
        </w:rPr>
        <w:t xml:space="preserve"> (For operation types that are located at an area source but </w:t>
      </w:r>
      <w:r w:rsidR="002465D2" w:rsidRPr="005D45B8">
        <w:rPr>
          <w:i/>
          <w:iCs/>
          <w:color w:val="0000FF"/>
        </w:rPr>
        <w:t>the potentially</w:t>
      </w:r>
      <w:r w:rsidR="00534A65" w:rsidRPr="005D45B8">
        <w:rPr>
          <w:i/>
          <w:iCs/>
          <w:color w:val="0000FF"/>
        </w:rPr>
        <w:t>-</w:t>
      </w:r>
      <w:r w:rsidR="002465D2" w:rsidRPr="005D45B8">
        <w:rPr>
          <w:i/>
          <w:iCs/>
          <w:color w:val="0000FF"/>
        </w:rPr>
        <w:t>subject</w:t>
      </w:r>
      <w:r w:rsidR="003F00B8" w:rsidRPr="005D45B8">
        <w:rPr>
          <w:i/>
          <w:iCs/>
          <w:color w:val="0000FF"/>
        </w:rPr>
        <w:t xml:space="preserve"> </w:t>
      </w:r>
      <w:r w:rsidRPr="005D45B8">
        <w:rPr>
          <w:i/>
          <w:iCs/>
          <w:color w:val="0000FF"/>
        </w:rPr>
        <w:t xml:space="preserve">NESHAP </w:t>
      </w:r>
      <w:r w:rsidR="002465D2" w:rsidRPr="005D45B8">
        <w:rPr>
          <w:i/>
          <w:iCs/>
          <w:color w:val="0000FF"/>
        </w:rPr>
        <w:t xml:space="preserve">only </w:t>
      </w:r>
      <w:r w:rsidRPr="005D45B8">
        <w:rPr>
          <w:i/>
          <w:iCs/>
          <w:color w:val="0000FF"/>
        </w:rPr>
        <w:t>applies to major sources of HAP emissions)</w:t>
      </w:r>
    </w:p>
    <w:p w14:paraId="05E42E28" w14:textId="1DCB58E2" w:rsidR="00737155" w:rsidRDefault="00737155" w:rsidP="007A60F3">
      <w:pPr>
        <w:widowControl w:val="0"/>
      </w:pPr>
    </w:p>
    <w:p w14:paraId="1D1D9C82" w14:textId="624EED49" w:rsidR="00737155" w:rsidRDefault="0060343F" w:rsidP="007A60F3">
      <w:pPr>
        <w:widowControl w:val="0"/>
      </w:pPr>
      <w:r w:rsidRPr="0091537E">
        <w:t xml:space="preserve">A key concept of NESHAP applicability is the difference between </w:t>
      </w:r>
      <w:r w:rsidRPr="0091537E">
        <w:rPr>
          <w:i/>
          <w:iCs/>
        </w:rPr>
        <w:t>major sources</w:t>
      </w:r>
      <w:r w:rsidRPr="0091537E">
        <w:t xml:space="preserve"> and </w:t>
      </w:r>
      <w:r w:rsidRPr="0091537E">
        <w:rPr>
          <w:i/>
          <w:iCs/>
        </w:rPr>
        <w:t xml:space="preserve">area sources </w:t>
      </w:r>
      <w:r w:rsidRPr="0091537E">
        <w:t xml:space="preserve">of HAPs.  A </w:t>
      </w:r>
      <w:r w:rsidRPr="0091537E">
        <w:rPr>
          <w:i/>
          <w:iCs/>
        </w:rPr>
        <w:t>major source</w:t>
      </w:r>
      <w:r w:rsidRPr="0091537E">
        <w:t xml:space="preserve"> of HAPs has the potential to emit</w:t>
      </w:r>
      <w:r>
        <w:t>, including fugitives,</w:t>
      </w:r>
      <w:r w:rsidRPr="0091537E">
        <w:t xml:space="preserve"> of 10 </w:t>
      </w:r>
      <w:r>
        <w:t>tons per year</w:t>
      </w:r>
      <w:r w:rsidRPr="0091537E">
        <w:t xml:space="preserve"> or more of any single HAP or 25 </w:t>
      </w:r>
      <w:r>
        <w:t>tons per year</w:t>
      </w:r>
      <w:r w:rsidRPr="0091537E">
        <w:t xml:space="preserve"> or more of any combination of HAPs</w:t>
      </w:r>
      <w:r>
        <w:t>, or such lesser quantity as US EPA may establish by rule</w:t>
      </w:r>
      <w:r w:rsidRPr="0091537E">
        <w:t xml:space="preserve">.  An </w:t>
      </w:r>
      <w:r w:rsidRPr="0091537E">
        <w:rPr>
          <w:i/>
          <w:iCs/>
        </w:rPr>
        <w:t>area source</w:t>
      </w:r>
      <w:r w:rsidRPr="0091537E">
        <w:t xml:space="preserve"> of HAPs is any stationary source that is not a </w:t>
      </w:r>
      <w:r w:rsidRPr="0091537E">
        <w:rPr>
          <w:i/>
          <w:iCs/>
        </w:rPr>
        <w:t>major source</w:t>
      </w:r>
      <w:r w:rsidRPr="0091537E">
        <w:t xml:space="preserve"> of HAPs.</w:t>
      </w:r>
    </w:p>
    <w:p w14:paraId="139E637B" w14:textId="77777777" w:rsidR="00737155" w:rsidRDefault="00737155" w:rsidP="007A60F3">
      <w:pPr>
        <w:widowControl w:val="0"/>
      </w:pPr>
    </w:p>
    <w:p w14:paraId="10979AB8" w14:textId="7663EA3D" w:rsidR="005E532D" w:rsidRDefault="005E532D" w:rsidP="007A60F3">
      <w:pPr>
        <w:widowControl w:val="0"/>
      </w:pPr>
      <w:r>
        <w:t>[</w:t>
      </w:r>
      <w:r w:rsidRPr="00A30BFD">
        <w:rPr>
          <w:color w:val="0000FF"/>
        </w:rPr>
        <w:t xml:space="preserve">As </w:t>
      </w:r>
      <w:r>
        <w:rPr>
          <w:color w:val="0000FF"/>
        </w:rPr>
        <w:t>determined</w:t>
      </w:r>
      <w:r w:rsidRPr="00A30BFD">
        <w:rPr>
          <w:color w:val="0000FF"/>
        </w:rPr>
        <w:t xml:space="preserve"> in Appendix </w:t>
      </w:r>
      <w:r w:rsidR="009B1975">
        <w:rPr>
          <w:color w:val="0000FF"/>
        </w:rPr>
        <w:t>N</w:t>
      </w:r>
      <w:r>
        <w:rPr>
          <w:color w:val="0000FF"/>
        </w:rPr>
        <w:t xml:space="preserve"> </w:t>
      </w:r>
      <w:r w:rsidRPr="0091537E">
        <w:rPr>
          <w:color w:val="0000FF"/>
          <w:u w:val="single"/>
        </w:rPr>
        <w:t>or</w:t>
      </w:r>
      <w:r>
        <w:rPr>
          <w:color w:val="0000FF"/>
        </w:rPr>
        <w:t xml:space="preserve"> B</w:t>
      </w:r>
      <w:r w:rsidRPr="0091537E">
        <w:rPr>
          <w:color w:val="0000FF"/>
        </w:rPr>
        <w:t>ased on the SSPE2</w:t>
      </w:r>
      <w:r>
        <w:rPr>
          <w:color w:val="0000FF"/>
        </w:rPr>
        <w:t xml:space="preserve"> for PM10 and VOC from this project and that no other HAPs not accounted for in the SSPE2 are emitted from this stationary source </w:t>
      </w:r>
      <w:r w:rsidRPr="0091537E">
        <w:rPr>
          <w:color w:val="0000FF"/>
          <w:u w:val="single"/>
        </w:rPr>
        <w:t>or</w:t>
      </w:r>
      <w:r>
        <w:rPr>
          <w:color w:val="0000FF"/>
          <w:u w:val="single"/>
        </w:rPr>
        <w:t xml:space="preserve"> </w:t>
      </w:r>
      <w:r w:rsidRPr="0091537E">
        <w:rPr>
          <w:color w:val="0000FF"/>
        </w:rPr>
        <w:t xml:space="preserve">reference </w:t>
      </w:r>
      <w:r>
        <w:rPr>
          <w:color w:val="0000FF"/>
        </w:rPr>
        <w:t>a previous determination]</w:t>
      </w:r>
      <w:r w:rsidRPr="00A30BFD">
        <w:rPr>
          <w:color w:val="0000FF"/>
        </w:rPr>
        <w:t>,</w:t>
      </w:r>
      <w:r>
        <w:t xml:space="preserve"> the facility is an </w:t>
      </w:r>
      <w:r w:rsidRPr="0091537E">
        <w:rPr>
          <w:i/>
          <w:iCs/>
        </w:rPr>
        <w:t>area source</w:t>
      </w:r>
      <w:r>
        <w:t xml:space="preserve"> of hazardous air pollutant (HAP) emissions. </w:t>
      </w:r>
      <w:r w:rsidRPr="00C4518C">
        <w:rPr>
          <w:color w:val="0000FF"/>
        </w:rPr>
        <w:t>[</w:t>
      </w:r>
      <w:r>
        <w:rPr>
          <w:color w:val="0000FF"/>
        </w:rPr>
        <w:t>I</w:t>
      </w:r>
      <w:r w:rsidRPr="00C4518C">
        <w:rPr>
          <w:color w:val="0000FF"/>
        </w:rPr>
        <w:t xml:space="preserve">nsert </w:t>
      </w:r>
      <w:r>
        <w:rPr>
          <w:color w:val="0000FF"/>
        </w:rPr>
        <w:t>NESHAP</w:t>
      </w:r>
      <w:r w:rsidRPr="00C4518C">
        <w:rPr>
          <w:color w:val="0000FF"/>
        </w:rPr>
        <w:t xml:space="preserve"> Title</w:t>
      </w:r>
      <w:r>
        <w:rPr>
          <w:color w:val="0000FF"/>
        </w:rPr>
        <w:t xml:space="preserve">, e.g. 40 CFR Part 63, Subpart </w:t>
      </w:r>
      <w:r w:rsidR="00ED1B88">
        <w:rPr>
          <w:color w:val="0000FF"/>
        </w:rPr>
        <w:t>EEEEE</w:t>
      </w:r>
      <w:r>
        <w:rPr>
          <w:color w:val="0000FF"/>
        </w:rPr>
        <w:t xml:space="preserve"> (National Emission Standards for Hazardous Air Pollutants for </w:t>
      </w:r>
      <w:r w:rsidR="00ED1B88">
        <w:rPr>
          <w:color w:val="0000FF"/>
        </w:rPr>
        <w:t>Iron and Steel Foundries</w:t>
      </w:r>
      <w:r>
        <w:rPr>
          <w:color w:val="0000FF"/>
        </w:rPr>
        <w:t>)</w:t>
      </w:r>
      <w:r w:rsidRPr="00C4518C">
        <w:rPr>
          <w:color w:val="0000FF"/>
        </w:rPr>
        <w:t xml:space="preserve">] </w:t>
      </w:r>
      <w:r w:rsidRPr="006878ED">
        <w:t xml:space="preserve">applies to </w:t>
      </w:r>
      <w:r w:rsidRPr="00C4518C">
        <w:rPr>
          <w:color w:val="0000FF"/>
        </w:rPr>
        <w:t>[</w:t>
      </w:r>
      <w:r>
        <w:rPr>
          <w:color w:val="0000FF"/>
        </w:rPr>
        <w:t>i</w:t>
      </w:r>
      <w:r w:rsidRPr="00C4518C">
        <w:rPr>
          <w:color w:val="0000FF"/>
        </w:rPr>
        <w:t xml:space="preserve">nsert operation </w:t>
      </w:r>
      <w:r>
        <w:rPr>
          <w:color w:val="0000FF"/>
        </w:rPr>
        <w:t xml:space="preserve">or stationary source </w:t>
      </w:r>
      <w:r w:rsidRPr="00C4518C">
        <w:rPr>
          <w:color w:val="0000FF"/>
        </w:rPr>
        <w:t>description]</w:t>
      </w:r>
      <w:r>
        <w:rPr>
          <w:color w:val="0000FF"/>
        </w:rPr>
        <w:t xml:space="preserve"> </w:t>
      </w:r>
      <w:r>
        <w:t xml:space="preserve">at </w:t>
      </w:r>
      <w:r w:rsidRPr="0091537E">
        <w:rPr>
          <w:i/>
          <w:iCs/>
          <w:color w:val="0000FF"/>
        </w:rPr>
        <w:t>major</w:t>
      </w:r>
      <w:r w:rsidRPr="0091537E">
        <w:rPr>
          <w:color w:val="0000FF"/>
        </w:rPr>
        <w:t xml:space="preserve"> </w:t>
      </w:r>
      <w:r w:rsidRPr="0091537E">
        <w:rPr>
          <w:i/>
          <w:iCs/>
          <w:color w:val="0000FF"/>
        </w:rPr>
        <w:t>sources</w:t>
      </w:r>
      <w:r w:rsidRPr="0091537E">
        <w:t xml:space="preserve"> </w:t>
      </w:r>
      <w:r>
        <w:t xml:space="preserve">of HAP emissions. </w:t>
      </w:r>
      <w:r w:rsidDel="00E67B30">
        <w:rPr>
          <w:spacing w:val="-3"/>
        </w:rPr>
        <w:t xml:space="preserve"> </w:t>
      </w:r>
      <w:r w:rsidR="00C72652">
        <w:rPr>
          <w:spacing w:val="-3"/>
        </w:rPr>
        <w:t xml:space="preserve"> </w:t>
      </w:r>
      <w:r w:rsidR="00985B5B">
        <w:rPr>
          <w:spacing w:val="-3"/>
        </w:rPr>
        <w:t>However. s</w:t>
      </w:r>
      <w:r w:rsidR="00C72652">
        <w:rPr>
          <w:spacing w:val="-3"/>
        </w:rPr>
        <w:t xml:space="preserve">ince </w:t>
      </w:r>
      <w:r w:rsidR="00C72652" w:rsidRPr="00AE4CC2">
        <w:rPr>
          <w:color w:val="0000FF"/>
        </w:rPr>
        <w:t xml:space="preserve">[Facility Name] </w:t>
      </w:r>
      <w:r w:rsidR="00C72652">
        <w:rPr>
          <w:spacing w:val="-3"/>
        </w:rPr>
        <w:t xml:space="preserve">is </w:t>
      </w:r>
      <w:r w:rsidR="00D63E0D">
        <w:rPr>
          <w:spacing w:val="-3"/>
        </w:rPr>
        <w:t>located at an area source of HAP emissions, this NESHAP does not apply</w:t>
      </w:r>
      <w:r>
        <w:t>,</w:t>
      </w:r>
      <w:r w:rsidR="00D63E0D">
        <w:t xml:space="preserve"> and</w:t>
      </w:r>
      <w:r>
        <w:t xml:space="preserve"> no further discussion of this NESHAP is required.</w:t>
      </w:r>
    </w:p>
    <w:p w14:paraId="231743DC" w14:textId="5935D115" w:rsidR="005E532D" w:rsidRDefault="005E532D" w:rsidP="007A60F3">
      <w:pPr>
        <w:widowControl w:val="0"/>
      </w:pPr>
    </w:p>
    <w:p w14:paraId="0508ECC3" w14:textId="77777777" w:rsidR="00985B5B" w:rsidRDefault="00985B5B" w:rsidP="007A60F3">
      <w:pPr>
        <w:widowControl w:val="0"/>
      </w:pPr>
      <w:r>
        <w:t>No other</w:t>
      </w:r>
      <w:r w:rsidRPr="00993B55">
        <w:t xml:space="preserve"> </w:t>
      </w:r>
      <w:r>
        <w:t>NESHAP</w:t>
      </w:r>
      <w:r w:rsidRPr="00993B55">
        <w:t xml:space="preserve"> apply to </w:t>
      </w:r>
      <w:r w:rsidRPr="00993B55">
        <w:rPr>
          <w:color w:val="0000FF"/>
        </w:rPr>
        <w:t xml:space="preserve">[insert operation </w:t>
      </w:r>
      <w:r>
        <w:rPr>
          <w:color w:val="0000FF"/>
        </w:rPr>
        <w:t>or stationary source description</w:t>
      </w:r>
      <w:r w:rsidRPr="00993B55">
        <w:rPr>
          <w:color w:val="0000FF"/>
        </w:rPr>
        <w:t>]</w:t>
      </w:r>
      <w:r>
        <w:rPr>
          <w:color w:val="0000FF"/>
        </w:rPr>
        <w:t>;</w:t>
      </w:r>
      <w:r w:rsidRPr="0016599F">
        <w:t xml:space="preserve"> </w:t>
      </w:r>
      <w:r w:rsidRPr="00C4518C">
        <w:t xml:space="preserve">therefore, no further discussion of </w:t>
      </w:r>
      <w:r>
        <w:t>NESHAP</w:t>
      </w:r>
      <w:r w:rsidRPr="00C4518C">
        <w:t xml:space="preserve"> is required.</w:t>
      </w:r>
    </w:p>
    <w:p w14:paraId="325CC87E" w14:textId="77777777" w:rsidR="00382F99" w:rsidRPr="00993B55" w:rsidRDefault="00382F99" w:rsidP="007A60F3">
      <w:pPr>
        <w:widowControl w:val="0"/>
      </w:pPr>
    </w:p>
    <w:p w14:paraId="1A0BE5A2" w14:textId="74187B5A" w:rsidR="000177D5" w:rsidRPr="00AE4CC2" w:rsidRDefault="000177D5" w:rsidP="007A60F3">
      <w:pPr>
        <w:widowControl w:val="0"/>
        <w:rPr>
          <w:i/>
          <w:iCs/>
          <w:u w:val="single"/>
        </w:rPr>
      </w:pPr>
      <w:r w:rsidRPr="00AE4CC2">
        <w:rPr>
          <w:i/>
          <w:iCs/>
          <w:color w:val="0000FF"/>
          <w:u w:val="single"/>
        </w:rPr>
        <w:t>Example</w:t>
      </w:r>
      <w:r w:rsidR="00331451" w:rsidRPr="00AE4CC2">
        <w:rPr>
          <w:i/>
          <w:iCs/>
          <w:color w:val="0000FF"/>
          <w:u w:val="single"/>
        </w:rPr>
        <w:t xml:space="preserve"> </w:t>
      </w:r>
      <w:r w:rsidR="002549A4">
        <w:rPr>
          <w:i/>
          <w:iCs/>
          <w:color w:val="0000FF"/>
          <w:u w:val="single"/>
        </w:rPr>
        <w:t>(d)</w:t>
      </w:r>
      <w:r w:rsidR="002549A4" w:rsidRPr="00AE4CC2">
        <w:rPr>
          <w:i/>
          <w:iCs/>
          <w:color w:val="0000FF"/>
        </w:rPr>
        <w:t>:</w:t>
      </w:r>
      <w:r w:rsidRPr="002549A4">
        <w:rPr>
          <w:i/>
          <w:iCs/>
          <w:color w:val="0000FF"/>
        </w:rPr>
        <w:t xml:space="preserve"> (</w:t>
      </w:r>
      <w:r w:rsidR="007853EE" w:rsidRPr="002549A4">
        <w:rPr>
          <w:i/>
          <w:iCs/>
          <w:color w:val="0000FF"/>
        </w:rPr>
        <w:t xml:space="preserve">For operation types </w:t>
      </w:r>
      <w:r w:rsidR="00C05F54" w:rsidRPr="002549A4">
        <w:rPr>
          <w:i/>
          <w:iCs/>
          <w:color w:val="0000FF"/>
        </w:rPr>
        <w:t xml:space="preserve">that are located at a </w:t>
      </w:r>
      <w:r w:rsidR="00EF781E" w:rsidRPr="002549A4">
        <w:rPr>
          <w:i/>
          <w:iCs/>
          <w:color w:val="0000FF"/>
        </w:rPr>
        <w:t>major source of HAP emissions</w:t>
      </w:r>
      <w:r w:rsidR="00C05F54" w:rsidRPr="002549A4">
        <w:rPr>
          <w:i/>
          <w:iCs/>
          <w:color w:val="0000FF"/>
        </w:rPr>
        <w:t xml:space="preserve"> and are </w:t>
      </w:r>
      <w:r w:rsidR="007853EE" w:rsidRPr="002549A4">
        <w:rPr>
          <w:i/>
          <w:iCs/>
          <w:color w:val="0000FF"/>
        </w:rPr>
        <w:t xml:space="preserve">subject to </w:t>
      </w:r>
      <w:r w:rsidR="00EF781E" w:rsidRPr="002549A4">
        <w:rPr>
          <w:i/>
          <w:iCs/>
          <w:color w:val="0000FF"/>
        </w:rPr>
        <w:t xml:space="preserve">a </w:t>
      </w:r>
      <w:r w:rsidR="007853EE" w:rsidRPr="002549A4">
        <w:rPr>
          <w:i/>
          <w:iCs/>
          <w:color w:val="0000FF"/>
        </w:rPr>
        <w:t>NESHAP that applies to major sources of HAP emissions</w:t>
      </w:r>
      <w:r w:rsidRPr="00505E9F">
        <w:rPr>
          <w:i/>
          <w:iCs/>
          <w:color w:val="0000FF"/>
          <w:u w:val="single"/>
        </w:rPr>
        <w:t>)</w:t>
      </w:r>
    </w:p>
    <w:p w14:paraId="2A281005" w14:textId="77777777" w:rsidR="007853EE" w:rsidRDefault="007853EE" w:rsidP="007A60F3">
      <w:pPr>
        <w:widowControl w:val="0"/>
      </w:pPr>
    </w:p>
    <w:p w14:paraId="7349D833" w14:textId="1324114F" w:rsidR="00411CB4" w:rsidRDefault="00411CB4" w:rsidP="007A60F3">
      <w:pPr>
        <w:widowControl w:val="0"/>
      </w:pPr>
      <w:bookmarkStart w:id="9" w:name="_Hlk220916772"/>
      <w:r w:rsidRPr="0091537E">
        <w:t xml:space="preserve">A key concept of NESHAP applicability is the difference between </w:t>
      </w:r>
      <w:r w:rsidRPr="0091537E">
        <w:rPr>
          <w:i/>
          <w:iCs/>
        </w:rPr>
        <w:t>major sources</w:t>
      </w:r>
      <w:r w:rsidRPr="0091537E">
        <w:t xml:space="preserve"> and </w:t>
      </w:r>
      <w:r w:rsidRPr="0091537E">
        <w:rPr>
          <w:i/>
          <w:iCs/>
        </w:rPr>
        <w:t xml:space="preserve">area sources </w:t>
      </w:r>
      <w:r w:rsidRPr="0091537E">
        <w:t xml:space="preserve">of HAPs.  A </w:t>
      </w:r>
      <w:r w:rsidRPr="0091537E">
        <w:rPr>
          <w:i/>
          <w:iCs/>
        </w:rPr>
        <w:t>major source</w:t>
      </w:r>
      <w:r w:rsidRPr="0091537E">
        <w:t xml:space="preserve"> of HAPs has the potential to emit</w:t>
      </w:r>
      <w:r>
        <w:t>, including fugitives,</w:t>
      </w:r>
      <w:r w:rsidRPr="0091537E">
        <w:t xml:space="preserve"> of 10 </w:t>
      </w:r>
      <w:r>
        <w:t>tons per year</w:t>
      </w:r>
      <w:r w:rsidRPr="0091537E">
        <w:t xml:space="preserve"> or more of any single HAP or 25 </w:t>
      </w:r>
      <w:r>
        <w:t>tons per year</w:t>
      </w:r>
      <w:r w:rsidRPr="0091537E">
        <w:t xml:space="preserve"> or more of any combination of HAPs</w:t>
      </w:r>
      <w:r>
        <w:t>, or such lesser quantity as US EPA may establish by rule</w:t>
      </w:r>
      <w:r w:rsidRPr="0091537E">
        <w:t xml:space="preserve">.  An </w:t>
      </w:r>
      <w:r w:rsidRPr="0091537E">
        <w:rPr>
          <w:i/>
          <w:iCs/>
        </w:rPr>
        <w:t>area source</w:t>
      </w:r>
      <w:r w:rsidRPr="0091537E">
        <w:t xml:space="preserve"> of HAPs is any stationary source that is not a </w:t>
      </w:r>
      <w:r w:rsidRPr="0091537E">
        <w:rPr>
          <w:i/>
          <w:iCs/>
        </w:rPr>
        <w:t>major source</w:t>
      </w:r>
      <w:r w:rsidRPr="0091537E">
        <w:t xml:space="preserve"> of HAPs.</w:t>
      </w:r>
    </w:p>
    <w:p w14:paraId="7066EBEA" w14:textId="77777777" w:rsidR="00AE4BC5" w:rsidRDefault="00AE4BC5" w:rsidP="007A60F3">
      <w:pPr>
        <w:widowControl w:val="0"/>
      </w:pPr>
    </w:p>
    <w:p w14:paraId="377569FE" w14:textId="69B8BF7D" w:rsidR="00AE4BC5" w:rsidRDefault="00AE4BC5" w:rsidP="007A60F3">
      <w:pPr>
        <w:widowControl w:val="0"/>
      </w:pPr>
      <w:r>
        <w:t>[</w:t>
      </w:r>
      <w:r w:rsidRPr="00A30BFD">
        <w:rPr>
          <w:color w:val="0000FF"/>
        </w:rPr>
        <w:t xml:space="preserve">As </w:t>
      </w:r>
      <w:r>
        <w:rPr>
          <w:color w:val="0000FF"/>
        </w:rPr>
        <w:t>determined</w:t>
      </w:r>
      <w:r w:rsidRPr="00A30BFD">
        <w:rPr>
          <w:color w:val="0000FF"/>
        </w:rPr>
        <w:t xml:space="preserve"> in Appendix </w:t>
      </w:r>
      <w:r w:rsidR="00E777D9">
        <w:rPr>
          <w:color w:val="0000FF"/>
        </w:rPr>
        <w:t>N</w:t>
      </w:r>
      <w:r>
        <w:rPr>
          <w:color w:val="0000FF"/>
        </w:rPr>
        <w:t xml:space="preserve"> </w:t>
      </w:r>
      <w:r w:rsidRPr="0091537E">
        <w:rPr>
          <w:color w:val="0000FF"/>
          <w:u w:val="single"/>
        </w:rPr>
        <w:t>or</w:t>
      </w:r>
      <w:r w:rsidRPr="00AE4CC2">
        <w:rPr>
          <w:color w:val="0000FF"/>
        </w:rPr>
        <w:t xml:space="preserve"> </w:t>
      </w:r>
      <w:r w:rsidRPr="0091537E">
        <w:rPr>
          <w:color w:val="0000FF"/>
        </w:rPr>
        <w:t xml:space="preserve">reference </w:t>
      </w:r>
      <w:r>
        <w:rPr>
          <w:color w:val="0000FF"/>
        </w:rPr>
        <w:t>a previous determination]</w:t>
      </w:r>
      <w:r w:rsidRPr="00A30BFD">
        <w:rPr>
          <w:color w:val="0000FF"/>
        </w:rPr>
        <w:t>,</w:t>
      </w:r>
      <w:r>
        <w:t xml:space="preserve"> the facility is a </w:t>
      </w:r>
      <w:r w:rsidRPr="00AE4CC2">
        <w:rPr>
          <w:i/>
          <w:iCs/>
        </w:rPr>
        <w:t>major</w:t>
      </w:r>
      <w:r>
        <w:t xml:space="preserve"> </w:t>
      </w:r>
      <w:r w:rsidRPr="0091537E">
        <w:rPr>
          <w:i/>
          <w:iCs/>
        </w:rPr>
        <w:t>source</w:t>
      </w:r>
      <w:r>
        <w:t xml:space="preserve"> of hazardous air pollutant (HAP) emissions. </w:t>
      </w:r>
      <w:r w:rsidRPr="00C4518C">
        <w:rPr>
          <w:color w:val="0000FF"/>
        </w:rPr>
        <w:t>[</w:t>
      </w:r>
      <w:r>
        <w:rPr>
          <w:color w:val="0000FF"/>
        </w:rPr>
        <w:t>I</w:t>
      </w:r>
      <w:r w:rsidRPr="00C4518C">
        <w:rPr>
          <w:color w:val="0000FF"/>
        </w:rPr>
        <w:t xml:space="preserve">nsert </w:t>
      </w:r>
      <w:r>
        <w:rPr>
          <w:color w:val="0000FF"/>
        </w:rPr>
        <w:t>NESHAP</w:t>
      </w:r>
      <w:r w:rsidRPr="00C4518C">
        <w:rPr>
          <w:color w:val="0000FF"/>
        </w:rPr>
        <w:t xml:space="preserve"> Title</w:t>
      </w:r>
      <w:r>
        <w:rPr>
          <w:color w:val="0000FF"/>
        </w:rPr>
        <w:t>, e.g. 40 CFR Part 63, Subpart EEEEE (National Emission Standards for Hazardous Air Pollutants for Iron and Steel Foundries)</w:t>
      </w:r>
      <w:r w:rsidRPr="00C4518C">
        <w:rPr>
          <w:color w:val="0000FF"/>
        </w:rPr>
        <w:t xml:space="preserve">] </w:t>
      </w:r>
      <w:r w:rsidRPr="006878ED">
        <w:t xml:space="preserve">applies to </w:t>
      </w:r>
      <w:r w:rsidRPr="00C4518C">
        <w:rPr>
          <w:color w:val="0000FF"/>
        </w:rPr>
        <w:t>[</w:t>
      </w:r>
      <w:r>
        <w:rPr>
          <w:color w:val="0000FF"/>
        </w:rPr>
        <w:t>i</w:t>
      </w:r>
      <w:r w:rsidRPr="00C4518C">
        <w:rPr>
          <w:color w:val="0000FF"/>
        </w:rPr>
        <w:t xml:space="preserve">nsert operation </w:t>
      </w:r>
      <w:r>
        <w:rPr>
          <w:color w:val="0000FF"/>
        </w:rPr>
        <w:t xml:space="preserve">or stationary source </w:t>
      </w:r>
      <w:r w:rsidRPr="00C4518C">
        <w:rPr>
          <w:color w:val="0000FF"/>
        </w:rPr>
        <w:t>description]</w:t>
      </w:r>
      <w:r>
        <w:rPr>
          <w:color w:val="0000FF"/>
        </w:rPr>
        <w:t xml:space="preserve"> </w:t>
      </w:r>
      <w:r>
        <w:t xml:space="preserve">at </w:t>
      </w:r>
      <w:r w:rsidRPr="0091537E">
        <w:rPr>
          <w:i/>
          <w:iCs/>
          <w:color w:val="0000FF"/>
        </w:rPr>
        <w:t>major</w:t>
      </w:r>
      <w:r w:rsidRPr="0091537E">
        <w:rPr>
          <w:color w:val="0000FF"/>
        </w:rPr>
        <w:t xml:space="preserve"> </w:t>
      </w:r>
      <w:r w:rsidRPr="0091537E">
        <w:rPr>
          <w:i/>
          <w:iCs/>
          <w:color w:val="0000FF"/>
        </w:rPr>
        <w:t>sources</w:t>
      </w:r>
      <w:r w:rsidRPr="0091537E">
        <w:t xml:space="preserve"> </w:t>
      </w:r>
      <w:r>
        <w:t xml:space="preserve">of HAP emissions. </w:t>
      </w:r>
      <w:r w:rsidDel="00E67B30">
        <w:rPr>
          <w:spacing w:val="-3"/>
        </w:rPr>
        <w:t xml:space="preserve"> </w:t>
      </w:r>
      <w:r>
        <w:rPr>
          <w:spacing w:val="-3"/>
        </w:rPr>
        <w:t xml:space="preserve"> </w:t>
      </w:r>
      <w:r w:rsidR="003D3770">
        <w:rPr>
          <w:spacing w:val="-3"/>
        </w:rPr>
        <w:t>[</w:t>
      </w:r>
      <w:r w:rsidR="003D3770" w:rsidRPr="006878ED">
        <w:rPr>
          <w:color w:val="0000FF"/>
        </w:rPr>
        <w:t xml:space="preserve">US EPA </w:t>
      </w:r>
      <w:r w:rsidR="003D3770">
        <w:rPr>
          <w:color w:val="0000FF"/>
        </w:rPr>
        <w:t xml:space="preserve">has </w:t>
      </w:r>
      <w:r w:rsidR="003D3770" w:rsidRPr="006878ED">
        <w:rPr>
          <w:color w:val="0000FF"/>
        </w:rPr>
        <w:t xml:space="preserve">delegated this </w:t>
      </w:r>
      <w:r w:rsidR="003D3770">
        <w:rPr>
          <w:color w:val="0000FF"/>
        </w:rPr>
        <w:t>NESHAP</w:t>
      </w:r>
      <w:r w:rsidR="003D3770" w:rsidRPr="006878ED">
        <w:rPr>
          <w:color w:val="0000FF"/>
        </w:rPr>
        <w:t xml:space="preserve"> to the District under Rule 400</w:t>
      </w:r>
      <w:r w:rsidR="003D3770">
        <w:rPr>
          <w:color w:val="0000FF"/>
        </w:rPr>
        <w:t>2</w:t>
      </w:r>
      <w:r w:rsidR="003D3770" w:rsidRPr="006878ED">
        <w:rPr>
          <w:color w:val="0000FF"/>
        </w:rPr>
        <w:t xml:space="preserve"> and/or facility name has a Title V permit</w:t>
      </w:r>
      <w:r w:rsidR="003D3770">
        <w:rPr>
          <w:color w:val="0000FF"/>
        </w:rPr>
        <w:t>]</w:t>
      </w:r>
      <w:r w:rsidR="003D3770">
        <w:t>; therefore, the District has the authority to administer and enforce this NESHAP.</w:t>
      </w:r>
    </w:p>
    <w:p w14:paraId="65EBD25C" w14:textId="784E5E54" w:rsidR="000707F3" w:rsidRDefault="000707F3" w:rsidP="007A60F3">
      <w:pPr>
        <w:widowControl w:val="0"/>
      </w:pPr>
    </w:p>
    <w:p w14:paraId="202E29A6" w14:textId="30069CDF" w:rsidR="0068047B" w:rsidRDefault="0068047B" w:rsidP="007A60F3">
      <w:pPr>
        <w:widowControl w:val="0"/>
        <w:rPr>
          <w:color w:val="0000FF"/>
        </w:rPr>
      </w:pPr>
      <w:r>
        <w:t xml:space="preserve">The following section analyzes the applicable requirements from </w:t>
      </w:r>
      <w:r w:rsidRPr="00C4518C">
        <w:rPr>
          <w:color w:val="0000FF"/>
        </w:rPr>
        <w:t>[</w:t>
      </w:r>
      <w:r>
        <w:rPr>
          <w:color w:val="0000FF"/>
        </w:rPr>
        <w:t>I</w:t>
      </w:r>
      <w:r w:rsidRPr="00C4518C">
        <w:rPr>
          <w:color w:val="0000FF"/>
        </w:rPr>
        <w:t xml:space="preserve">nsert </w:t>
      </w:r>
      <w:r>
        <w:rPr>
          <w:color w:val="0000FF"/>
        </w:rPr>
        <w:t>NESHAP</w:t>
      </w:r>
      <w:r w:rsidRPr="00C4518C">
        <w:rPr>
          <w:color w:val="0000FF"/>
        </w:rPr>
        <w:t xml:space="preserve"> Title]</w:t>
      </w:r>
      <w:r w:rsidRPr="001155B1">
        <w:t>.</w:t>
      </w:r>
    </w:p>
    <w:p w14:paraId="7CE3EE47" w14:textId="77777777" w:rsidR="0068047B" w:rsidRPr="001155B1" w:rsidRDefault="0068047B" w:rsidP="007A60F3">
      <w:pPr>
        <w:widowControl w:val="0"/>
      </w:pPr>
    </w:p>
    <w:p w14:paraId="116DA7AB" w14:textId="26008465" w:rsidR="0050343C" w:rsidRPr="00993B55" w:rsidRDefault="0036713D" w:rsidP="007A60F3">
      <w:pPr>
        <w:widowControl w:val="0"/>
        <w:rPr>
          <w:color w:val="FF0000"/>
        </w:rPr>
      </w:pPr>
      <w:r>
        <w:rPr>
          <w:color w:val="FF0000"/>
        </w:rPr>
        <w:t xml:space="preserve">List and </w:t>
      </w:r>
      <w:r w:rsidRPr="00993B55">
        <w:rPr>
          <w:color w:val="FF0000"/>
        </w:rPr>
        <w:t xml:space="preserve">discuss every applicable </w:t>
      </w:r>
      <w:r w:rsidR="002344D6" w:rsidRPr="00AC5150">
        <w:rPr>
          <w:color w:val="FF0000"/>
        </w:rPr>
        <w:t>section in the regula</w:t>
      </w:r>
      <w:r w:rsidR="00C020DB">
        <w:rPr>
          <w:color w:val="FF0000"/>
        </w:rPr>
        <w:t>t</w:t>
      </w:r>
      <w:r w:rsidR="002344D6" w:rsidRPr="00AC5150">
        <w:rPr>
          <w:color w:val="FF0000"/>
        </w:rPr>
        <w:t xml:space="preserve">ion </w:t>
      </w:r>
      <w:r w:rsidR="0050343C" w:rsidRPr="00AC5150">
        <w:rPr>
          <w:color w:val="FF0000"/>
        </w:rPr>
        <w:t xml:space="preserve">to ensure </w:t>
      </w:r>
      <w:r w:rsidRPr="00AC5150">
        <w:rPr>
          <w:color w:val="FF0000"/>
        </w:rPr>
        <w:t>compliance with this regulation</w:t>
      </w:r>
      <w:r w:rsidR="0050343C" w:rsidRPr="00AC5150">
        <w:rPr>
          <w:color w:val="FF0000"/>
        </w:rPr>
        <w:t>.</w:t>
      </w:r>
    </w:p>
    <w:bookmarkEnd w:id="9"/>
    <w:p w14:paraId="5CE9BE24" w14:textId="38B82E6B" w:rsidR="000177D5" w:rsidRDefault="000177D5" w:rsidP="007A60F3">
      <w:pPr>
        <w:widowControl w:val="0"/>
        <w:rPr>
          <w:rFonts w:cs="Arial"/>
          <w:iCs/>
          <w:color w:val="000000"/>
        </w:rPr>
      </w:pPr>
    </w:p>
    <w:p w14:paraId="7273116B" w14:textId="511B2400" w:rsidR="00D54A10" w:rsidRPr="00AE4CC2" w:rsidRDefault="00D54A10" w:rsidP="007A60F3">
      <w:pPr>
        <w:widowControl w:val="0"/>
        <w:rPr>
          <w:i/>
          <w:iCs/>
          <w:u w:val="single"/>
        </w:rPr>
      </w:pPr>
      <w:r w:rsidRPr="00AE4CC2">
        <w:rPr>
          <w:i/>
          <w:iCs/>
          <w:color w:val="0000FF"/>
          <w:u w:val="single"/>
        </w:rPr>
        <w:t xml:space="preserve">Example </w:t>
      </w:r>
      <w:r w:rsidR="000458C4">
        <w:rPr>
          <w:i/>
          <w:iCs/>
          <w:color w:val="0000FF"/>
          <w:u w:val="single"/>
        </w:rPr>
        <w:t>(e)</w:t>
      </w:r>
      <w:r w:rsidR="00E777D9">
        <w:rPr>
          <w:i/>
          <w:iCs/>
          <w:color w:val="0000FF"/>
          <w:u w:val="single"/>
        </w:rPr>
        <w:t>:</w:t>
      </w:r>
      <w:r w:rsidRPr="00AE4CC2">
        <w:rPr>
          <w:i/>
          <w:iCs/>
          <w:color w:val="0000FF"/>
          <w:u w:val="single"/>
        </w:rPr>
        <w:t xml:space="preserve"> </w:t>
      </w:r>
      <w:r w:rsidRPr="000458C4">
        <w:rPr>
          <w:i/>
          <w:iCs/>
          <w:color w:val="0000FF"/>
        </w:rPr>
        <w:t>(For operation types that are located at a major sources of HAP emissions but the potentially</w:t>
      </w:r>
      <w:r w:rsidR="003544A9" w:rsidRPr="000458C4">
        <w:rPr>
          <w:i/>
          <w:iCs/>
          <w:color w:val="0000FF"/>
        </w:rPr>
        <w:t>-</w:t>
      </w:r>
      <w:r w:rsidRPr="000458C4">
        <w:rPr>
          <w:i/>
          <w:iCs/>
          <w:color w:val="0000FF"/>
        </w:rPr>
        <w:t>subject NESHAP only applies to area sources</w:t>
      </w:r>
      <w:r w:rsidR="00B94B6F" w:rsidRPr="000458C4">
        <w:rPr>
          <w:i/>
          <w:iCs/>
          <w:color w:val="0000FF"/>
        </w:rPr>
        <w:t>.  This should</w:t>
      </w:r>
      <w:r w:rsidR="007648B2" w:rsidRPr="000458C4">
        <w:rPr>
          <w:i/>
          <w:iCs/>
          <w:color w:val="0000FF"/>
        </w:rPr>
        <w:t xml:space="preserve"> </w:t>
      </w:r>
      <w:r w:rsidR="00B94B6F" w:rsidRPr="000458C4">
        <w:rPr>
          <w:i/>
          <w:iCs/>
          <w:color w:val="0000FF"/>
        </w:rPr>
        <w:t xml:space="preserve">be a rare case since even if a </w:t>
      </w:r>
      <w:r w:rsidR="00F111FF" w:rsidRPr="000458C4">
        <w:rPr>
          <w:i/>
          <w:iCs/>
          <w:color w:val="0000FF"/>
        </w:rPr>
        <w:t xml:space="preserve">given </w:t>
      </w:r>
      <w:r w:rsidR="00B94B6F" w:rsidRPr="000458C4">
        <w:rPr>
          <w:i/>
          <w:iCs/>
          <w:color w:val="0000FF"/>
        </w:rPr>
        <w:t>NESHAP applies only to area sour</w:t>
      </w:r>
      <w:r w:rsidR="00F32B54">
        <w:rPr>
          <w:i/>
          <w:iCs/>
          <w:color w:val="0000FF"/>
        </w:rPr>
        <w:t>c</w:t>
      </w:r>
      <w:r w:rsidR="00B94B6F" w:rsidRPr="000458C4">
        <w:rPr>
          <w:i/>
          <w:iCs/>
          <w:color w:val="0000FF"/>
        </w:rPr>
        <w:t>es, there will usually be a correspo</w:t>
      </w:r>
      <w:r w:rsidR="007648B2" w:rsidRPr="000458C4">
        <w:rPr>
          <w:i/>
          <w:iCs/>
          <w:color w:val="0000FF"/>
        </w:rPr>
        <w:t>nd</w:t>
      </w:r>
      <w:r w:rsidR="00B94B6F" w:rsidRPr="000458C4">
        <w:rPr>
          <w:i/>
          <w:iCs/>
          <w:color w:val="0000FF"/>
        </w:rPr>
        <w:t xml:space="preserve">ing NESHAP that applies to major sources for the </w:t>
      </w:r>
      <w:r w:rsidR="003544A9" w:rsidRPr="000458C4">
        <w:rPr>
          <w:i/>
          <w:iCs/>
          <w:color w:val="0000FF"/>
        </w:rPr>
        <w:t>same</w:t>
      </w:r>
      <w:r w:rsidR="00B94B6F" w:rsidRPr="000458C4">
        <w:rPr>
          <w:i/>
          <w:iCs/>
          <w:color w:val="0000FF"/>
        </w:rPr>
        <w:t xml:space="preserve"> source </w:t>
      </w:r>
      <w:r w:rsidR="007648B2" w:rsidRPr="000458C4">
        <w:rPr>
          <w:i/>
          <w:iCs/>
          <w:color w:val="0000FF"/>
        </w:rPr>
        <w:t>category</w:t>
      </w:r>
      <w:r w:rsidRPr="000458C4">
        <w:rPr>
          <w:i/>
          <w:iCs/>
          <w:color w:val="0000FF"/>
        </w:rPr>
        <w:t>)</w:t>
      </w:r>
    </w:p>
    <w:p w14:paraId="0CD98947" w14:textId="2D95D73C" w:rsidR="00136F70" w:rsidRDefault="00136F70" w:rsidP="007A60F3">
      <w:pPr>
        <w:widowControl w:val="0"/>
        <w:rPr>
          <w:rFonts w:cs="Arial"/>
          <w:iCs/>
          <w:color w:val="000000"/>
        </w:rPr>
      </w:pPr>
    </w:p>
    <w:p w14:paraId="59BAD13C" w14:textId="5DEA118F" w:rsidR="00411CB4" w:rsidRDefault="00411CB4" w:rsidP="007A60F3">
      <w:pPr>
        <w:widowControl w:val="0"/>
      </w:pPr>
      <w:r w:rsidRPr="0091537E">
        <w:t xml:space="preserve">A key concept of NESHAP applicability is the difference between </w:t>
      </w:r>
      <w:r w:rsidRPr="0091537E">
        <w:rPr>
          <w:i/>
          <w:iCs/>
        </w:rPr>
        <w:t>major sources</w:t>
      </w:r>
      <w:r w:rsidRPr="0091537E">
        <w:t xml:space="preserve"> and </w:t>
      </w:r>
      <w:r w:rsidRPr="0091537E">
        <w:rPr>
          <w:i/>
          <w:iCs/>
        </w:rPr>
        <w:t xml:space="preserve">area sources </w:t>
      </w:r>
      <w:r w:rsidRPr="0091537E">
        <w:t xml:space="preserve">of HAPs.  A </w:t>
      </w:r>
      <w:r w:rsidRPr="0091537E">
        <w:rPr>
          <w:i/>
          <w:iCs/>
        </w:rPr>
        <w:t>major source</w:t>
      </w:r>
      <w:r w:rsidRPr="0091537E">
        <w:t xml:space="preserve"> of HAPs has the potential to emit</w:t>
      </w:r>
      <w:r>
        <w:t>, including fugitives,</w:t>
      </w:r>
      <w:r w:rsidRPr="0091537E">
        <w:t xml:space="preserve"> of 10 </w:t>
      </w:r>
      <w:r>
        <w:t>tons per year</w:t>
      </w:r>
      <w:r w:rsidRPr="0091537E">
        <w:t xml:space="preserve"> or more of any single HAP or 25 </w:t>
      </w:r>
      <w:r>
        <w:t>tons per year</w:t>
      </w:r>
      <w:r w:rsidRPr="0091537E">
        <w:t xml:space="preserve"> or more of any combination of HAPs</w:t>
      </w:r>
      <w:r>
        <w:t>, or such lesser quantity as US EPA may establish by rule</w:t>
      </w:r>
      <w:r w:rsidRPr="0091537E">
        <w:t xml:space="preserve">.  An </w:t>
      </w:r>
      <w:r w:rsidRPr="0091537E">
        <w:rPr>
          <w:i/>
          <w:iCs/>
        </w:rPr>
        <w:t>area source</w:t>
      </w:r>
      <w:r w:rsidRPr="0091537E">
        <w:t xml:space="preserve"> of HAPs is any stationary source that is not a </w:t>
      </w:r>
      <w:r w:rsidRPr="0091537E">
        <w:rPr>
          <w:i/>
          <w:iCs/>
        </w:rPr>
        <w:t>major source</w:t>
      </w:r>
      <w:r w:rsidRPr="0091537E">
        <w:t xml:space="preserve"> of HAPs.</w:t>
      </w:r>
    </w:p>
    <w:p w14:paraId="71A70E61" w14:textId="77777777" w:rsidR="00F35012" w:rsidRDefault="00F35012" w:rsidP="007A60F3">
      <w:pPr>
        <w:widowControl w:val="0"/>
      </w:pPr>
    </w:p>
    <w:p w14:paraId="7E8B207E" w14:textId="0400E605" w:rsidR="00E14816" w:rsidRPr="00993B55" w:rsidRDefault="00F35012" w:rsidP="007A60F3">
      <w:pPr>
        <w:widowControl w:val="0"/>
      </w:pPr>
      <w:r>
        <w:t>[</w:t>
      </w:r>
      <w:r w:rsidRPr="00A30BFD">
        <w:rPr>
          <w:color w:val="0000FF"/>
        </w:rPr>
        <w:t xml:space="preserve">As </w:t>
      </w:r>
      <w:r>
        <w:rPr>
          <w:color w:val="0000FF"/>
        </w:rPr>
        <w:t>determined</w:t>
      </w:r>
      <w:r w:rsidRPr="00A30BFD">
        <w:rPr>
          <w:color w:val="0000FF"/>
        </w:rPr>
        <w:t xml:space="preserve"> in Appendix </w:t>
      </w:r>
      <w:r w:rsidR="00E777D9">
        <w:rPr>
          <w:color w:val="0000FF"/>
        </w:rPr>
        <w:t>N</w:t>
      </w:r>
      <w:r>
        <w:rPr>
          <w:color w:val="0000FF"/>
        </w:rPr>
        <w:t xml:space="preserve"> </w:t>
      </w:r>
      <w:r w:rsidRPr="0091537E">
        <w:rPr>
          <w:color w:val="0000FF"/>
          <w:u w:val="single"/>
        </w:rPr>
        <w:t>or</w:t>
      </w:r>
      <w:r w:rsidRPr="0091537E">
        <w:rPr>
          <w:color w:val="0000FF"/>
        </w:rPr>
        <w:t xml:space="preserve"> reference </w:t>
      </w:r>
      <w:r>
        <w:rPr>
          <w:color w:val="0000FF"/>
        </w:rPr>
        <w:t>a previous determination]</w:t>
      </w:r>
      <w:r w:rsidRPr="00A30BFD">
        <w:rPr>
          <w:color w:val="0000FF"/>
        </w:rPr>
        <w:t>,</w:t>
      </w:r>
      <w:r>
        <w:t xml:space="preserve"> the facility is a </w:t>
      </w:r>
      <w:r w:rsidRPr="0091537E">
        <w:rPr>
          <w:i/>
          <w:iCs/>
        </w:rPr>
        <w:t>major</w:t>
      </w:r>
      <w:r>
        <w:t xml:space="preserve"> </w:t>
      </w:r>
      <w:r w:rsidRPr="0091537E">
        <w:rPr>
          <w:i/>
          <w:iCs/>
        </w:rPr>
        <w:t>source</w:t>
      </w:r>
      <w:r>
        <w:t xml:space="preserve"> of hazardous air pollutant (HAP) emissions. </w:t>
      </w:r>
      <w:r w:rsidRPr="00C4518C">
        <w:rPr>
          <w:color w:val="0000FF"/>
        </w:rPr>
        <w:t>[</w:t>
      </w:r>
      <w:r>
        <w:rPr>
          <w:color w:val="0000FF"/>
        </w:rPr>
        <w:t>I</w:t>
      </w:r>
      <w:r w:rsidRPr="00C4518C">
        <w:rPr>
          <w:color w:val="0000FF"/>
        </w:rPr>
        <w:t xml:space="preserve">nsert </w:t>
      </w:r>
      <w:r>
        <w:rPr>
          <w:color w:val="0000FF"/>
        </w:rPr>
        <w:t>NESHAP</w:t>
      </w:r>
      <w:r w:rsidRPr="00C4518C">
        <w:rPr>
          <w:color w:val="0000FF"/>
        </w:rPr>
        <w:t xml:space="preserve"> Title</w:t>
      </w:r>
      <w:r>
        <w:rPr>
          <w:color w:val="0000FF"/>
        </w:rPr>
        <w:t xml:space="preserve">, e.g. 40 CFR Part 63, Subpart </w:t>
      </w:r>
      <w:r w:rsidR="009838D6">
        <w:rPr>
          <w:color w:val="0000FF"/>
        </w:rPr>
        <w:t>MMMMMM</w:t>
      </w:r>
      <w:r>
        <w:rPr>
          <w:color w:val="0000FF"/>
        </w:rPr>
        <w:t xml:space="preserve"> (</w:t>
      </w:r>
      <w:r w:rsidR="009838D6" w:rsidRPr="00AE4CC2">
        <w:rPr>
          <w:color w:val="0000FF"/>
        </w:rPr>
        <w:t>National Emission Standards for Hazardous Air Pollutants for Carbon Black Production Area Sources)</w:t>
      </w:r>
      <w:r w:rsidR="00982B1B" w:rsidRPr="00AE4CC2">
        <w:rPr>
          <w:color w:val="0000FF"/>
        </w:rPr>
        <w:t>]</w:t>
      </w:r>
      <w:r w:rsidR="009838D6" w:rsidRPr="00993B55">
        <w:t xml:space="preserve"> </w:t>
      </w:r>
      <w:r w:rsidRPr="006878ED">
        <w:t xml:space="preserve">applies to </w:t>
      </w:r>
      <w:r w:rsidRPr="00C4518C">
        <w:rPr>
          <w:color w:val="0000FF"/>
        </w:rPr>
        <w:t>[</w:t>
      </w:r>
      <w:r>
        <w:rPr>
          <w:color w:val="0000FF"/>
        </w:rPr>
        <w:t>i</w:t>
      </w:r>
      <w:r w:rsidRPr="00C4518C">
        <w:rPr>
          <w:color w:val="0000FF"/>
        </w:rPr>
        <w:t xml:space="preserve">nsert operation </w:t>
      </w:r>
      <w:r>
        <w:rPr>
          <w:color w:val="0000FF"/>
        </w:rPr>
        <w:t xml:space="preserve">or stationary source </w:t>
      </w:r>
      <w:r w:rsidRPr="00C4518C">
        <w:rPr>
          <w:color w:val="0000FF"/>
        </w:rPr>
        <w:t>description]</w:t>
      </w:r>
      <w:r>
        <w:rPr>
          <w:color w:val="0000FF"/>
        </w:rPr>
        <w:t xml:space="preserve"> </w:t>
      </w:r>
      <w:r>
        <w:t xml:space="preserve">at </w:t>
      </w:r>
      <w:r w:rsidR="001E6562">
        <w:rPr>
          <w:i/>
          <w:iCs/>
          <w:color w:val="0000FF"/>
        </w:rPr>
        <w:t>area</w:t>
      </w:r>
      <w:r w:rsidRPr="0091537E">
        <w:rPr>
          <w:color w:val="0000FF"/>
        </w:rPr>
        <w:t xml:space="preserve"> </w:t>
      </w:r>
      <w:r w:rsidRPr="0091537E">
        <w:rPr>
          <w:i/>
          <w:iCs/>
          <w:color w:val="0000FF"/>
        </w:rPr>
        <w:t>sources</w:t>
      </w:r>
      <w:r w:rsidRPr="0091537E">
        <w:t xml:space="preserve"> </w:t>
      </w:r>
      <w:r>
        <w:t xml:space="preserve">of HAP emissions. </w:t>
      </w:r>
      <w:r w:rsidDel="00E67B30">
        <w:rPr>
          <w:spacing w:val="-3"/>
        </w:rPr>
        <w:t xml:space="preserve"> </w:t>
      </w:r>
      <w:r w:rsidR="002F2271">
        <w:rPr>
          <w:spacing w:val="-3"/>
        </w:rPr>
        <w:t xml:space="preserve">However. since </w:t>
      </w:r>
      <w:r w:rsidR="002F2271" w:rsidRPr="0091537E">
        <w:rPr>
          <w:color w:val="0000FF"/>
        </w:rPr>
        <w:t xml:space="preserve">[Facility Name] </w:t>
      </w:r>
      <w:r w:rsidR="002F2271">
        <w:rPr>
          <w:spacing w:val="-3"/>
        </w:rPr>
        <w:t xml:space="preserve">is located at an </w:t>
      </w:r>
      <w:r w:rsidR="002F2271" w:rsidRPr="00AE4CC2">
        <w:rPr>
          <w:i/>
          <w:iCs/>
          <w:spacing w:val="-3"/>
        </w:rPr>
        <w:t>major source</w:t>
      </w:r>
      <w:r w:rsidR="002F2271">
        <w:rPr>
          <w:spacing w:val="-3"/>
        </w:rPr>
        <w:t xml:space="preserve"> of HAP emissions, this NESHAP does not apply</w:t>
      </w:r>
      <w:r w:rsidR="002F2271">
        <w:t>, and no further discussion of this NESHAP is required.</w:t>
      </w:r>
    </w:p>
    <w:p w14:paraId="49C9D751" w14:textId="5FC4F548" w:rsidR="00D3665A" w:rsidRDefault="00D3665A" w:rsidP="007A60F3">
      <w:pPr>
        <w:widowControl w:val="0"/>
        <w:rPr>
          <w:rFonts w:cs="Arial"/>
          <w:iCs/>
          <w:color w:val="000000"/>
        </w:rPr>
      </w:pPr>
    </w:p>
    <w:p w14:paraId="2202A440" w14:textId="5B4D5C03" w:rsidR="009535DB" w:rsidRDefault="009535DB" w:rsidP="007A60F3">
      <w:pPr>
        <w:widowControl w:val="0"/>
        <w:rPr>
          <w:rFonts w:cs="Arial"/>
          <w:iCs/>
          <w:color w:val="000000"/>
        </w:rPr>
      </w:pPr>
      <w:r>
        <w:t>No other</w:t>
      </w:r>
      <w:r w:rsidRPr="00993B55">
        <w:t xml:space="preserve"> </w:t>
      </w:r>
      <w:r>
        <w:t>NESHAP</w:t>
      </w:r>
      <w:r w:rsidRPr="00993B55">
        <w:t xml:space="preserve"> apply to </w:t>
      </w:r>
      <w:r w:rsidRPr="00993B55">
        <w:rPr>
          <w:color w:val="0000FF"/>
        </w:rPr>
        <w:t xml:space="preserve">[insert operation </w:t>
      </w:r>
      <w:r>
        <w:rPr>
          <w:color w:val="0000FF"/>
        </w:rPr>
        <w:t>or stationary source description</w:t>
      </w:r>
      <w:r w:rsidRPr="00993B55">
        <w:rPr>
          <w:color w:val="0000FF"/>
        </w:rPr>
        <w:t>]</w:t>
      </w:r>
      <w:r>
        <w:rPr>
          <w:color w:val="0000FF"/>
        </w:rPr>
        <w:t>;</w:t>
      </w:r>
      <w:r w:rsidRPr="0016599F">
        <w:t xml:space="preserve"> </w:t>
      </w:r>
      <w:r w:rsidRPr="00C4518C">
        <w:t xml:space="preserve">therefore, no further discussion of </w:t>
      </w:r>
      <w:r>
        <w:t>NESHAP</w:t>
      </w:r>
      <w:r w:rsidRPr="00C4518C">
        <w:t xml:space="preserve"> is required.</w:t>
      </w:r>
    </w:p>
    <w:p w14:paraId="0E305614" w14:textId="77777777" w:rsidR="000177D5" w:rsidRPr="00545278" w:rsidRDefault="000177D5" w:rsidP="00E75CEC">
      <w:pPr>
        <w:pStyle w:val="Heading4"/>
      </w:pPr>
      <w:r w:rsidRPr="00545278">
        <w:lastRenderedPageBreak/>
        <w:t>Rule 4101</w:t>
      </w:r>
      <w:r w:rsidRPr="00545278">
        <w:tab/>
        <w:t>Visible Emissions</w:t>
      </w:r>
    </w:p>
    <w:p w14:paraId="43EDE159" w14:textId="6323C7B8" w:rsidR="000177D5" w:rsidRPr="00993B55" w:rsidRDefault="000177D5" w:rsidP="007A60F3">
      <w:pPr>
        <w:widowControl w:val="0"/>
        <w:rPr>
          <w:color w:val="FF0000"/>
        </w:rPr>
      </w:pPr>
      <w:r w:rsidRPr="00993B55">
        <w:rPr>
          <w:color w:val="FF0000"/>
        </w:rPr>
        <w:t xml:space="preserve">Rule 4101 states that no person shall discharge air contaminant shall which is as dark as or darker than 20% opacity.  Discuss </w:t>
      </w:r>
      <w:r w:rsidR="008144C0">
        <w:rPr>
          <w:color w:val="FF0000"/>
        </w:rPr>
        <w:t xml:space="preserve">the </w:t>
      </w:r>
      <w:r w:rsidRPr="00993B55">
        <w:rPr>
          <w:color w:val="FF0000"/>
        </w:rPr>
        <w:t xml:space="preserve">compliance </w:t>
      </w:r>
      <w:r w:rsidR="008144C0">
        <w:rPr>
          <w:color w:val="FF0000"/>
        </w:rPr>
        <w:t>expectations</w:t>
      </w:r>
      <w:r w:rsidRPr="00993B55">
        <w:rPr>
          <w:color w:val="FF0000"/>
        </w:rPr>
        <w:t>.  Check inspection files for any prior violations or problems with opacity.</w:t>
      </w:r>
    </w:p>
    <w:p w14:paraId="17EAEAC7" w14:textId="77777777" w:rsidR="000177D5" w:rsidRPr="00993B55" w:rsidRDefault="000177D5" w:rsidP="007A60F3">
      <w:pPr>
        <w:widowControl w:val="0"/>
      </w:pPr>
    </w:p>
    <w:p w14:paraId="1E592296" w14:textId="77777777" w:rsidR="008144C0" w:rsidRPr="00827223" w:rsidRDefault="008144C0" w:rsidP="008144C0">
      <w:pPr>
        <w:tabs>
          <w:tab w:val="left" w:pos="1530"/>
        </w:tabs>
        <w:autoSpaceDE w:val="0"/>
        <w:autoSpaceDN w:val="0"/>
        <w:adjustRightInd w:val="0"/>
        <w:rPr>
          <w:i/>
          <w:iCs/>
          <w:color w:val="0000FF"/>
        </w:rPr>
      </w:pPr>
      <w:r>
        <w:rPr>
          <w:i/>
          <w:iCs/>
          <w:color w:val="0000FF"/>
          <w:u w:val="single"/>
        </w:rPr>
        <w:t>E</w:t>
      </w:r>
      <w:r w:rsidRPr="00295525">
        <w:rPr>
          <w:i/>
          <w:iCs/>
          <w:color w:val="0000FF"/>
          <w:u w:val="single"/>
        </w:rPr>
        <w:t>xample</w:t>
      </w:r>
      <w:r>
        <w:rPr>
          <w:i/>
          <w:iCs/>
          <w:color w:val="0000FF"/>
          <w:u w:val="single"/>
        </w:rPr>
        <w:t xml:space="preserve"> 1</w:t>
      </w:r>
      <w:r w:rsidRPr="00295525">
        <w:rPr>
          <w:i/>
          <w:iCs/>
          <w:color w:val="0000FF"/>
        </w:rPr>
        <w:t xml:space="preserve">: </w:t>
      </w:r>
      <w:r w:rsidRPr="00295525">
        <w:rPr>
          <w:i/>
          <w:iCs/>
          <w:color w:val="0000FF"/>
        </w:rPr>
        <w:tab/>
        <w:t>(For most permit units.)</w:t>
      </w:r>
    </w:p>
    <w:p w14:paraId="5C9086C5" w14:textId="2CD549C0" w:rsidR="008144C0" w:rsidRPr="00295525" w:rsidRDefault="008144C0" w:rsidP="008144C0">
      <w:pPr>
        <w:rPr>
          <w:rFonts w:cs="Arial"/>
        </w:rPr>
      </w:pPr>
      <w:r w:rsidRPr="00295525">
        <w:rPr>
          <w:rFonts w:cs="Arial"/>
        </w:rPr>
        <w:t xml:space="preserve">Rule 4101 states that no air contaminant shall be discharged into the atmosphere for a period or </w:t>
      </w:r>
      <w:r w:rsidRPr="00D256CA">
        <w:rPr>
          <w:rFonts w:cs="Arial"/>
        </w:rPr>
        <w:t xml:space="preserve">periods aggregating more than three minutes in any one hour which is as dark as, or darker than, Ringelmann 1 or 20% </w:t>
      </w:r>
      <w:r w:rsidRPr="000E2770">
        <w:rPr>
          <w:rFonts w:cs="Arial"/>
        </w:rPr>
        <w:t>opacity.  Therefore, the following condition will be listed on ATC</w:t>
      </w:r>
      <w:r w:rsidR="00D256CA" w:rsidRPr="000E2770">
        <w:t xml:space="preserve"> permits</w:t>
      </w:r>
      <w:r w:rsidRPr="000E2770">
        <w:t xml:space="preserve"> </w:t>
      </w:r>
      <w:r w:rsidRPr="000E2770">
        <w:rPr>
          <w:rFonts w:cs="Arial"/>
        </w:rPr>
        <w:t xml:space="preserve">as a mechanism </w:t>
      </w:r>
      <w:r w:rsidRPr="00295525">
        <w:rPr>
          <w:rFonts w:cs="Arial"/>
          <w:color w:val="000000"/>
        </w:rPr>
        <w:t>to ensure compliance:</w:t>
      </w:r>
    </w:p>
    <w:p w14:paraId="2F8F08D6" w14:textId="77777777" w:rsidR="008144C0" w:rsidRPr="00295525" w:rsidRDefault="008144C0" w:rsidP="008144C0">
      <w:pPr>
        <w:rPr>
          <w:rFonts w:cs="Arial"/>
          <w:bCs/>
          <w:color w:val="000000"/>
        </w:rPr>
      </w:pPr>
    </w:p>
    <w:p w14:paraId="1D52C858" w14:textId="0E0580E5" w:rsidR="008144C0" w:rsidRDefault="008144C0" w:rsidP="008144C0">
      <w:pPr>
        <w:numPr>
          <w:ilvl w:val="0"/>
          <w:numId w:val="50"/>
        </w:numPr>
        <w:tabs>
          <w:tab w:val="num" w:pos="720"/>
        </w:tabs>
        <w:ind w:left="720"/>
        <w:rPr>
          <w:rFonts w:cs="Arial"/>
          <w:bCs/>
          <w:color w:val="000000"/>
        </w:rPr>
      </w:pPr>
      <w:r w:rsidRPr="00295525">
        <w:rPr>
          <w:rFonts w:cs="Arial"/>
          <w:bCs/>
          <w:color w:val="000000"/>
        </w:rPr>
        <w:t>{15} No air contaminant shall be discharged into the atmosphere for a period or periods aggregating more than three minutes in any one hour which is as dark as, or darker than, Ringelmann 1 or 20% opacity. [District Rule 4101]</w:t>
      </w:r>
    </w:p>
    <w:p w14:paraId="042E85B8" w14:textId="77777777" w:rsidR="00127D56" w:rsidRDefault="00127D56" w:rsidP="000E2770">
      <w:pPr>
        <w:ind w:left="720"/>
        <w:rPr>
          <w:rFonts w:cs="Arial"/>
          <w:bCs/>
          <w:color w:val="000000"/>
        </w:rPr>
      </w:pPr>
    </w:p>
    <w:p w14:paraId="4F059588" w14:textId="77777777" w:rsidR="00127D56" w:rsidRPr="000E2770" w:rsidRDefault="00127D56" w:rsidP="00127D56">
      <w:pPr>
        <w:tabs>
          <w:tab w:val="left" w:pos="1530"/>
        </w:tabs>
        <w:autoSpaceDE w:val="0"/>
        <w:autoSpaceDN w:val="0"/>
        <w:adjustRightInd w:val="0"/>
        <w:rPr>
          <w:i/>
          <w:iCs/>
          <w:color w:val="0000FF"/>
        </w:rPr>
      </w:pPr>
      <w:r w:rsidRPr="000E2770">
        <w:rPr>
          <w:i/>
          <w:iCs/>
          <w:color w:val="0000FF"/>
          <w:u w:val="single"/>
        </w:rPr>
        <w:t>Example 2</w:t>
      </w:r>
      <w:r w:rsidRPr="000E2770">
        <w:rPr>
          <w:i/>
          <w:iCs/>
          <w:color w:val="0000FF"/>
        </w:rPr>
        <w:t xml:space="preserve">: </w:t>
      </w:r>
      <w:r w:rsidRPr="000E2770">
        <w:rPr>
          <w:i/>
          <w:iCs/>
          <w:color w:val="0000FF"/>
        </w:rPr>
        <w:tab/>
        <w:t>(For agricultural permits with fugitive PM emissions)</w:t>
      </w:r>
    </w:p>
    <w:p w14:paraId="3908DD2C" w14:textId="77777777" w:rsidR="00127D56" w:rsidRPr="000E2770" w:rsidRDefault="00127D56">
      <w:pPr>
        <w:rPr>
          <w:rFonts w:cs="Arial"/>
        </w:rPr>
      </w:pPr>
      <w:r w:rsidRPr="000E2770">
        <w:rPr>
          <w:rFonts w:cs="Arial"/>
        </w:rPr>
        <w:t xml:space="preserve">Rule 4101 states that no person shall discharge into the atmosphere emissions of any air contaminant aggregating more than 3 minutes in any hour which is as dark as or darker than Ringelmann 1 (or 20% opacity). </w:t>
      </w:r>
      <w:r w:rsidRPr="000E2770">
        <w:rPr>
          <w:rFonts w:cs="Arial"/>
          <w:szCs w:val="24"/>
        </w:rPr>
        <w:t xml:space="preserve">Pursuant to Section 4.12, emissions subject to or specifically exempt from Regulation VIII (Fugitive PM10 Prohibitions) are exempt from Rule 4101.  </w:t>
      </w:r>
    </w:p>
    <w:p w14:paraId="2419BFB2" w14:textId="77777777" w:rsidR="00127D56" w:rsidRPr="000E2770" w:rsidRDefault="00127D56">
      <w:pPr>
        <w:autoSpaceDE w:val="0"/>
        <w:autoSpaceDN w:val="0"/>
        <w:adjustRightInd w:val="0"/>
        <w:rPr>
          <w:rFonts w:cs="Arial"/>
        </w:rPr>
      </w:pPr>
    </w:p>
    <w:p w14:paraId="0ADBD9EC" w14:textId="77777777" w:rsidR="00127D56" w:rsidRPr="000E2770" w:rsidRDefault="00127D56">
      <w:pPr>
        <w:autoSpaceDE w:val="0"/>
        <w:autoSpaceDN w:val="0"/>
        <w:adjustRightInd w:val="0"/>
        <w:rPr>
          <w:rFonts w:cs="Arial"/>
        </w:rPr>
      </w:pPr>
      <w:r w:rsidRPr="000E2770">
        <w:rPr>
          <w:rFonts w:cs="Arial"/>
        </w:rPr>
        <w:t xml:space="preserve">Pursuant to District Rule 8011, Section 4.4, on-field agricultural sources are exempt from the requirements of Regulation VIII. On-field agricultural sources are defined in Rule 8011, Section 3.35 as activities conducted solely for the purpose of preparing land for the growing of crops or </w:t>
      </w:r>
      <w:r w:rsidRPr="000E2770">
        <w:rPr>
          <w:rFonts w:cs="Arial"/>
          <w:bCs/>
          <w:iCs/>
        </w:rPr>
        <w:t>the raising of fowl or animals</w:t>
      </w:r>
      <w:r w:rsidRPr="000E2770">
        <w:rPr>
          <w:rFonts w:cs="Arial"/>
        </w:rPr>
        <w:t>, such as brush or timber clearing, grubbing, scraping, ground excavation, land leveling, grading, turning under stalks, disking, or tilling.</w:t>
      </w:r>
    </w:p>
    <w:p w14:paraId="2F43E670" w14:textId="77777777" w:rsidR="00127D56" w:rsidRPr="000E2770" w:rsidRDefault="00127D56">
      <w:pPr>
        <w:autoSpaceDE w:val="0"/>
        <w:autoSpaceDN w:val="0"/>
        <w:adjustRightInd w:val="0"/>
        <w:rPr>
          <w:rFonts w:cs="Arial"/>
        </w:rPr>
      </w:pPr>
    </w:p>
    <w:p w14:paraId="5AEC16E6" w14:textId="6E07222F" w:rsidR="00127D56" w:rsidRDefault="00127D56">
      <w:pPr>
        <w:widowControl w:val="0"/>
        <w:autoSpaceDE w:val="0"/>
        <w:autoSpaceDN w:val="0"/>
        <w:adjustRightInd w:val="0"/>
        <w:rPr>
          <w:rFonts w:cs="Arial"/>
        </w:rPr>
      </w:pPr>
      <w:r w:rsidRPr="000E2770">
        <w:rPr>
          <w:rFonts w:cs="Arial"/>
        </w:rPr>
        <w:t>Therefore, activities conducted solely for the purpose of raising fowl or animals are exempt from the requirements of Regulation VIII and Rule 4101.</w:t>
      </w:r>
    </w:p>
    <w:p w14:paraId="5B2579CE" w14:textId="77777777" w:rsidR="000177D5" w:rsidRPr="00545278" w:rsidRDefault="000177D5" w:rsidP="00E75CEC">
      <w:pPr>
        <w:pStyle w:val="Heading4"/>
      </w:pPr>
      <w:r w:rsidRPr="00545278">
        <w:t>Rule 4102</w:t>
      </w:r>
      <w:r w:rsidRPr="00545278">
        <w:tab/>
        <w:t>Nuisance</w:t>
      </w:r>
    </w:p>
    <w:p w14:paraId="252C7F65" w14:textId="77777777" w:rsidR="003927AE" w:rsidRPr="0088348F" w:rsidRDefault="003927AE" w:rsidP="003927AE">
      <w:pPr>
        <w:rPr>
          <w:color w:val="FF0000"/>
        </w:rPr>
      </w:pPr>
      <w:r w:rsidRPr="0088348F">
        <w:rPr>
          <w:color w:val="FF0000"/>
        </w:rPr>
        <w:t>Rule 4102 states that no air contaminant shall be released into the atmosphere which causes a public nuisance.  Discuss how any potential nuisances (dust, smell, etc.) will be minimized.  Check inspection files for any prior nuisance reports or complaints.</w:t>
      </w:r>
    </w:p>
    <w:p w14:paraId="371FFC17" w14:textId="77777777" w:rsidR="003927AE" w:rsidRPr="0088348F" w:rsidRDefault="003927AE" w:rsidP="003927AE">
      <w:pPr>
        <w:tabs>
          <w:tab w:val="left" w:pos="-720"/>
          <w:tab w:val="left" w:pos="0"/>
        </w:tabs>
        <w:rPr>
          <w:color w:val="000000"/>
        </w:rPr>
      </w:pPr>
    </w:p>
    <w:p w14:paraId="6116D33F" w14:textId="77777777" w:rsidR="003927AE" w:rsidRPr="00B43C0A" w:rsidRDefault="003927AE" w:rsidP="003927AE">
      <w:pPr>
        <w:tabs>
          <w:tab w:val="left" w:pos="1530"/>
        </w:tabs>
        <w:autoSpaceDE w:val="0"/>
        <w:autoSpaceDN w:val="0"/>
        <w:adjustRightInd w:val="0"/>
        <w:rPr>
          <w:i/>
          <w:iCs/>
          <w:color w:val="0000FF"/>
        </w:rPr>
      </w:pPr>
      <w:r>
        <w:rPr>
          <w:i/>
          <w:iCs/>
          <w:color w:val="0000FF"/>
          <w:u w:val="single"/>
        </w:rPr>
        <w:t>E</w:t>
      </w:r>
      <w:r w:rsidRPr="0088348F">
        <w:rPr>
          <w:i/>
          <w:iCs/>
          <w:color w:val="0000FF"/>
          <w:u w:val="single"/>
        </w:rPr>
        <w:t>xample</w:t>
      </w:r>
      <w:r>
        <w:rPr>
          <w:i/>
          <w:iCs/>
          <w:color w:val="0000FF"/>
          <w:u w:val="single"/>
        </w:rPr>
        <w:t xml:space="preserve"> 1</w:t>
      </w:r>
      <w:r w:rsidRPr="0088348F">
        <w:rPr>
          <w:i/>
          <w:iCs/>
          <w:color w:val="0000FF"/>
        </w:rPr>
        <w:t xml:space="preserve">: </w:t>
      </w:r>
      <w:r w:rsidRPr="0088348F">
        <w:rPr>
          <w:i/>
          <w:iCs/>
          <w:color w:val="0000FF"/>
        </w:rPr>
        <w:tab/>
        <w:t>(For mos</w:t>
      </w:r>
      <w:r w:rsidRPr="00183833">
        <w:rPr>
          <w:i/>
          <w:iCs/>
          <w:color w:val="0000FF"/>
        </w:rPr>
        <w:t>t permit units.)</w:t>
      </w:r>
    </w:p>
    <w:p w14:paraId="43B3105F" w14:textId="77777777" w:rsidR="003927AE" w:rsidRPr="00B43C0A" w:rsidRDefault="003927AE" w:rsidP="003927AE">
      <w:pPr>
        <w:rPr>
          <w:rFonts w:cs="Arial"/>
          <w:color w:val="000000"/>
        </w:rPr>
      </w:pPr>
      <w:r w:rsidRPr="00B43C0A">
        <w:rPr>
          <w:rFonts w:cs="Arial"/>
          <w:color w:val="000000"/>
        </w:rPr>
        <w:t xml:space="preserve">Rule 4102 states that no air contaminant shall be released into the atmosphere which causes a public nuisance. </w:t>
      </w:r>
      <w:r w:rsidRPr="00B43C0A">
        <w:rPr>
          <w:rFonts w:cs="Arial"/>
        </w:rPr>
        <w:t xml:space="preserve">Public </w:t>
      </w:r>
      <w:r w:rsidRPr="00B43C0A">
        <w:rPr>
          <w:rFonts w:cs="Arial"/>
          <w:color w:val="000000"/>
        </w:rPr>
        <w:t>nuisance conditions are not expected as a result of these operations, provided the equipment is well maintained. The following condition will be listed on the ATC</w:t>
      </w:r>
      <w:r w:rsidRPr="00183833">
        <w:rPr>
          <w:rFonts w:cs="Arial"/>
          <w:color w:val="0000FF"/>
        </w:rPr>
        <w:t xml:space="preserve">(s) </w:t>
      </w:r>
      <w:r w:rsidRPr="00B43C0A">
        <w:rPr>
          <w:rFonts w:cs="Arial"/>
          <w:color w:val="000000"/>
        </w:rPr>
        <w:t>as a mechanism to ensure compliance:</w:t>
      </w:r>
    </w:p>
    <w:p w14:paraId="4787E959" w14:textId="77777777" w:rsidR="003927AE" w:rsidRPr="00B43C0A" w:rsidRDefault="003927AE" w:rsidP="003927AE">
      <w:pPr>
        <w:rPr>
          <w:rFonts w:cs="Arial"/>
          <w:bCs/>
          <w:color w:val="000000"/>
        </w:rPr>
      </w:pPr>
    </w:p>
    <w:p w14:paraId="440FD732" w14:textId="77777777" w:rsidR="003927AE" w:rsidRPr="00C67D51" w:rsidRDefault="003927AE" w:rsidP="003927AE">
      <w:pPr>
        <w:numPr>
          <w:ilvl w:val="0"/>
          <w:numId w:val="50"/>
        </w:numPr>
        <w:ind w:left="720"/>
        <w:rPr>
          <w:rFonts w:cs="Arial"/>
          <w:bCs/>
          <w:color w:val="000000"/>
        </w:rPr>
      </w:pPr>
      <w:r w:rsidRPr="00B43C0A">
        <w:rPr>
          <w:rFonts w:cs="Arial"/>
          <w:color w:val="000000"/>
        </w:rPr>
        <w:t>{98} No air contaminant shall be released into the atmosphere which causes a public nuisance. [District Rule 4102]</w:t>
      </w:r>
    </w:p>
    <w:p w14:paraId="2EBF672A" w14:textId="77777777" w:rsidR="003927AE" w:rsidRDefault="003927AE" w:rsidP="003927AE">
      <w:pPr>
        <w:ind w:left="720"/>
        <w:rPr>
          <w:rFonts w:cs="Arial"/>
          <w:bCs/>
          <w:color w:val="000000"/>
        </w:rPr>
      </w:pPr>
    </w:p>
    <w:p w14:paraId="7FE59377" w14:textId="77777777" w:rsidR="003927AE" w:rsidRPr="000E2770" w:rsidRDefault="003927AE" w:rsidP="003927AE">
      <w:pPr>
        <w:tabs>
          <w:tab w:val="left" w:pos="1530"/>
        </w:tabs>
        <w:autoSpaceDE w:val="0"/>
        <w:autoSpaceDN w:val="0"/>
        <w:adjustRightInd w:val="0"/>
        <w:rPr>
          <w:i/>
          <w:iCs/>
          <w:color w:val="0000FF"/>
          <w:u w:val="single"/>
        </w:rPr>
      </w:pPr>
      <w:r w:rsidRPr="000E2770">
        <w:rPr>
          <w:i/>
          <w:iCs/>
          <w:color w:val="0000FF"/>
          <w:u w:val="single"/>
        </w:rPr>
        <w:t>Example 2</w:t>
      </w:r>
      <w:r w:rsidRPr="000E2770">
        <w:rPr>
          <w:i/>
          <w:iCs/>
          <w:color w:val="0000FF"/>
        </w:rPr>
        <w:t xml:space="preserve">: </w:t>
      </w:r>
      <w:r w:rsidRPr="000E2770">
        <w:rPr>
          <w:i/>
          <w:iCs/>
          <w:color w:val="0000FF"/>
        </w:rPr>
        <w:tab/>
        <w:t>(For agricultural permit units at Dairies and other CAFOs)</w:t>
      </w:r>
    </w:p>
    <w:p w14:paraId="1E7CC2A9" w14:textId="77777777" w:rsidR="003927AE" w:rsidRPr="000E2770" w:rsidRDefault="003927AE" w:rsidP="003927AE">
      <w:pPr>
        <w:rPr>
          <w:rFonts w:cs="Arial"/>
        </w:rPr>
      </w:pPr>
      <w:r w:rsidRPr="000E2770">
        <w:rPr>
          <w:rFonts w:cs="Arial"/>
        </w:rPr>
        <w:lastRenderedPageBreak/>
        <w:t>Rule 4102 states that no air contaminant shall be released into the atmosphere which causes a public nuisance. Pursuant to Section 3.1, the provisions of this rule do not apply to odors emanating from agricultural operations in the growing of crops or raising of fowl or animals. Therefore, the provisions of this rule are not applicable to odors emanating from this agricultural operation.</w:t>
      </w:r>
    </w:p>
    <w:p w14:paraId="3A067783" w14:textId="678A1BE5" w:rsidR="000177D5" w:rsidRPr="00545278" w:rsidRDefault="000177D5" w:rsidP="00EF29A9">
      <w:pPr>
        <w:pStyle w:val="Heading4"/>
      </w:pPr>
      <w:bookmarkStart w:id="10" w:name="_Hlk221862568"/>
      <w:r w:rsidRPr="00545278">
        <w:t xml:space="preserve">California Health &amp; Safety Code 41700 </w:t>
      </w:r>
      <w:bookmarkEnd w:id="10"/>
      <w:r w:rsidRPr="00545278">
        <w:t>(</w:t>
      </w:r>
      <w:r w:rsidR="00F86ACD">
        <w:t>General Limitations</w:t>
      </w:r>
      <w:r w:rsidRPr="00545278">
        <w:t>)</w:t>
      </w:r>
    </w:p>
    <w:p w14:paraId="6252922E" w14:textId="28E20C56" w:rsidR="00F86ACD" w:rsidRPr="00F86ACD" w:rsidRDefault="00965AF5" w:rsidP="00E51B81">
      <w:pPr>
        <w:widowControl w:val="0"/>
      </w:pPr>
      <w:r>
        <w:t xml:space="preserve">CH&amp;SC </w:t>
      </w:r>
      <w:r w:rsidRPr="00F86ACD">
        <w:t>Section 4</w:t>
      </w:r>
      <w:r>
        <w:t>1700 states that e</w:t>
      </w:r>
      <w:r w:rsidR="00F86ACD" w:rsidRPr="00F86ACD">
        <w:t xml:space="preserve">xcept as otherwise provided in </w:t>
      </w:r>
      <w:r w:rsidR="007F0F37">
        <w:t xml:space="preserve">CH&amp;SC </w:t>
      </w:r>
      <w:r w:rsidR="00F86ACD" w:rsidRPr="00F86ACD">
        <w:t>Section 41705, a person shall not discharge from any source whatsoever quantities of air contaminants or other material that cause injury, detriment, nuisance, or annoyance to any considerable number of persons or to the public, or that endanger the comfort, repose, health, or safety of any of those persons or the public, or that cause, or have a natural tendency to cause, injury or damage to business or property.</w:t>
      </w:r>
    </w:p>
    <w:p w14:paraId="780F04A6" w14:textId="409ACF5B" w:rsidR="00F86ACD" w:rsidRDefault="00F86ACD" w:rsidP="00E51B81">
      <w:pPr>
        <w:widowControl w:val="0"/>
      </w:pPr>
    </w:p>
    <w:p w14:paraId="4E65DF5C" w14:textId="59B5C931" w:rsidR="00D86BEC" w:rsidRDefault="00D5325D" w:rsidP="00D86BEC">
      <w:pPr>
        <w:widowControl w:val="0"/>
      </w:pPr>
      <w:r>
        <w:t>The District’s health Risk Management Review (RMR) program and policies assist with demonstrating compliance with the afore</w:t>
      </w:r>
      <w:r w:rsidR="00C80287">
        <w:t>mentioned CH&amp;SC requirements</w:t>
      </w:r>
      <w:r w:rsidR="00C6444A">
        <w:t xml:space="preserve">.  </w:t>
      </w:r>
      <w:r w:rsidR="00965AF5">
        <w:t xml:space="preserve">One </w:t>
      </w:r>
      <w:r w:rsidR="00C6444A">
        <w:t xml:space="preserve">of the RMR program goals </w:t>
      </w:r>
      <w:r w:rsidR="00965AF5">
        <w:t>is to minimize the increase that new and modified stationary sources add to the existing toxic load and any potentially significant public health impacts associated with the release of those airborne toxic emissions.</w:t>
      </w:r>
      <w:r w:rsidR="002D6358">
        <w:t xml:space="preserve"> </w:t>
      </w:r>
      <w:r w:rsidR="00965AF5" w:rsidRPr="00B7186A">
        <w:t xml:space="preserve"> </w:t>
      </w:r>
      <w:r w:rsidR="00965AF5">
        <w:t>In</w:t>
      </w:r>
      <w:r w:rsidR="00965AF5" w:rsidRPr="00B7186A">
        <w:t xml:space="preserve"> </w:t>
      </w:r>
      <w:r w:rsidR="00965AF5">
        <w:t>order</w:t>
      </w:r>
      <w:r w:rsidR="00965AF5" w:rsidRPr="00B7186A">
        <w:t xml:space="preserve"> </w:t>
      </w:r>
      <w:r w:rsidR="00965AF5">
        <w:t>to</w:t>
      </w:r>
      <w:r w:rsidR="00965AF5" w:rsidRPr="00B7186A">
        <w:t xml:space="preserve"> </w:t>
      </w:r>
      <w:r w:rsidR="00965AF5">
        <w:t>achieve</w:t>
      </w:r>
      <w:r w:rsidR="00965AF5" w:rsidRPr="00B7186A">
        <w:t xml:space="preserve"> </w:t>
      </w:r>
      <w:r w:rsidR="00965AF5">
        <w:t>this</w:t>
      </w:r>
      <w:r w:rsidR="00965AF5" w:rsidRPr="00B7186A">
        <w:t xml:space="preserve"> </w:t>
      </w:r>
      <w:r w:rsidR="00965AF5">
        <w:t>goal,</w:t>
      </w:r>
      <w:r w:rsidR="00965AF5" w:rsidRPr="00B7186A">
        <w:t xml:space="preserve"> </w:t>
      </w:r>
      <w:r w:rsidR="00965AF5">
        <w:t>the</w:t>
      </w:r>
      <w:r w:rsidR="00965AF5" w:rsidRPr="00B7186A">
        <w:t xml:space="preserve"> </w:t>
      </w:r>
      <w:r w:rsidR="00965AF5">
        <w:t>District</w:t>
      </w:r>
      <w:r w:rsidR="00965AF5" w:rsidRPr="00B7186A">
        <w:t xml:space="preserve"> </w:t>
      </w:r>
      <w:r w:rsidR="00D202CB" w:rsidRPr="00B7186A">
        <w:t>performs a</w:t>
      </w:r>
      <w:r w:rsidR="00B7186A" w:rsidRPr="00B7186A">
        <w:t xml:space="preserve"> Health Risk Assessment (HRA) to </w:t>
      </w:r>
      <w:r w:rsidR="00965AF5">
        <w:t>evaluate</w:t>
      </w:r>
      <w:r w:rsidR="00965AF5" w:rsidRPr="00B7186A">
        <w:t xml:space="preserve"> </w:t>
      </w:r>
      <w:r w:rsidR="00965AF5">
        <w:t>the</w:t>
      </w:r>
      <w:r w:rsidR="00965AF5" w:rsidRPr="00B7186A">
        <w:t xml:space="preserve"> </w:t>
      </w:r>
      <w:r w:rsidR="00965AF5">
        <w:t>health</w:t>
      </w:r>
      <w:r w:rsidR="00965AF5" w:rsidRPr="00B7186A">
        <w:t xml:space="preserve"> </w:t>
      </w:r>
      <w:r w:rsidR="00965AF5">
        <w:t>risk</w:t>
      </w:r>
      <w:r w:rsidR="00965AF5" w:rsidRPr="00B7186A">
        <w:t xml:space="preserve"> of </w:t>
      </w:r>
      <w:r w:rsidR="00C57CC6">
        <w:t xml:space="preserve">any </w:t>
      </w:r>
      <w:r w:rsidR="00B7186A" w:rsidRPr="00B7186A">
        <w:t xml:space="preserve">proposed </w:t>
      </w:r>
      <w:r w:rsidR="00965AF5">
        <w:t>stationary sourc</w:t>
      </w:r>
      <w:r w:rsidR="00D202CB">
        <w:t xml:space="preserve">e </w:t>
      </w:r>
      <w:r w:rsidR="00B62AE4">
        <w:t xml:space="preserve">ATC permitting </w:t>
      </w:r>
      <w:r w:rsidR="00D202CB">
        <w:t>project</w:t>
      </w:r>
      <w:r w:rsidR="00C57CC6">
        <w:t xml:space="preserve"> with a potential increase in air toxics emissions.</w:t>
      </w:r>
      <w:r w:rsidR="00D86BEC">
        <w:t xml:space="preserve">  Pr</w:t>
      </w:r>
      <w:r w:rsidR="00D86BEC" w:rsidRPr="009501A5">
        <w:t xml:space="preserve">ojects </w:t>
      </w:r>
      <w:r w:rsidR="00D86BEC">
        <w:t>that may cause an</w:t>
      </w:r>
      <w:r w:rsidR="00D86BEC" w:rsidRPr="009501A5">
        <w:t xml:space="preserve"> increase in hourly, daily, or annual potential to emit </w:t>
      </w:r>
      <w:r w:rsidR="00D86BEC">
        <w:t xml:space="preserve">of air toxics or projects that could increase the public exposure to air toxics </w:t>
      </w:r>
      <w:r w:rsidR="00D86BEC" w:rsidRPr="009501A5">
        <w:t xml:space="preserve">undergo </w:t>
      </w:r>
      <w:r w:rsidR="00D86BEC">
        <w:t>this analysis</w:t>
      </w:r>
      <w:r w:rsidR="00D86BEC" w:rsidRPr="009501A5">
        <w:t xml:space="preserve"> </w:t>
      </w:r>
      <w:r w:rsidR="00D86BEC" w:rsidRPr="00D86BEC">
        <w:t>to ensure the possible adverse health risk on nearby residents or businesses</w:t>
      </w:r>
      <w:r w:rsidR="00D86BEC">
        <w:t>, including the cumulative health risk from past projects dating back to the adoption of the program, does not exceed specified significance levels.</w:t>
      </w:r>
    </w:p>
    <w:p w14:paraId="46BF80E3" w14:textId="77777777" w:rsidR="00D86BEC" w:rsidRDefault="00D86BEC" w:rsidP="00D86BEC">
      <w:pPr>
        <w:widowControl w:val="0"/>
      </w:pPr>
    </w:p>
    <w:p w14:paraId="7CF06378" w14:textId="52260234" w:rsidR="000177D5" w:rsidRPr="007F4F1B" w:rsidRDefault="00C57CC6" w:rsidP="00E51B81">
      <w:pPr>
        <w:widowControl w:val="0"/>
      </w:pPr>
      <w:r>
        <w:t>The</w:t>
      </w:r>
      <w:r w:rsidR="00965AF5">
        <w:t xml:space="preserve"> District’s risk management polic</w:t>
      </w:r>
      <w:r>
        <w:t xml:space="preserve">ies are </w:t>
      </w:r>
      <w:hyperlink r:id="rId26" w:history="1">
        <w:r w:rsidRPr="003819CB">
          <w:rPr>
            <w:rStyle w:val="Hyperlink"/>
          </w:rPr>
          <w:t>APR 1905</w:t>
        </w:r>
        <w:r w:rsidR="003819CB" w:rsidRPr="003819CB">
          <w:rPr>
            <w:rStyle w:val="Hyperlink"/>
          </w:rPr>
          <w:t xml:space="preserve"> (Risk Management Policy for Permitting New and Modified Sources)</w:t>
        </w:r>
      </w:hyperlink>
      <w:r>
        <w:t xml:space="preserve"> and </w:t>
      </w:r>
      <w:hyperlink r:id="rId27" w:history="1">
        <w:r w:rsidRPr="003819CB">
          <w:rPr>
            <w:rStyle w:val="Hyperlink"/>
          </w:rPr>
          <w:t>APR 1906</w:t>
        </w:r>
        <w:r w:rsidR="003819CB" w:rsidRPr="003819CB">
          <w:rPr>
            <w:rStyle w:val="Hyperlink"/>
          </w:rPr>
          <w:t xml:space="preserve"> (Framework for Performing Health Risk Assessments)</w:t>
        </w:r>
      </w:hyperlink>
      <w:r w:rsidR="003819CB">
        <w:t xml:space="preserve">.  </w:t>
      </w:r>
      <w:r w:rsidR="0008649F">
        <w:t xml:space="preserve">Under District policy, </w:t>
      </w:r>
      <w:r w:rsidR="000F314E">
        <w:t>sign</w:t>
      </w:r>
      <w:r w:rsidR="00B01B0A">
        <w:t>i</w:t>
      </w:r>
      <w:r w:rsidR="000F314E">
        <w:t>ficance levels</w:t>
      </w:r>
      <w:r w:rsidR="00302233">
        <w:t xml:space="preserve"> </w:t>
      </w:r>
      <w:r w:rsidR="0008649F">
        <w:t xml:space="preserve">are established </w:t>
      </w:r>
      <w:r w:rsidR="00302233">
        <w:t>for cance</w:t>
      </w:r>
      <w:r w:rsidR="00D13060">
        <w:t>r</w:t>
      </w:r>
      <w:r w:rsidR="00302233">
        <w:t xml:space="preserve"> risk (20 </w:t>
      </w:r>
      <w:r w:rsidR="00A15F59">
        <w:t>lifetime cases per</w:t>
      </w:r>
      <w:r w:rsidR="00D13060">
        <w:t xml:space="preserve"> million</w:t>
      </w:r>
      <w:r w:rsidR="00A15F59">
        <w:t xml:space="preserve"> population</w:t>
      </w:r>
      <w:r w:rsidR="00D13060">
        <w:t>) and acute and chronic risks (hazard index</w:t>
      </w:r>
      <w:r w:rsidR="00BC4D76">
        <w:t xml:space="preserve"> </w:t>
      </w:r>
      <w:r w:rsidR="00475EE8">
        <w:t xml:space="preserve">not greater than </w:t>
      </w:r>
      <w:r w:rsidR="00BC4D76">
        <w:t>1.0</w:t>
      </w:r>
      <w:r w:rsidR="00FD5C51">
        <w:t>)</w:t>
      </w:r>
      <w:r w:rsidR="00A11B0C">
        <w:t>.  The hazard index</w:t>
      </w:r>
      <w:r w:rsidR="001E5366">
        <w:t xml:space="preserve"> represent</w:t>
      </w:r>
      <w:r w:rsidR="00A11B0C">
        <w:t>s</w:t>
      </w:r>
      <w:r w:rsidR="001E5366">
        <w:t xml:space="preserve"> </w:t>
      </w:r>
      <w:r w:rsidR="00D90D89">
        <w:t xml:space="preserve">a ratio of the modeled </w:t>
      </w:r>
      <w:r w:rsidR="00FD5C51">
        <w:t>air toxics</w:t>
      </w:r>
      <w:r w:rsidR="000E7110">
        <w:t xml:space="preserve"> </w:t>
      </w:r>
      <w:r w:rsidR="00D90D89">
        <w:t>concentration</w:t>
      </w:r>
      <w:r w:rsidR="000E7110">
        <w:t>(s)</w:t>
      </w:r>
      <w:r w:rsidR="00D90D89">
        <w:t xml:space="preserve"> </w:t>
      </w:r>
      <w:r w:rsidR="00A11B0C">
        <w:t xml:space="preserve">at the most impacted receptor </w:t>
      </w:r>
      <w:r w:rsidR="00D90D89">
        <w:t>div</w:t>
      </w:r>
      <w:r w:rsidR="00475EE8">
        <w:t>i</w:t>
      </w:r>
      <w:r w:rsidR="00D90D89">
        <w:t xml:space="preserve">ded by the </w:t>
      </w:r>
      <w:r w:rsidR="008C3611">
        <w:t>reference exposure level (REL), below which no adverse health effects are expected, even for sensitive individuals</w:t>
      </w:r>
      <w:r w:rsidR="003106C7">
        <w:t>)</w:t>
      </w:r>
      <w:r w:rsidR="008C3611">
        <w:t>.</w:t>
      </w:r>
      <w:r w:rsidR="00907F6E">
        <w:t xml:space="preserve">  </w:t>
      </w:r>
      <w:r w:rsidR="003A1316">
        <w:t xml:space="preserve">The policy also requires Best Available Control </w:t>
      </w:r>
      <w:r w:rsidR="003A1316" w:rsidRPr="003418B4">
        <w:t xml:space="preserve">Technology for </w:t>
      </w:r>
      <w:r w:rsidR="00AD3B81" w:rsidRPr="003418B4">
        <w:t xml:space="preserve">toxics (TBACT) </w:t>
      </w:r>
      <w:r w:rsidR="00907F6E" w:rsidRPr="003418B4">
        <w:t xml:space="preserve">for emission units that </w:t>
      </w:r>
      <w:r w:rsidR="00A57E58" w:rsidRPr="003418B4">
        <w:t>have the potential to cause</w:t>
      </w:r>
      <w:r w:rsidR="00907F6E" w:rsidRPr="003418B4">
        <w:t xml:space="preserve"> a greater than </w:t>
      </w:r>
      <w:r w:rsidR="00DA0639" w:rsidRPr="003418B4">
        <w:rPr>
          <w:i/>
          <w:iCs/>
        </w:rPr>
        <w:t>de minim</w:t>
      </w:r>
      <w:r w:rsidR="0043052E">
        <w:rPr>
          <w:i/>
          <w:iCs/>
        </w:rPr>
        <w:t>i</w:t>
      </w:r>
      <w:r w:rsidR="00DA0639" w:rsidRPr="003418B4">
        <w:rPr>
          <w:i/>
          <w:iCs/>
        </w:rPr>
        <w:t>s</w:t>
      </w:r>
      <w:r w:rsidR="00DA0639" w:rsidRPr="003418B4">
        <w:t xml:space="preserve"> increase in </w:t>
      </w:r>
      <w:r w:rsidR="00A57E58" w:rsidRPr="003418B4">
        <w:t>cancer risk (</w:t>
      </w:r>
      <w:r w:rsidR="00461A55" w:rsidRPr="003418B4">
        <w:t xml:space="preserve">equal to or greater than </w:t>
      </w:r>
      <w:r w:rsidR="00A57E58" w:rsidRPr="003418B4">
        <w:t>1</w:t>
      </w:r>
      <w:r w:rsidR="006244F1" w:rsidRPr="003418B4">
        <w:t>.0</w:t>
      </w:r>
      <w:r w:rsidR="00A57E58" w:rsidRPr="003418B4">
        <w:t xml:space="preserve"> </w:t>
      </w:r>
      <w:r w:rsidR="007B6483" w:rsidRPr="003418B4">
        <w:t xml:space="preserve">case </w:t>
      </w:r>
      <w:r w:rsidR="00A57E58" w:rsidRPr="003418B4">
        <w:t>per million</w:t>
      </w:r>
      <w:r w:rsidR="007B6483" w:rsidRPr="003418B4">
        <w:t xml:space="preserve"> population</w:t>
      </w:r>
      <w:r w:rsidR="00A57E58" w:rsidRPr="003418B4">
        <w:t>)</w:t>
      </w:r>
      <w:r w:rsidR="007F4F1B" w:rsidRPr="003418B4">
        <w:t>.</w:t>
      </w:r>
    </w:p>
    <w:p w14:paraId="002B0B10" w14:textId="77777777" w:rsidR="000177D5" w:rsidRPr="00993B55" w:rsidRDefault="000177D5" w:rsidP="00E51B81">
      <w:pPr>
        <w:widowControl w:val="0"/>
      </w:pPr>
    </w:p>
    <w:p w14:paraId="0E541E96" w14:textId="34FDFCD1" w:rsidR="000177D5" w:rsidRPr="00AE4CC2" w:rsidRDefault="000177D5" w:rsidP="00E51B81">
      <w:pPr>
        <w:widowControl w:val="0"/>
        <w:tabs>
          <w:tab w:val="left" w:pos="1530"/>
        </w:tabs>
        <w:autoSpaceDE w:val="0"/>
        <w:autoSpaceDN w:val="0"/>
        <w:adjustRightInd w:val="0"/>
        <w:rPr>
          <w:i/>
          <w:iCs/>
          <w:color w:val="0000FF"/>
        </w:rPr>
      </w:pPr>
      <w:r w:rsidRPr="002549A4">
        <w:rPr>
          <w:i/>
          <w:iCs/>
          <w:color w:val="0000FF"/>
          <w:u w:val="single"/>
        </w:rPr>
        <w:t>Example (a</w:t>
      </w:r>
      <w:r w:rsidRPr="00EF00E3">
        <w:rPr>
          <w:i/>
          <w:iCs/>
          <w:color w:val="0000FF"/>
          <w:u w:val="single"/>
        </w:rPr>
        <w:t>)</w:t>
      </w:r>
      <w:r w:rsidRPr="00EF00E3">
        <w:rPr>
          <w:i/>
          <w:iCs/>
          <w:color w:val="0000FF"/>
        </w:rPr>
        <w:t>:</w:t>
      </w:r>
      <w:r w:rsidR="00A61E93">
        <w:rPr>
          <w:i/>
          <w:iCs/>
          <w:color w:val="0000FF"/>
        </w:rPr>
        <w:t xml:space="preserve"> </w:t>
      </w:r>
      <w:r w:rsidR="0049245D">
        <w:rPr>
          <w:i/>
          <w:iCs/>
          <w:color w:val="0000FF"/>
        </w:rPr>
        <w:t>Projects</w:t>
      </w:r>
      <w:r w:rsidRPr="00EF00E3">
        <w:rPr>
          <w:i/>
          <w:iCs/>
          <w:color w:val="0000FF"/>
        </w:rPr>
        <w:t xml:space="preserve"> with no increase in </w:t>
      </w:r>
      <w:r w:rsidR="00AB6E6F">
        <w:rPr>
          <w:i/>
          <w:iCs/>
          <w:color w:val="0000FF"/>
        </w:rPr>
        <w:t xml:space="preserve">air toxics </w:t>
      </w:r>
      <w:r w:rsidRPr="00EF00E3">
        <w:rPr>
          <w:i/>
          <w:iCs/>
          <w:color w:val="0000FF"/>
        </w:rPr>
        <w:t>emissions</w:t>
      </w:r>
      <w:r w:rsidR="00546A43" w:rsidRPr="00AE4CC2">
        <w:rPr>
          <w:i/>
          <w:iCs/>
          <w:color w:val="0000FF"/>
        </w:rPr>
        <w:t xml:space="preserve"> or public exposure</w:t>
      </w:r>
      <w:r w:rsidRPr="00EF00E3">
        <w:rPr>
          <w:i/>
          <w:iCs/>
          <w:color w:val="0000FF"/>
        </w:rPr>
        <w:t>.</w:t>
      </w:r>
    </w:p>
    <w:p w14:paraId="646F5619" w14:textId="77777777" w:rsidR="00546A43" w:rsidRPr="00AE4CC2" w:rsidRDefault="00546A43" w:rsidP="00E51B81">
      <w:pPr>
        <w:widowControl w:val="0"/>
        <w:tabs>
          <w:tab w:val="left" w:pos="1890"/>
        </w:tabs>
        <w:autoSpaceDE w:val="0"/>
        <w:autoSpaceDN w:val="0"/>
        <w:adjustRightInd w:val="0"/>
        <w:rPr>
          <w:i/>
          <w:iCs/>
          <w:color w:val="FF0000"/>
        </w:rPr>
      </w:pPr>
    </w:p>
    <w:p w14:paraId="4C2615B1" w14:textId="14E61208" w:rsidR="000177D5" w:rsidRPr="00993B55" w:rsidRDefault="000177D5" w:rsidP="00E51B81">
      <w:pPr>
        <w:widowControl w:val="0"/>
        <w:tabs>
          <w:tab w:val="left" w:pos="1800"/>
        </w:tabs>
        <w:autoSpaceDE w:val="0"/>
        <w:autoSpaceDN w:val="0"/>
        <w:adjustRightInd w:val="0"/>
        <w:rPr>
          <w:spacing w:val="-2"/>
        </w:rPr>
      </w:pPr>
      <w:r w:rsidRPr="00993B55">
        <w:rPr>
          <w:spacing w:val="-2"/>
        </w:rPr>
        <w:t xml:space="preserve">As demonstrated </w:t>
      </w:r>
      <w:r w:rsidR="00D51C3C">
        <w:rPr>
          <w:spacing w:val="-2"/>
        </w:rPr>
        <w:t>by the calculations perfo</w:t>
      </w:r>
      <w:r w:rsidR="00E90C58">
        <w:rPr>
          <w:spacing w:val="-2"/>
        </w:rPr>
        <w:t>r</w:t>
      </w:r>
      <w:r w:rsidR="00D51C3C">
        <w:rPr>
          <w:spacing w:val="-2"/>
        </w:rPr>
        <w:t>med in Section VII.C of this evaluation</w:t>
      </w:r>
      <w:r w:rsidRPr="00993B55">
        <w:rPr>
          <w:spacing w:val="-2"/>
        </w:rPr>
        <w:t xml:space="preserve">, </w:t>
      </w:r>
      <w:r w:rsidR="003A3879">
        <w:rPr>
          <w:spacing w:val="-2"/>
        </w:rPr>
        <w:t xml:space="preserve">this project will not </w:t>
      </w:r>
      <w:r w:rsidR="00AB6E6F">
        <w:rPr>
          <w:spacing w:val="-2"/>
        </w:rPr>
        <w:t>result in an</w:t>
      </w:r>
      <w:r w:rsidR="003A3879">
        <w:rPr>
          <w:spacing w:val="-2"/>
        </w:rPr>
        <w:t xml:space="preserve"> increase in the potential to emit </w:t>
      </w:r>
      <w:r w:rsidR="004456D8">
        <w:rPr>
          <w:spacing w:val="-2"/>
        </w:rPr>
        <w:t xml:space="preserve">nor an increase public exposure to </w:t>
      </w:r>
      <w:r w:rsidR="00AB6E6F">
        <w:rPr>
          <w:spacing w:val="-2"/>
        </w:rPr>
        <w:t>air toxics</w:t>
      </w:r>
      <w:r w:rsidR="004456D8">
        <w:rPr>
          <w:spacing w:val="-2"/>
        </w:rPr>
        <w:t xml:space="preserve">; therefore, </w:t>
      </w:r>
      <w:r w:rsidRPr="00993B55">
        <w:rPr>
          <w:spacing w:val="-2"/>
        </w:rPr>
        <w:t>no further risk analysis is required</w:t>
      </w:r>
      <w:r w:rsidR="0090104E">
        <w:rPr>
          <w:spacing w:val="-2"/>
        </w:rPr>
        <w:t xml:space="preserve"> to ensure compliance with District Policy APR 1905</w:t>
      </w:r>
      <w:r w:rsidRPr="00993B55">
        <w:rPr>
          <w:spacing w:val="-2"/>
        </w:rPr>
        <w:t>.</w:t>
      </w:r>
    </w:p>
    <w:p w14:paraId="6C1B0E28" w14:textId="77777777" w:rsidR="000177D5" w:rsidRPr="00993B55" w:rsidRDefault="000177D5" w:rsidP="00E51B81">
      <w:pPr>
        <w:widowControl w:val="0"/>
        <w:rPr>
          <w:i/>
          <w:iCs/>
        </w:rPr>
      </w:pPr>
    </w:p>
    <w:p w14:paraId="39BBA40D" w14:textId="3243FBE5" w:rsidR="00970628" w:rsidRPr="00AE4CC2" w:rsidRDefault="00970628" w:rsidP="00E51B81">
      <w:pPr>
        <w:widowControl w:val="0"/>
        <w:tabs>
          <w:tab w:val="left" w:pos="1530"/>
        </w:tabs>
        <w:autoSpaceDE w:val="0"/>
        <w:autoSpaceDN w:val="0"/>
        <w:adjustRightInd w:val="0"/>
        <w:rPr>
          <w:i/>
          <w:iCs/>
          <w:color w:val="0000FF"/>
          <w:u w:val="single"/>
        </w:rPr>
      </w:pPr>
      <w:r w:rsidRPr="00AE4CC2">
        <w:rPr>
          <w:i/>
          <w:iCs/>
          <w:color w:val="0000FF"/>
          <w:u w:val="single"/>
        </w:rPr>
        <w:t>Example (b)</w:t>
      </w:r>
      <w:r w:rsidRPr="00AE4CC2">
        <w:rPr>
          <w:i/>
          <w:iCs/>
          <w:color w:val="0000FF"/>
        </w:rPr>
        <w:t>:</w:t>
      </w:r>
      <w:r w:rsidR="0049245D">
        <w:rPr>
          <w:i/>
          <w:iCs/>
          <w:color w:val="0000FF"/>
        </w:rPr>
        <w:t xml:space="preserve"> Projects</w:t>
      </w:r>
      <w:r w:rsidRPr="00AE4CC2">
        <w:rPr>
          <w:i/>
          <w:iCs/>
          <w:color w:val="0000FF"/>
        </w:rPr>
        <w:t xml:space="preserve"> with an increase in </w:t>
      </w:r>
      <w:r w:rsidR="00AB6E6F">
        <w:rPr>
          <w:i/>
          <w:iCs/>
          <w:color w:val="0000FF"/>
        </w:rPr>
        <w:t xml:space="preserve">air toxics </w:t>
      </w:r>
      <w:r w:rsidRPr="00AE4CC2">
        <w:rPr>
          <w:i/>
          <w:iCs/>
          <w:color w:val="0000FF"/>
        </w:rPr>
        <w:t>emissions or public exposure to</w:t>
      </w:r>
      <w:r w:rsidR="00286C03">
        <w:rPr>
          <w:i/>
          <w:iCs/>
          <w:color w:val="0000FF"/>
        </w:rPr>
        <w:t xml:space="preserve"> air toxics</w:t>
      </w:r>
      <w:r w:rsidR="00A61E93">
        <w:rPr>
          <w:i/>
          <w:iCs/>
          <w:color w:val="0000FF"/>
        </w:rPr>
        <w:t>.</w:t>
      </w:r>
    </w:p>
    <w:p w14:paraId="5A4944F3" w14:textId="77777777" w:rsidR="00970628" w:rsidRDefault="00970628" w:rsidP="00E51B81">
      <w:pPr>
        <w:widowControl w:val="0"/>
        <w:rPr>
          <w:i/>
          <w:iCs/>
          <w:color w:val="FF0000"/>
        </w:rPr>
      </w:pPr>
    </w:p>
    <w:p w14:paraId="58CE63A6" w14:textId="15107542" w:rsidR="00DC3375" w:rsidRDefault="005C15A6" w:rsidP="005C15A6">
      <w:pPr>
        <w:widowControl w:val="0"/>
        <w:rPr>
          <w:i/>
          <w:iCs/>
          <w:color w:val="FF0000"/>
        </w:rPr>
      </w:pPr>
      <w:r w:rsidRPr="00993B55">
        <w:rPr>
          <w:i/>
          <w:iCs/>
          <w:color w:val="FF0000"/>
        </w:rPr>
        <w:t xml:space="preserve">An </w:t>
      </w:r>
      <w:r>
        <w:rPr>
          <w:i/>
          <w:iCs/>
          <w:color w:val="FF0000"/>
        </w:rPr>
        <w:t>HRA</w:t>
      </w:r>
      <w:r w:rsidRPr="00993B55">
        <w:rPr>
          <w:i/>
          <w:iCs/>
          <w:color w:val="FF0000"/>
        </w:rPr>
        <w:t xml:space="preserve"> is necessary if there is a change in any </w:t>
      </w:r>
      <w:r>
        <w:rPr>
          <w:i/>
          <w:iCs/>
          <w:color w:val="FF0000"/>
        </w:rPr>
        <w:t>HRA</w:t>
      </w:r>
      <w:r w:rsidRPr="00993B55">
        <w:rPr>
          <w:i/>
          <w:iCs/>
          <w:color w:val="FF0000"/>
        </w:rPr>
        <w:t xml:space="preserve"> parameter, i.e. exhaust flow rate changes, stack changes, fuel use and type changes, receptor distances, etc.</w:t>
      </w:r>
      <w:r w:rsidR="00DC3375">
        <w:rPr>
          <w:i/>
          <w:iCs/>
          <w:color w:val="FF0000"/>
        </w:rPr>
        <w:t xml:space="preserve">  </w:t>
      </w:r>
    </w:p>
    <w:p w14:paraId="36DD4BB1" w14:textId="77777777" w:rsidR="00D846B9" w:rsidRDefault="00D846B9" w:rsidP="00D846B9">
      <w:pPr>
        <w:widowControl w:val="0"/>
      </w:pPr>
    </w:p>
    <w:p w14:paraId="699FBFCE" w14:textId="03E83DD9" w:rsidR="003802F2" w:rsidRDefault="00DC3375" w:rsidP="003802F2">
      <w:pPr>
        <w:widowControl w:val="0"/>
      </w:pPr>
      <w:r w:rsidRPr="005871B2">
        <w:t xml:space="preserve">The potential health risk from the proposed project </w:t>
      </w:r>
      <w:r>
        <w:t>is</w:t>
      </w:r>
      <w:r w:rsidRPr="005871B2">
        <w:t xml:space="preserve"> below </w:t>
      </w:r>
      <w:r>
        <w:t xml:space="preserve">all </w:t>
      </w:r>
      <w:r w:rsidRPr="005871B2">
        <w:t>established significance thresholds</w:t>
      </w:r>
      <w:r>
        <w:t>; therefore, the project is approvable under District RMR Policies.</w:t>
      </w:r>
      <w:r w:rsidR="00BC61C9">
        <w:t xml:space="preserve">  </w:t>
      </w:r>
      <w:r w:rsidR="003802F2">
        <w:t xml:space="preserve">See Health Risk Assessment Summary attached as </w:t>
      </w:r>
      <w:r w:rsidR="00B711F1">
        <w:t>A</w:t>
      </w:r>
      <w:r w:rsidR="003802F2">
        <w:t xml:space="preserve">ppendix </w:t>
      </w:r>
      <w:r w:rsidR="009179ED">
        <w:rPr>
          <w:color w:val="0000FF"/>
        </w:rPr>
        <w:t>XXX</w:t>
      </w:r>
      <w:r w:rsidR="00B711F1">
        <w:t xml:space="preserve"> </w:t>
      </w:r>
      <w:r w:rsidR="003802F2">
        <w:t>to this application review for further detail.</w:t>
      </w:r>
    </w:p>
    <w:p w14:paraId="1D88B29D" w14:textId="77777777" w:rsidR="00E729AD" w:rsidRDefault="00E729AD" w:rsidP="00D846B9">
      <w:pPr>
        <w:widowControl w:val="0"/>
      </w:pPr>
    </w:p>
    <w:p w14:paraId="295E55BB" w14:textId="16D73497" w:rsidR="00E729AD" w:rsidRDefault="00E729AD" w:rsidP="00E729AD">
      <w:pPr>
        <w:widowControl w:val="0"/>
        <w:rPr>
          <w:i/>
          <w:iCs/>
          <w:color w:val="FF0000"/>
        </w:rPr>
      </w:pPr>
      <w:r>
        <w:rPr>
          <w:i/>
          <w:iCs/>
          <w:color w:val="FF0000"/>
        </w:rPr>
        <w:t xml:space="preserve">If TBACT is triggered, </w:t>
      </w:r>
      <w:r w:rsidR="002A7063">
        <w:rPr>
          <w:i/>
          <w:iCs/>
          <w:color w:val="FF0000"/>
        </w:rPr>
        <w:t>identify the pollutant subject to TBACT and summar</w:t>
      </w:r>
      <w:r w:rsidR="00C748ED">
        <w:rPr>
          <w:i/>
          <w:iCs/>
          <w:color w:val="FF0000"/>
        </w:rPr>
        <w:t>ize</w:t>
      </w:r>
      <w:r w:rsidR="002A7063">
        <w:rPr>
          <w:i/>
          <w:iCs/>
          <w:color w:val="FF0000"/>
        </w:rPr>
        <w:t xml:space="preserve"> the requirement</w:t>
      </w:r>
      <w:r w:rsidR="003802F2">
        <w:rPr>
          <w:i/>
          <w:iCs/>
          <w:color w:val="FF0000"/>
        </w:rPr>
        <w:t>s.  If TBACT is not triggered</w:t>
      </w:r>
      <w:r w:rsidR="00C748ED">
        <w:rPr>
          <w:i/>
          <w:iCs/>
          <w:color w:val="FF0000"/>
        </w:rPr>
        <w:t>, delete this section</w:t>
      </w:r>
      <w:r w:rsidR="003802F2">
        <w:rPr>
          <w:i/>
          <w:iCs/>
          <w:color w:val="FF0000"/>
        </w:rPr>
        <w:t>.</w:t>
      </w:r>
    </w:p>
    <w:p w14:paraId="06CC39A6" w14:textId="6633E161" w:rsidR="00063DC9" w:rsidRPr="00063DC9" w:rsidRDefault="00063DC9" w:rsidP="00063DC9">
      <w:pPr>
        <w:widowControl w:val="0"/>
        <w:tabs>
          <w:tab w:val="left" w:pos="1530"/>
        </w:tabs>
        <w:autoSpaceDE w:val="0"/>
        <w:autoSpaceDN w:val="0"/>
        <w:adjustRightInd w:val="0"/>
        <w:rPr>
          <w:i/>
          <w:iCs/>
          <w:color w:val="0000FF"/>
        </w:rPr>
      </w:pPr>
      <w:r w:rsidRPr="00063DC9">
        <w:rPr>
          <w:i/>
          <w:iCs/>
          <w:color w:val="0000FF"/>
        </w:rPr>
        <w:t>Example</w:t>
      </w:r>
      <w:r w:rsidR="006930A0">
        <w:rPr>
          <w:i/>
          <w:iCs/>
          <w:color w:val="0000FF"/>
        </w:rPr>
        <w:t>: P</w:t>
      </w:r>
      <w:r w:rsidRPr="00063DC9">
        <w:rPr>
          <w:i/>
          <w:iCs/>
          <w:color w:val="0000FF"/>
        </w:rPr>
        <w:t xml:space="preserve">roject where TBACT is triggered [for PM10] </w:t>
      </w:r>
      <w:r w:rsidR="005A70DB">
        <w:rPr>
          <w:i/>
          <w:iCs/>
          <w:color w:val="0000FF"/>
        </w:rPr>
        <w:t>-</w:t>
      </w:r>
      <w:r w:rsidRPr="00063DC9">
        <w:rPr>
          <w:i/>
          <w:iCs/>
          <w:color w:val="0000FF"/>
        </w:rPr>
        <w:t xml:space="preserve"> </w:t>
      </w:r>
      <w:r w:rsidR="005A70DB">
        <w:rPr>
          <w:i/>
          <w:iCs/>
          <w:color w:val="0000FF"/>
        </w:rPr>
        <w:t>Diesel ICE.</w:t>
      </w:r>
    </w:p>
    <w:p w14:paraId="43FC0C3C" w14:textId="2DB23BA2" w:rsidR="00E729AD" w:rsidRDefault="006930A0" w:rsidP="00D846B9">
      <w:pPr>
        <w:widowControl w:val="0"/>
      </w:pPr>
      <w:r>
        <w:t>TBACT</w:t>
      </w:r>
      <w:r w:rsidR="00063DC9" w:rsidRPr="00063DC9">
        <w:t xml:space="preserve"> is required for this project because the worst</w:t>
      </w:r>
      <w:r w:rsidR="003D0764">
        <w:t>-</w:t>
      </w:r>
      <w:r w:rsidR="00063DC9" w:rsidRPr="00063DC9">
        <w:t xml:space="preserve">case </w:t>
      </w:r>
      <w:r w:rsidR="00E16C5D">
        <w:t xml:space="preserve">potential </w:t>
      </w:r>
      <w:r w:rsidR="00063DC9" w:rsidRPr="00063DC9">
        <w:t>cancer risk exceed</w:t>
      </w:r>
      <w:r w:rsidR="00EA6FE8">
        <w:t>s</w:t>
      </w:r>
      <w:r w:rsidR="00063DC9" w:rsidRPr="00063DC9">
        <w:t xml:space="preserve"> one in one million. </w:t>
      </w:r>
      <w:r w:rsidR="00EA6FE8">
        <w:t xml:space="preserve"> </w:t>
      </w:r>
      <w:r w:rsidR="00063DC9" w:rsidRPr="00063DC9">
        <w:t xml:space="preserve">For this project, TBACT is triggered for </w:t>
      </w:r>
      <w:r w:rsidR="005A70DB" w:rsidRPr="00AF3462">
        <w:rPr>
          <w:color w:val="0000FF"/>
        </w:rPr>
        <w:t>PM10</w:t>
      </w:r>
      <w:r w:rsidR="00063DC9" w:rsidRPr="00063DC9">
        <w:t xml:space="preserve">.  </w:t>
      </w:r>
      <w:r w:rsidR="00063DC9" w:rsidRPr="00367A8A">
        <w:rPr>
          <w:color w:val="0000FF"/>
        </w:rPr>
        <w:t xml:space="preserve">TBACT is satisfied with BACT for </w:t>
      </w:r>
      <w:r w:rsidR="005A70DB" w:rsidRPr="00367A8A">
        <w:rPr>
          <w:color w:val="0000FF"/>
        </w:rPr>
        <w:t>PM10</w:t>
      </w:r>
      <w:r w:rsidR="0029533E" w:rsidRPr="00367A8A">
        <w:rPr>
          <w:color w:val="0000FF"/>
        </w:rPr>
        <w:t xml:space="preserve">, </w:t>
      </w:r>
      <w:r w:rsidR="00063DC9" w:rsidRPr="00367A8A">
        <w:rPr>
          <w:color w:val="0000FF"/>
        </w:rPr>
        <w:t xml:space="preserve">which is the </w:t>
      </w:r>
      <w:r w:rsidR="005A70DB" w:rsidRPr="00367A8A">
        <w:rPr>
          <w:color w:val="0000FF"/>
        </w:rPr>
        <w:t xml:space="preserve">use of the latest tier </w:t>
      </w:r>
      <w:r w:rsidR="00917A63" w:rsidRPr="00367A8A">
        <w:rPr>
          <w:color w:val="0000FF"/>
        </w:rPr>
        <w:t>certified diesel engine</w:t>
      </w:r>
      <w:r w:rsidR="00E16C5D" w:rsidRPr="00367A8A">
        <w:rPr>
          <w:color w:val="0000FF"/>
        </w:rPr>
        <w:t xml:space="preserve"> (</w:t>
      </w:r>
      <w:r w:rsidR="00917A63" w:rsidRPr="00367A8A">
        <w:rPr>
          <w:color w:val="0000FF"/>
        </w:rPr>
        <w:t>Tier 4 Final engine</w:t>
      </w:r>
      <w:r w:rsidR="00E16C5D" w:rsidRPr="00367A8A">
        <w:rPr>
          <w:color w:val="0000FF"/>
        </w:rPr>
        <w:t>)</w:t>
      </w:r>
      <w:r w:rsidR="00063DC9" w:rsidRPr="00063DC9">
        <w:t>; therefore, compliance with the District’s Risk Management Polic</w:t>
      </w:r>
      <w:r w:rsidR="00AD42FC">
        <w:t>y</w:t>
      </w:r>
      <w:r w:rsidR="00063DC9" w:rsidRPr="00063DC9">
        <w:t xml:space="preserve"> is expected</w:t>
      </w:r>
      <w:r w:rsidR="00AD42FC">
        <w:t>.</w:t>
      </w:r>
    </w:p>
    <w:p w14:paraId="3F45C094" w14:textId="77777777" w:rsidR="000177D5" w:rsidRPr="00545278" w:rsidRDefault="000177D5" w:rsidP="00E75CEC">
      <w:pPr>
        <w:pStyle w:val="Heading4"/>
      </w:pPr>
      <w:r w:rsidRPr="00545278">
        <w:t>Rule 4201</w:t>
      </w:r>
      <w:r w:rsidRPr="00545278">
        <w:tab/>
        <w:t>Particulate Matter Concentration</w:t>
      </w:r>
    </w:p>
    <w:p w14:paraId="0C7819D1" w14:textId="77777777" w:rsidR="000177D5" w:rsidRPr="00993B55" w:rsidRDefault="000177D5" w:rsidP="007A60F3">
      <w:pPr>
        <w:widowControl w:val="0"/>
      </w:pPr>
      <w:r w:rsidRPr="00993B55">
        <w:rPr>
          <w:spacing w:val="-3"/>
        </w:rPr>
        <w:t>Section 3.1 prohibits discharge of dust, fumes, or total particulate matter into the atmosphere from any single source operation in excess of 0.1 grain per dry standard cubic foot.</w:t>
      </w:r>
    </w:p>
    <w:p w14:paraId="7683100F" w14:textId="77777777" w:rsidR="000177D5" w:rsidRPr="00993B55" w:rsidRDefault="000177D5" w:rsidP="007A60F3">
      <w:pPr>
        <w:widowControl w:val="0"/>
        <w:rPr>
          <w:color w:val="000000"/>
        </w:rPr>
      </w:pPr>
    </w:p>
    <w:p w14:paraId="1D0C04F0" w14:textId="77777777" w:rsidR="000177D5" w:rsidRPr="00993B55" w:rsidRDefault="000177D5" w:rsidP="007A60F3">
      <w:pPr>
        <w:widowControl w:val="0"/>
        <w:tabs>
          <w:tab w:val="left" w:pos="1530"/>
        </w:tabs>
        <w:rPr>
          <w:color w:val="0000FF"/>
        </w:rPr>
      </w:pPr>
      <w:r w:rsidRPr="00993B55">
        <w:rPr>
          <w:i/>
          <w:iCs/>
          <w:color w:val="0000FF"/>
          <w:u w:val="single"/>
        </w:rPr>
        <w:t>Example (a)</w:t>
      </w:r>
      <w:r w:rsidRPr="00993B55">
        <w:rPr>
          <w:i/>
          <w:iCs/>
          <w:color w:val="0000FF"/>
        </w:rPr>
        <w:t>:</w:t>
      </w:r>
      <w:r w:rsidRPr="00993B55">
        <w:rPr>
          <w:i/>
          <w:iCs/>
          <w:color w:val="0000FF"/>
        </w:rPr>
        <w:tab/>
        <w:t>(For a diesel-fired IC engine.)</w:t>
      </w:r>
    </w:p>
    <w:tbl>
      <w:tblPr>
        <w:tblW w:w="0" w:type="auto"/>
        <w:tblInd w:w="108" w:type="dxa"/>
        <w:tblLayout w:type="fixed"/>
        <w:tblLook w:val="0000" w:firstRow="0" w:lastRow="0" w:firstColumn="0" w:lastColumn="0" w:noHBand="0" w:noVBand="0"/>
      </w:tblPr>
      <w:tblGrid>
        <w:gridCol w:w="810"/>
        <w:gridCol w:w="5400"/>
        <w:gridCol w:w="720"/>
        <w:gridCol w:w="990"/>
      </w:tblGrid>
      <w:tr w:rsidR="000177D5" w:rsidRPr="00993B55" w14:paraId="12F48AC6" w14:textId="77777777" w:rsidTr="001A672C">
        <w:trPr>
          <w:cantSplit/>
          <w:trHeight w:val="621"/>
        </w:trPr>
        <w:tc>
          <w:tcPr>
            <w:tcW w:w="810" w:type="dxa"/>
            <w:vAlign w:val="center"/>
          </w:tcPr>
          <w:p w14:paraId="71263DD5" w14:textId="1590B807" w:rsidR="000177D5" w:rsidRPr="00993B55" w:rsidRDefault="000177D5" w:rsidP="007A60F3">
            <w:pPr>
              <w:widowControl w:val="0"/>
              <w:jc w:val="center"/>
              <w:rPr>
                <w:color w:val="0000FF"/>
                <w:sz w:val="20"/>
              </w:rPr>
            </w:pPr>
            <w:r w:rsidRPr="00993B55">
              <w:rPr>
                <w:color w:val="0000FF"/>
                <w:sz w:val="20"/>
              </w:rPr>
              <w:t>0.</w:t>
            </w:r>
            <w:r w:rsidR="008B5596">
              <w:rPr>
                <w:color w:val="0000FF"/>
                <w:sz w:val="20"/>
              </w:rPr>
              <w:t>015</w:t>
            </w:r>
          </w:p>
        </w:tc>
        <w:tc>
          <w:tcPr>
            <w:tcW w:w="5400" w:type="dxa"/>
            <w:vAlign w:val="center"/>
          </w:tcPr>
          <w:p w14:paraId="631EFBA1" w14:textId="77777777" w:rsidR="000177D5" w:rsidRPr="00993B55" w:rsidRDefault="000177D5" w:rsidP="007A60F3">
            <w:pPr>
              <w:widowControl w:val="0"/>
              <w:rPr>
                <w:sz w:val="4"/>
              </w:rPr>
            </w:pPr>
            <w:r w:rsidRPr="00993B55">
              <w:rPr>
                <w:position w:val="-30"/>
                <w:sz w:val="20"/>
              </w:rPr>
              <w:object w:dxaOrig="6080" w:dyaOrig="720" w14:anchorId="1DC866EE">
                <v:shape id="_x0000_i1026" type="#_x0000_t75" style="width:258.75pt;height:33.75pt" o:ole="" fillcolor="window">
                  <v:imagedata r:id="rId28" o:title=""/>
                </v:shape>
                <o:OLEObject Type="Embed" ProgID="Equation.3" ShapeID="_x0000_i1026" DrawAspect="Content" ObjectID="_1843372871" r:id="rId29"/>
              </w:object>
            </w:r>
          </w:p>
        </w:tc>
        <w:tc>
          <w:tcPr>
            <w:tcW w:w="720" w:type="dxa"/>
            <w:vAlign w:val="center"/>
          </w:tcPr>
          <w:p w14:paraId="36A83504" w14:textId="185FF862" w:rsidR="000177D5" w:rsidRPr="00993B55" w:rsidRDefault="000177D5" w:rsidP="007A60F3">
            <w:pPr>
              <w:widowControl w:val="0"/>
              <w:rPr>
                <w:color w:val="0000FF"/>
                <w:sz w:val="20"/>
              </w:rPr>
            </w:pPr>
            <w:r w:rsidRPr="00993B55">
              <w:rPr>
                <w:color w:val="0000FF"/>
                <w:sz w:val="20"/>
              </w:rPr>
              <w:t>0.0</w:t>
            </w:r>
            <w:r w:rsidR="008B5596">
              <w:rPr>
                <w:color w:val="0000FF"/>
                <w:sz w:val="20"/>
              </w:rPr>
              <w:t>04</w:t>
            </w:r>
          </w:p>
        </w:tc>
        <w:tc>
          <w:tcPr>
            <w:tcW w:w="990" w:type="dxa"/>
            <w:vAlign w:val="center"/>
          </w:tcPr>
          <w:p w14:paraId="6E06B903" w14:textId="77777777" w:rsidR="000177D5" w:rsidRPr="00993B55" w:rsidRDefault="000177D5" w:rsidP="007A60F3">
            <w:pPr>
              <w:widowControl w:val="0"/>
              <w:rPr>
                <w:sz w:val="20"/>
              </w:rPr>
            </w:pPr>
            <w:r w:rsidRPr="00993B55">
              <w:rPr>
                <w:position w:val="-30"/>
                <w:sz w:val="20"/>
              </w:rPr>
              <w:object w:dxaOrig="660" w:dyaOrig="680" w14:anchorId="2C2170F5">
                <v:shape id="_x0000_i1027" type="#_x0000_t75" style="width:26.25pt;height:26.25pt" o:ole="" fillcolor="window">
                  <v:imagedata r:id="rId30" o:title=""/>
                </v:shape>
                <o:OLEObject Type="Embed" ProgID="Equation.3" ShapeID="_x0000_i1027" DrawAspect="Content" ObjectID="_1843372872" r:id="rId31"/>
              </w:object>
            </w:r>
          </w:p>
        </w:tc>
      </w:tr>
    </w:tbl>
    <w:p w14:paraId="4A7C89F2" w14:textId="77777777" w:rsidR="000177D5" w:rsidRPr="00993B55" w:rsidRDefault="000177D5" w:rsidP="007A60F3">
      <w:pPr>
        <w:widowControl w:val="0"/>
        <w:rPr>
          <w:color w:val="000000"/>
        </w:rPr>
      </w:pPr>
    </w:p>
    <w:p w14:paraId="26C4F5B6" w14:textId="341F0377" w:rsidR="000177D5" w:rsidRPr="00993B55" w:rsidRDefault="000177D5" w:rsidP="007A60F3">
      <w:pPr>
        <w:widowControl w:val="0"/>
        <w:rPr>
          <w:color w:val="000000"/>
        </w:rPr>
      </w:pPr>
      <w:r w:rsidRPr="00993B55">
        <w:rPr>
          <w:color w:val="000000"/>
        </w:rPr>
        <w:t xml:space="preserve">Since </w:t>
      </w:r>
      <w:r w:rsidRPr="009179ED">
        <w:rPr>
          <w:color w:val="0000FF"/>
        </w:rPr>
        <w:t>0.0</w:t>
      </w:r>
      <w:r w:rsidR="008B5596" w:rsidRPr="009179ED">
        <w:rPr>
          <w:color w:val="0000FF"/>
        </w:rPr>
        <w:t>04</w:t>
      </w:r>
      <w:r w:rsidRPr="00993B55">
        <w:rPr>
          <w:color w:val="000000"/>
        </w:rPr>
        <w:t xml:space="preserve"> grain/dscf is less than 0.1 grain/dscf, compliance with this rule is expected.</w:t>
      </w:r>
    </w:p>
    <w:p w14:paraId="6D131710" w14:textId="77777777" w:rsidR="000177D5" w:rsidRPr="00993B55" w:rsidRDefault="000177D5" w:rsidP="007A60F3">
      <w:pPr>
        <w:widowControl w:val="0"/>
        <w:rPr>
          <w:color w:val="000000"/>
        </w:rPr>
      </w:pPr>
    </w:p>
    <w:p w14:paraId="1068B9C0" w14:textId="77777777" w:rsidR="000177D5" w:rsidRPr="00993B55" w:rsidRDefault="000177D5" w:rsidP="007A60F3">
      <w:pPr>
        <w:widowControl w:val="0"/>
        <w:tabs>
          <w:tab w:val="left" w:pos="1530"/>
        </w:tabs>
        <w:rPr>
          <w:color w:val="0000FF"/>
        </w:rPr>
      </w:pPr>
      <w:r w:rsidRPr="00993B55">
        <w:rPr>
          <w:i/>
          <w:iCs/>
          <w:color w:val="0000FF"/>
          <w:u w:val="single"/>
        </w:rPr>
        <w:t>Example (b)</w:t>
      </w:r>
      <w:r w:rsidRPr="00993B55">
        <w:rPr>
          <w:i/>
          <w:iCs/>
          <w:color w:val="0000FF"/>
        </w:rPr>
        <w:t>:</w:t>
      </w:r>
      <w:r w:rsidRPr="00993B55">
        <w:rPr>
          <w:i/>
          <w:iCs/>
          <w:color w:val="0000FF"/>
        </w:rPr>
        <w:tab/>
        <w:t>(For a baghouse.)</w:t>
      </w:r>
    </w:p>
    <w:p w14:paraId="1CAAB4D2" w14:textId="77777777" w:rsidR="000177D5" w:rsidRPr="00993B55" w:rsidRDefault="000177D5" w:rsidP="007A60F3">
      <w:pPr>
        <w:widowControl w:val="0"/>
        <w:tabs>
          <w:tab w:val="left" w:pos="2520"/>
          <w:tab w:val="left" w:pos="5760"/>
        </w:tabs>
        <w:rPr>
          <w:iCs/>
        </w:rPr>
      </w:pPr>
      <w:r w:rsidRPr="00993B55">
        <w:rPr>
          <w:iCs/>
        </w:rPr>
        <w:t>PM Conc. (gr/scf) =</w:t>
      </w:r>
      <w:r w:rsidRPr="00993B55">
        <w:rPr>
          <w:iCs/>
          <w:u w:val="single"/>
        </w:rPr>
        <w:t xml:space="preserve"> </w:t>
      </w:r>
      <w:r w:rsidRPr="00993B55">
        <w:rPr>
          <w:iCs/>
          <w:u w:val="single"/>
        </w:rPr>
        <w:tab/>
        <w:t xml:space="preserve">(PM emission rate) x (7,000 gr/lb) </w:t>
      </w:r>
      <w:r w:rsidRPr="00993B55">
        <w:rPr>
          <w:iCs/>
          <w:u w:val="single"/>
        </w:rPr>
        <w:tab/>
      </w:r>
    </w:p>
    <w:p w14:paraId="5BE7AD5C" w14:textId="77777777" w:rsidR="000177D5" w:rsidRPr="00993B55" w:rsidRDefault="000177D5" w:rsidP="007A60F3">
      <w:pPr>
        <w:widowControl w:val="0"/>
        <w:tabs>
          <w:tab w:val="left" w:pos="2160"/>
        </w:tabs>
        <w:rPr>
          <w:iCs/>
        </w:rPr>
      </w:pPr>
      <w:r w:rsidRPr="00993B55">
        <w:rPr>
          <w:iCs/>
        </w:rPr>
        <w:tab/>
        <w:t>(Air flow rate) x (60 min/hr) x (24 hr/day)</w:t>
      </w:r>
    </w:p>
    <w:p w14:paraId="61F290CA" w14:textId="77777777" w:rsidR="000177D5" w:rsidRPr="00993B55" w:rsidRDefault="000177D5" w:rsidP="007A60F3">
      <w:pPr>
        <w:widowControl w:val="0"/>
        <w:rPr>
          <w:iCs/>
        </w:rPr>
      </w:pPr>
    </w:p>
    <w:p w14:paraId="31A98494" w14:textId="7B135F03" w:rsidR="000177D5" w:rsidRPr="00993B55" w:rsidRDefault="000177D5" w:rsidP="007A60F3">
      <w:pPr>
        <w:widowControl w:val="0"/>
      </w:pPr>
      <w:r w:rsidRPr="00993B55">
        <w:t>PM</w:t>
      </w:r>
      <w:r w:rsidR="00AF2232">
        <w:t>10</w:t>
      </w:r>
      <w:r w:rsidRPr="00993B55">
        <w:t xml:space="preserve"> emission rate = </w:t>
      </w:r>
      <w:r w:rsidR="009179ED">
        <w:rPr>
          <w:color w:val="0000FF"/>
        </w:rPr>
        <w:t>XX.X</w:t>
      </w:r>
      <w:r w:rsidRPr="009179ED">
        <w:rPr>
          <w:color w:val="0000FF"/>
        </w:rPr>
        <w:t xml:space="preserve"> </w:t>
      </w:r>
      <w:r w:rsidRPr="00993B55">
        <w:t>lb/day.  Assuming 100% of PM is PM</w:t>
      </w:r>
      <w:r w:rsidR="00AF2232">
        <w:t>10</w:t>
      </w:r>
    </w:p>
    <w:p w14:paraId="4F4FEA85" w14:textId="0826A062" w:rsidR="000177D5" w:rsidRPr="00993B55" w:rsidRDefault="000177D5" w:rsidP="007A60F3">
      <w:pPr>
        <w:widowControl w:val="0"/>
      </w:pPr>
      <w:r w:rsidRPr="00993B55">
        <w:t xml:space="preserve">Exhaust Gas Flow = </w:t>
      </w:r>
      <w:r w:rsidR="009179ED" w:rsidRPr="009179ED">
        <w:rPr>
          <w:color w:val="0000FF"/>
        </w:rPr>
        <w:t>XX</w:t>
      </w:r>
      <w:r w:rsidRPr="009179ED">
        <w:rPr>
          <w:color w:val="0000FF"/>
        </w:rPr>
        <w:t>,</w:t>
      </w:r>
      <w:r w:rsidR="009179ED" w:rsidRPr="009179ED">
        <w:rPr>
          <w:color w:val="0000FF"/>
        </w:rPr>
        <w:t>XXX</w:t>
      </w:r>
      <w:r w:rsidRPr="009179ED">
        <w:rPr>
          <w:color w:val="0000FF"/>
        </w:rPr>
        <w:t xml:space="preserve"> </w:t>
      </w:r>
      <w:r w:rsidRPr="00993B55">
        <w:t>scfm</w:t>
      </w:r>
    </w:p>
    <w:p w14:paraId="47E4D877" w14:textId="77777777" w:rsidR="000177D5" w:rsidRPr="00993B55" w:rsidRDefault="000177D5" w:rsidP="007A60F3">
      <w:pPr>
        <w:widowControl w:val="0"/>
      </w:pPr>
    </w:p>
    <w:p w14:paraId="31513981" w14:textId="3BFC114E" w:rsidR="000177D5" w:rsidRPr="00993B55" w:rsidRDefault="000177D5" w:rsidP="007A60F3">
      <w:pPr>
        <w:widowControl w:val="0"/>
      </w:pPr>
      <w:r w:rsidRPr="00993B55">
        <w:t>PM Conc. (gr/scf) = [(</w:t>
      </w:r>
      <w:r w:rsidR="009179ED" w:rsidRPr="009179ED">
        <w:rPr>
          <w:color w:val="0000FF"/>
        </w:rPr>
        <w:t>XX.X</w:t>
      </w:r>
      <w:r w:rsidRPr="009179ED">
        <w:rPr>
          <w:color w:val="0000FF"/>
        </w:rPr>
        <w:t xml:space="preserve"> </w:t>
      </w:r>
      <w:r w:rsidRPr="00993B55">
        <w:t xml:space="preserve">lb/day) </w:t>
      </w:r>
      <w:r w:rsidRPr="00993B55">
        <w:sym w:font="Symbol" w:char="F02A"/>
      </w:r>
      <w:r w:rsidRPr="00993B55">
        <w:t xml:space="preserve"> (7,000 gr/lb)] </w:t>
      </w:r>
      <w:r w:rsidRPr="00993B55">
        <w:sym w:font="Symbol" w:char="F0B8"/>
      </w:r>
      <w:r w:rsidRPr="00993B55">
        <w:t xml:space="preserve"> [(</w:t>
      </w:r>
      <w:r w:rsidR="00F314AE" w:rsidRPr="00F314AE">
        <w:rPr>
          <w:color w:val="0000FF"/>
        </w:rPr>
        <w:t>XX,XXX</w:t>
      </w:r>
      <w:r w:rsidRPr="00F314AE">
        <w:rPr>
          <w:color w:val="0000FF"/>
        </w:rPr>
        <w:t xml:space="preserve"> </w:t>
      </w:r>
      <w:r w:rsidRPr="00993B55">
        <w:t>ft</w:t>
      </w:r>
      <w:r w:rsidRPr="00993B55">
        <w:rPr>
          <w:vertAlign w:val="superscript"/>
        </w:rPr>
        <w:t>3</w:t>
      </w:r>
      <w:r w:rsidRPr="00993B55">
        <w:t xml:space="preserve">/min) </w:t>
      </w:r>
      <w:r w:rsidRPr="00993B55">
        <w:sym w:font="Symbol" w:char="F02A"/>
      </w:r>
      <w:r w:rsidRPr="00993B55">
        <w:t xml:space="preserve"> (60 min/hr) </w:t>
      </w:r>
      <w:r w:rsidRPr="00993B55">
        <w:sym w:font="Symbol" w:char="F02A"/>
      </w:r>
      <w:r w:rsidRPr="00993B55">
        <w:t xml:space="preserve"> (24 hr/day)]</w:t>
      </w:r>
    </w:p>
    <w:p w14:paraId="1417CF66" w14:textId="18220BA7" w:rsidR="000177D5" w:rsidRPr="00993B55" w:rsidRDefault="000177D5" w:rsidP="007A60F3">
      <w:pPr>
        <w:widowControl w:val="0"/>
      </w:pPr>
      <w:r w:rsidRPr="00993B55">
        <w:t xml:space="preserve">PM Conc. = </w:t>
      </w:r>
      <w:r w:rsidR="00F314AE" w:rsidRPr="00F314AE">
        <w:rPr>
          <w:color w:val="0000FF"/>
        </w:rPr>
        <w:t>X.XXX</w:t>
      </w:r>
      <w:r w:rsidRPr="00F314AE">
        <w:rPr>
          <w:color w:val="0000FF"/>
        </w:rPr>
        <w:t xml:space="preserve"> </w:t>
      </w:r>
      <w:r w:rsidRPr="00993B55">
        <w:t>gr/scf</w:t>
      </w:r>
    </w:p>
    <w:p w14:paraId="707C451B" w14:textId="77777777" w:rsidR="000177D5" w:rsidRPr="00993B55" w:rsidRDefault="000177D5" w:rsidP="007A60F3">
      <w:pPr>
        <w:widowControl w:val="0"/>
        <w:rPr>
          <w:color w:val="000000"/>
        </w:rPr>
      </w:pPr>
    </w:p>
    <w:p w14:paraId="4C464FD0" w14:textId="1C147137" w:rsidR="00B723CC" w:rsidRDefault="00B723CC" w:rsidP="00B723CC">
      <w:pPr>
        <w:rPr>
          <w:rFonts w:cs="Arial"/>
          <w:color w:val="000000"/>
          <w:szCs w:val="24"/>
        </w:rPr>
      </w:pPr>
      <w:r>
        <w:rPr>
          <w:rFonts w:cs="Arial"/>
          <w:color w:val="000000"/>
          <w:szCs w:val="24"/>
        </w:rPr>
        <w:t>T</w:t>
      </w:r>
      <w:r w:rsidRPr="00E43E34">
        <w:rPr>
          <w:rFonts w:cs="Arial"/>
          <w:color w:val="000000"/>
          <w:szCs w:val="24"/>
        </w:rPr>
        <w:t xml:space="preserve">he following condition will be listed on </w:t>
      </w:r>
      <w:r w:rsidRPr="000E2770">
        <w:rPr>
          <w:rFonts w:cs="Arial"/>
          <w:szCs w:val="24"/>
        </w:rPr>
        <w:t xml:space="preserve">the ATC permit as a mechanism </w:t>
      </w:r>
      <w:r w:rsidRPr="00E43E34">
        <w:rPr>
          <w:rFonts w:cs="Arial"/>
          <w:color w:val="000000"/>
          <w:szCs w:val="24"/>
        </w:rPr>
        <w:t>to ensure compliance:</w:t>
      </w:r>
    </w:p>
    <w:p w14:paraId="52C968C9" w14:textId="77777777" w:rsidR="00B723CC" w:rsidRPr="00E43E34" w:rsidRDefault="00B723CC" w:rsidP="00B723CC">
      <w:pPr>
        <w:rPr>
          <w:rFonts w:cs="Arial"/>
          <w:color w:val="000000"/>
          <w:szCs w:val="24"/>
        </w:rPr>
      </w:pPr>
    </w:p>
    <w:p w14:paraId="4070ABE4" w14:textId="77777777" w:rsidR="00B723CC" w:rsidRPr="00866426" w:rsidRDefault="00B723CC" w:rsidP="00B723CC">
      <w:pPr>
        <w:numPr>
          <w:ilvl w:val="0"/>
          <w:numId w:val="51"/>
        </w:numPr>
        <w:tabs>
          <w:tab w:val="num" w:pos="360"/>
        </w:tabs>
        <w:ind w:left="360"/>
        <w:rPr>
          <w:rFonts w:cs="Arial"/>
          <w:color w:val="000000"/>
        </w:rPr>
      </w:pPr>
      <w:r w:rsidRPr="00866426">
        <w:rPr>
          <w:rFonts w:cs="Arial"/>
          <w:bCs/>
          <w:color w:val="000000"/>
        </w:rPr>
        <w:t>{14} Particulate matter emissions shall not exceed 0.1 grains/dscf in concentration. [District Rule 4201]</w:t>
      </w:r>
    </w:p>
    <w:p w14:paraId="7C2B90E3" w14:textId="77777777" w:rsidR="00325BC2" w:rsidRPr="006F1EE0" w:rsidRDefault="00325BC2" w:rsidP="00E75CEC">
      <w:pPr>
        <w:pStyle w:val="Heading4"/>
      </w:pPr>
      <w:r w:rsidRPr="006F1EE0">
        <w:t>Rule 4202</w:t>
      </w:r>
      <w:r w:rsidRPr="006F1EE0">
        <w:tab/>
        <w:t>Particulate Matter - Emission Rate</w:t>
      </w:r>
    </w:p>
    <w:p w14:paraId="0EA18713" w14:textId="77777777" w:rsidR="00325BC2" w:rsidRPr="006F1EE0" w:rsidRDefault="00325BC2" w:rsidP="00325BC2">
      <w:r w:rsidRPr="006F1EE0">
        <w:rPr>
          <w:rFonts w:cs="Arial"/>
          <w:szCs w:val="24"/>
        </w:rPr>
        <w:t xml:space="preserve">The purpose of this rule is to limit particulate matter emissions by establishing allowable emission rates. </w:t>
      </w:r>
      <w:r w:rsidRPr="006F1EE0">
        <w:t>Per section 4.1, particulate matter emissions from any source operation shall not exceed the allowable hourly emission rate as calculated using the following applicable formulas:</w:t>
      </w:r>
    </w:p>
    <w:p w14:paraId="65C7974D" w14:textId="77777777" w:rsidR="00325BC2" w:rsidRPr="00EE678E" w:rsidRDefault="00325BC2" w:rsidP="00325BC2">
      <w:pPr>
        <w:rPr>
          <w:szCs w:val="24"/>
        </w:rPr>
      </w:pPr>
    </w:p>
    <w:p w14:paraId="3504560A" w14:textId="77777777" w:rsidR="00325BC2" w:rsidRPr="00E83450" w:rsidRDefault="00325BC2" w:rsidP="00325BC2">
      <w:pPr>
        <w:suppressAutoHyphens/>
        <w:ind w:left="360"/>
        <w:rPr>
          <w:spacing w:val="-3"/>
        </w:rPr>
      </w:pPr>
      <w:r w:rsidRPr="00E83450">
        <w:rPr>
          <w:spacing w:val="-3"/>
        </w:rPr>
        <w:t>E = 3.59 P</w:t>
      </w:r>
      <w:r w:rsidRPr="00E83450">
        <w:rPr>
          <w:spacing w:val="-3"/>
          <w:vertAlign w:val="superscript"/>
        </w:rPr>
        <w:t xml:space="preserve">0.62 </w:t>
      </w:r>
      <w:r w:rsidRPr="00E83450">
        <w:rPr>
          <w:spacing w:val="-3"/>
        </w:rPr>
        <w:t xml:space="preserve"> (when, P = process weight rate </w:t>
      </w:r>
      <w:r w:rsidRPr="00E83450">
        <w:rPr>
          <w:spacing w:val="-3"/>
        </w:rPr>
        <w:sym w:font="Symbol" w:char="F0A3"/>
      </w:r>
      <w:r w:rsidRPr="00E83450">
        <w:rPr>
          <w:spacing w:val="-3"/>
        </w:rPr>
        <w:t xml:space="preserve"> 30 tons/hr)</w:t>
      </w:r>
    </w:p>
    <w:p w14:paraId="02659B26" w14:textId="77777777" w:rsidR="00325BC2" w:rsidRDefault="00325BC2" w:rsidP="00325BC2">
      <w:pPr>
        <w:suppressAutoHyphens/>
        <w:ind w:left="360"/>
        <w:rPr>
          <w:spacing w:val="-3"/>
        </w:rPr>
      </w:pPr>
      <w:r w:rsidRPr="00E83450">
        <w:rPr>
          <w:spacing w:val="-3"/>
        </w:rPr>
        <w:t>E = 17.31 P</w:t>
      </w:r>
      <w:r w:rsidRPr="00E83450">
        <w:rPr>
          <w:spacing w:val="-3"/>
          <w:vertAlign w:val="superscript"/>
        </w:rPr>
        <w:t xml:space="preserve">0.16 </w:t>
      </w:r>
      <w:r w:rsidRPr="00E83450">
        <w:rPr>
          <w:spacing w:val="-3"/>
        </w:rPr>
        <w:t xml:space="preserve"> (when, P = process weight rate </w:t>
      </w:r>
      <w:r w:rsidRPr="00E83450">
        <w:rPr>
          <w:spacing w:val="-3"/>
        </w:rPr>
        <w:sym w:font="Symbol" w:char="F03E"/>
      </w:r>
      <w:r w:rsidRPr="00E83450">
        <w:rPr>
          <w:spacing w:val="-3"/>
        </w:rPr>
        <w:t xml:space="preserve"> 30 tons/hr)</w:t>
      </w:r>
    </w:p>
    <w:p w14:paraId="0EFDA84C" w14:textId="77777777" w:rsidR="00325BC2" w:rsidRPr="00E83450" w:rsidRDefault="00325BC2" w:rsidP="00325BC2">
      <w:pPr>
        <w:suppressAutoHyphens/>
        <w:ind w:left="360"/>
        <w:rPr>
          <w:spacing w:val="-3"/>
        </w:rPr>
      </w:pPr>
    </w:p>
    <w:p w14:paraId="342E1486" w14:textId="77777777" w:rsidR="00325BC2" w:rsidRDefault="00325BC2" w:rsidP="00325BC2">
      <w:pPr>
        <w:suppressAutoHyphens/>
        <w:autoSpaceDE w:val="0"/>
        <w:autoSpaceDN w:val="0"/>
        <w:adjustRightInd w:val="0"/>
        <w:ind w:left="360" w:firstLine="720"/>
        <w:rPr>
          <w:rFonts w:cs="Arial"/>
          <w:spacing w:val="-3"/>
        </w:rPr>
      </w:pPr>
      <w:r w:rsidRPr="006F1EE0">
        <w:rPr>
          <w:rFonts w:cs="Arial"/>
          <w:spacing w:val="-3"/>
        </w:rPr>
        <w:t xml:space="preserve">Where, </w:t>
      </w:r>
    </w:p>
    <w:p w14:paraId="66D629E6" w14:textId="77777777" w:rsidR="00325BC2" w:rsidRDefault="00325BC2" w:rsidP="00325BC2">
      <w:pPr>
        <w:suppressAutoHyphens/>
        <w:autoSpaceDE w:val="0"/>
        <w:autoSpaceDN w:val="0"/>
        <w:adjustRightInd w:val="0"/>
        <w:ind w:left="360" w:firstLine="720"/>
        <w:rPr>
          <w:rFonts w:cs="Arial"/>
          <w:spacing w:val="-3"/>
        </w:rPr>
      </w:pPr>
    </w:p>
    <w:p w14:paraId="411258DC" w14:textId="77777777" w:rsidR="00325BC2" w:rsidRPr="006F1EE0" w:rsidRDefault="00325BC2" w:rsidP="00325BC2">
      <w:pPr>
        <w:suppressAutoHyphens/>
        <w:autoSpaceDE w:val="0"/>
        <w:autoSpaceDN w:val="0"/>
        <w:adjustRightInd w:val="0"/>
        <w:ind w:left="360" w:firstLine="720"/>
      </w:pPr>
      <w:r w:rsidRPr="006F1EE0">
        <w:rPr>
          <w:rFonts w:cs="Arial"/>
          <w:spacing w:val="-3"/>
        </w:rPr>
        <w:t>E = emissions in (lb/hr)</w:t>
      </w:r>
      <w:r>
        <w:rPr>
          <w:rFonts w:cs="Arial"/>
          <w:spacing w:val="-3"/>
        </w:rPr>
        <w:t xml:space="preserve"> </w:t>
      </w:r>
      <w:r w:rsidRPr="006F1EE0">
        <w:rPr>
          <w:rFonts w:cs="Arial"/>
          <w:spacing w:val="-3"/>
        </w:rPr>
        <w:t>and</w:t>
      </w:r>
      <w:r w:rsidRPr="006F1EE0">
        <w:rPr>
          <w:rFonts w:cs="Arial"/>
          <w:spacing w:val="-3"/>
        </w:rPr>
        <w:tab/>
        <w:t>P = process weight rate in (tons/hr)</w:t>
      </w:r>
    </w:p>
    <w:p w14:paraId="77E7D6DF" w14:textId="77777777" w:rsidR="00325BC2" w:rsidRDefault="00325BC2" w:rsidP="00325BC2">
      <w:pPr>
        <w:suppressAutoHyphens/>
        <w:autoSpaceDE w:val="0"/>
        <w:autoSpaceDN w:val="0"/>
        <w:adjustRightInd w:val="0"/>
        <w:ind w:left="360" w:firstLine="360"/>
      </w:pPr>
    </w:p>
    <w:p w14:paraId="142B18E2" w14:textId="77777777" w:rsidR="00325BC2" w:rsidRDefault="00325BC2" w:rsidP="00325BC2">
      <w:pPr>
        <w:suppressAutoHyphens/>
        <w:ind w:left="360"/>
        <w:rPr>
          <w:spacing w:val="-3"/>
          <w:u w:val="single"/>
        </w:rPr>
      </w:pPr>
      <w:r w:rsidRPr="00B11BBE">
        <w:rPr>
          <w:spacing w:val="-3"/>
          <w:u w:val="single"/>
        </w:rPr>
        <w:t>Maximum Processing Rate</w:t>
      </w:r>
    </w:p>
    <w:p w14:paraId="546650EB" w14:textId="77777777" w:rsidR="00325BC2" w:rsidRDefault="00325BC2" w:rsidP="00325BC2">
      <w:pPr>
        <w:suppressAutoHyphens/>
        <w:rPr>
          <w:spacing w:val="-3"/>
          <w:u w:val="single"/>
        </w:rPr>
      </w:pPr>
    </w:p>
    <w:p w14:paraId="743B37C3" w14:textId="4A5B7723" w:rsidR="00325BC2" w:rsidRPr="00B11BBE" w:rsidRDefault="00325BC2" w:rsidP="00325BC2">
      <w:pPr>
        <w:suppressAutoHyphens/>
        <w:ind w:left="360"/>
        <w:rPr>
          <w:rFonts w:cs="Arial"/>
          <w:spacing w:val="-3"/>
          <w:szCs w:val="24"/>
          <w:u w:val="single"/>
        </w:rPr>
      </w:pPr>
      <w:r w:rsidRPr="00863F36">
        <w:rPr>
          <w:rFonts w:cs="Arial"/>
          <w:spacing w:val="-3"/>
          <w:szCs w:val="24"/>
        </w:rPr>
        <w:t xml:space="preserve">The maximum hourly processing rates for </w:t>
      </w:r>
      <w:r w:rsidRPr="00863F36">
        <w:rPr>
          <w:rFonts w:cs="Arial"/>
          <w:color w:val="0000FF"/>
          <w:spacing w:val="-3"/>
          <w:szCs w:val="24"/>
        </w:rPr>
        <w:t>X</w:t>
      </w:r>
      <w:r w:rsidR="008F2678">
        <w:rPr>
          <w:rFonts w:cs="Arial"/>
          <w:color w:val="0000FF"/>
          <w:spacing w:val="-3"/>
          <w:szCs w:val="24"/>
        </w:rPr>
        <w:t>-</w:t>
      </w:r>
      <w:r w:rsidRPr="00863F36">
        <w:rPr>
          <w:rFonts w:cs="Arial"/>
          <w:color w:val="0000FF"/>
          <w:spacing w:val="-3"/>
          <w:szCs w:val="24"/>
        </w:rPr>
        <w:t>XXX</w:t>
      </w:r>
      <w:r>
        <w:rPr>
          <w:rFonts w:cs="Arial"/>
          <w:color w:val="0000FF"/>
          <w:spacing w:val="-3"/>
          <w:szCs w:val="24"/>
        </w:rPr>
        <w:t>X</w:t>
      </w:r>
      <w:r w:rsidR="008F2678">
        <w:rPr>
          <w:rFonts w:cs="Arial"/>
          <w:color w:val="0000FF"/>
          <w:spacing w:val="-3"/>
          <w:szCs w:val="24"/>
        </w:rPr>
        <w:t>-X-X</w:t>
      </w:r>
      <w:r>
        <w:rPr>
          <w:rFonts w:cs="Arial"/>
          <w:color w:val="0000FF"/>
          <w:spacing w:val="-3"/>
          <w:szCs w:val="24"/>
        </w:rPr>
        <w:t xml:space="preserve"> </w:t>
      </w:r>
      <w:r w:rsidRPr="000E2770">
        <w:rPr>
          <w:rFonts w:cs="Arial"/>
          <w:spacing w:val="-3"/>
          <w:szCs w:val="24"/>
        </w:rPr>
        <w:t>is</w:t>
      </w:r>
      <w:r>
        <w:rPr>
          <w:rFonts w:cs="Arial"/>
          <w:color w:val="0000FF"/>
          <w:spacing w:val="-3"/>
          <w:szCs w:val="24"/>
        </w:rPr>
        <w:t xml:space="preserve"> XX </w:t>
      </w:r>
      <w:r w:rsidRPr="00CD57AB">
        <w:rPr>
          <w:rFonts w:cs="Arial"/>
          <w:spacing w:val="-3"/>
          <w:szCs w:val="24"/>
        </w:rPr>
        <w:t>tons/hr</w:t>
      </w:r>
    </w:p>
    <w:p w14:paraId="1ED71F5D" w14:textId="77777777" w:rsidR="00325BC2" w:rsidRDefault="00325BC2" w:rsidP="00325BC2">
      <w:pPr>
        <w:suppressAutoHyphens/>
        <w:ind w:left="540"/>
        <w:rPr>
          <w:rFonts w:cs="Arial"/>
          <w:spacing w:val="-3"/>
        </w:rPr>
      </w:pPr>
    </w:p>
    <w:p w14:paraId="3DDAFF70" w14:textId="77777777" w:rsidR="00325BC2" w:rsidRDefault="00325BC2" w:rsidP="00325BC2">
      <w:pPr>
        <w:suppressAutoHyphens/>
        <w:ind w:left="360"/>
        <w:rPr>
          <w:rFonts w:cs="Arial"/>
          <w:spacing w:val="-3"/>
          <w:u w:val="single"/>
        </w:rPr>
      </w:pPr>
      <w:r w:rsidRPr="0078145E">
        <w:rPr>
          <w:rFonts w:cs="Arial"/>
          <w:spacing w:val="-3"/>
          <w:u w:val="single"/>
        </w:rPr>
        <w:t xml:space="preserve">Maximum Allowable </w:t>
      </w:r>
      <w:r>
        <w:rPr>
          <w:rFonts w:cs="Arial"/>
          <w:spacing w:val="-3"/>
          <w:u w:val="single"/>
        </w:rPr>
        <w:t xml:space="preserve">PM </w:t>
      </w:r>
      <w:r w:rsidRPr="0078145E">
        <w:rPr>
          <w:rFonts w:cs="Arial"/>
          <w:spacing w:val="-3"/>
          <w:u w:val="single"/>
        </w:rPr>
        <w:t>Emission Rate</w:t>
      </w:r>
    </w:p>
    <w:p w14:paraId="15863E90" w14:textId="77777777" w:rsidR="00325BC2" w:rsidRDefault="00325BC2" w:rsidP="00325BC2">
      <w:pPr>
        <w:suppressAutoHyphens/>
        <w:rPr>
          <w:rFonts w:cs="Arial"/>
          <w:spacing w:val="-3"/>
          <w:u w:val="single"/>
        </w:rPr>
      </w:pPr>
    </w:p>
    <w:p w14:paraId="5A1AC9BE" w14:textId="77777777" w:rsidR="00325BC2" w:rsidRPr="00DB1264" w:rsidRDefault="00325BC2" w:rsidP="00325BC2">
      <w:pPr>
        <w:suppressAutoHyphens/>
        <w:ind w:left="360"/>
        <w:rPr>
          <w:spacing w:val="-2"/>
        </w:rPr>
      </w:pPr>
      <w:r w:rsidRPr="00DB1264">
        <w:t>T</w:t>
      </w:r>
      <w:r w:rsidRPr="00DB1264">
        <w:rPr>
          <w:spacing w:val="-3"/>
        </w:rPr>
        <w:t xml:space="preserve">he maximum </w:t>
      </w:r>
      <w:r w:rsidRPr="00DB1264">
        <w:t xml:space="preserve">allowable PM </w:t>
      </w:r>
      <w:r w:rsidRPr="00DB1264">
        <w:rPr>
          <w:spacing w:val="-3"/>
        </w:rPr>
        <w:t>hourly</w:t>
      </w:r>
      <w:r w:rsidRPr="00DB1264">
        <w:t xml:space="preserve"> </w:t>
      </w:r>
      <w:r w:rsidRPr="00DB1264">
        <w:rPr>
          <w:spacing w:val="-3"/>
        </w:rPr>
        <w:t>emission rate fro</w:t>
      </w:r>
      <w:r w:rsidRPr="00DB1264">
        <w:t xml:space="preserve">m each </w:t>
      </w:r>
      <w:r w:rsidRPr="00DB1264">
        <w:rPr>
          <w:spacing w:val="-3"/>
        </w:rPr>
        <w:t xml:space="preserve">truck unloading point at the sand and coarse aggregate receiving and storage operation </w:t>
      </w:r>
      <w:r w:rsidRPr="00DB1264">
        <w:rPr>
          <w:spacing w:val="-2"/>
        </w:rPr>
        <w:t>is calculated as follows</w:t>
      </w:r>
      <w:r w:rsidRPr="00DB1264">
        <w:rPr>
          <w:spacing w:val="-3"/>
        </w:rPr>
        <w:t>:</w:t>
      </w:r>
    </w:p>
    <w:p w14:paraId="50BA570A" w14:textId="77777777" w:rsidR="00325BC2" w:rsidRPr="00DB1264" w:rsidRDefault="00325BC2" w:rsidP="00325BC2">
      <w:pPr>
        <w:suppressAutoHyphens/>
        <w:ind w:left="360"/>
        <w:rPr>
          <w:spacing w:val="-3"/>
        </w:rPr>
      </w:pPr>
    </w:p>
    <w:p w14:paraId="17A9EC62" w14:textId="77777777" w:rsidR="00325BC2" w:rsidRPr="00DB1264" w:rsidRDefault="00325BC2" w:rsidP="00325BC2">
      <w:pPr>
        <w:suppressAutoHyphens/>
        <w:ind w:left="720" w:hanging="360"/>
        <w:rPr>
          <w:color w:val="0000FF"/>
          <w:spacing w:val="-3"/>
        </w:rPr>
      </w:pPr>
      <w:r w:rsidRPr="00DB1264">
        <w:rPr>
          <w:color w:val="0000FF"/>
          <w:spacing w:val="-3"/>
        </w:rPr>
        <w:t>E = 3.59 x XXX</w:t>
      </w:r>
      <w:r w:rsidRPr="00DB1264">
        <w:rPr>
          <w:color w:val="0000FF"/>
          <w:spacing w:val="-3"/>
          <w:vertAlign w:val="superscript"/>
        </w:rPr>
        <w:t>0.62</w:t>
      </w:r>
      <w:r w:rsidRPr="00DB1264">
        <w:rPr>
          <w:color w:val="0000FF"/>
          <w:spacing w:val="-3"/>
        </w:rPr>
        <w:t xml:space="preserve"> = XX.XX </w:t>
      </w:r>
      <w:r w:rsidRPr="00DB1264">
        <w:rPr>
          <w:color w:val="0000FF"/>
        </w:rPr>
        <w:t>lb-PM/hr</w:t>
      </w:r>
    </w:p>
    <w:p w14:paraId="6CDE2598" w14:textId="77777777" w:rsidR="00325BC2" w:rsidRPr="00DB1264" w:rsidRDefault="00325BC2" w:rsidP="00325BC2">
      <w:pPr>
        <w:suppressAutoHyphens/>
        <w:ind w:left="720" w:hanging="360"/>
        <w:rPr>
          <w:color w:val="FF0000"/>
          <w:spacing w:val="-3"/>
        </w:rPr>
      </w:pPr>
      <w:r w:rsidRPr="00DB1264">
        <w:rPr>
          <w:color w:val="FF0000"/>
          <w:spacing w:val="-3"/>
        </w:rPr>
        <w:t>{or}</w:t>
      </w:r>
    </w:p>
    <w:p w14:paraId="215528B0" w14:textId="77777777" w:rsidR="00325BC2" w:rsidRPr="00DB1264" w:rsidRDefault="00325BC2" w:rsidP="00325BC2">
      <w:pPr>
        <w:suppressAutoHyphens/>
        <w:ind w:left="720" w:hanging="360"/>
        <w:rPr>
          <w:color w:val="0000FF"/>
          <w:spacing w:val="-3"/>
        </w:rPr>
      </w:pPr>
      <w:r w:rsidRPr="00DB1264">
        <w:rPr>
          <w:color w:val="0000FF"/>
          <w:spacing w:val="-3"/>
        </w:rPr>
        <w:t>E = 17.31 x XXX</w:t>
      </w:r>
      <w:r w:rsidRPr="00DB1264">
        <w:rPr>
          <w:color w:val="0000FF"/>
          <w:spacing w:val="-3"/>
          <w:vertAlign w:val="superscript"/>
        </w:rPr>
        <w:t>0.16</w:t>
      </w:r>
      <w:r w:rsidRPr="00DB1264">
        <w:rPr>
          <w:color w:val="0000FF"/>
          <w:spacing w:val="-3"/>
        </w:rPr>
        <w:t xml:space="preserve"> = XX.XX </w:t>
      </w:r>
      <w:r w:rsidRPr="00DB1264">
        <w:rPr>
          <w:color w:val="0000FF"/>
        </w:rPr>
        <w:t>lb-PM/hr</w:t>
      </w:r>
    </w:p>
    <w:p w14:paraId="5B06B423" w14:textId="77777777" w:rsidR="00325BC2" w:rsidRPr="00EE678E" w:rsidRDefault="00325BC2" w:rsidP="00325BC2">
      <w:pPr>
        <w:suppressAutoHyphens/>
        <w:rPr>
          <w:rFonts w:cs="Arial"/>
          <w:spacing w:val="-3"/>
        </w:rPr>
      </w:pPr>
    </w:p>
    <w:p w14:paraId="2B399881" w14:textId="77777777" w:rsidR="00325BC2" w:rsidRPr="000F2459" w:rsidRDefault="00325BC2" w:rsidP="00325BC2">
      <w:pPr>
        <w:suppressAutoHyphens/>
        <w:ind w:left="360"/>
        <w:rPr>
          <w:rFonts w:cs="Arial"/>
          <w:spacing w:val="-3"/>
          <w:u w:val="single"/>
        </w:rPr>
      </w:pPr>
      <w:r w:rsidRPr="00DB1264">
        <w:rPr>
          <w:rFonts w:cs="Arial"/>
          <w:spacing w:val="-3"/>
          <w:u w:val="single"/>
        </w:rPr>
        <w:t xml:space="preserve">Actual </w:t>
      </w:r>
      <w:r w:rsidRPr="00DB1264">
        <w:rPr>
          <w:rFonts w:cs="Arial"/>
          <w:u w:val="single"/>
        </w:rPr>
        <w:t>Emission</w:t>
      </w:r>
      <w:r w:rsidRPr="00DB1264">
        <w:rPr>
          <w:rFonts w:cs="Arial"/>
          <w:spacing w:val="-3"/>
          <w:u w:val="single"/>
        </w:rPr>
        <w:t xml:space="preserve"> Rate</w:t>
      </w:r>
    </w:p>
    <w:p w14:paraId="5B9C5505" w14:textId="1AC3E64F" w:rsidR="00325BC2" w:rsidRDefault="00325BC2" w:rsidP="00325BC2">
      <w:pPr>
        <w:ind w:left="360"/>
        <w:rPr>
          <w:bCs/>
          <w:color w:val="FF0000"/>
        </w:rPr>
      </w:pPr>
      <w:r>
        <w:rPr>
          <w:color w:val="FF0000"/>
        </w:rPr>
        <w:t>If unknown, t</w:t>
      </w:r>
      <w:r w:rsidRPr="009F5E52">
        <w:rPr>
          <w:color w:val="FF0000"/>
        </w:rPr>
        <w:t>o determine</w:t>
      </w:r>
      <w:r>
        <w:rPr>
          <w:color w:val="FF0000"/>
        </w:rPr>
        <w:t xml:space="preserve"> total PM Emissions, you may refer to </w:t>
      </w:r>
      <w:r w:rsidR="009977C7">
        <w:rPr>
          <w:color w:val="FF0000"/>
        </w:rPr>
        <w:t xml:space="preserve">the PM speciation profile </w:t>
      </w:r>
      <w:r w:rsidRPr="004F01D2">
        <w:rPr>
          <w:bCs/>
          <w:color w:val="FF0000"/>
        </w:rPr>
        <w:t xml:space="preserve">for the </w:t>
      </w:r>
      <w:r w:rsidRPr="004F01D2">
        <w:rPr>
          <w:color w:val="FF0000"/>
        </w:rPr>
        <w:t xml:space="preserve">weight fraction of </w:t>
      </w:r>
      <w:r w:rsidRPr="004F01D2">
        <w:rPr>
          <w:bCs/>
          <w:color w:val="FF0000"/>
        </w:rPr>
        <w:t>PM10 emissions emitted from each process</w:t>
      </w:r>
      <w:r w:rsidR="00900935">
        <w:rPr>
          <w:bCs/>
          <w:color w:val="FF0000"/>
        </w:rPr>
        <w:t>.</w:t>
      </w:r>
    </w:p>
    <w:p w14:paraId="17767796" w14:textId="77777777" w:rsidR="00325BC2" w:rsidRPr="006F1EE0" w:rsidRDefault="00325BC2" w:rsidP="00325BC2">
      <w:pPr>
        <w:tabs>
          <w:tab w:val="num" w:pos="2160"/>
        </w:tabs>
        <w:suppressAutoHyphens/>
        <w:ind w:left="540"/>
        <w:rPr>
          <w:rFonts w:cs="Arial"/>
        </w:rPr>
      </w:pPr>
    </w:p>
    <w:p w14:paraId="36D67602" w14:textId="77777777" w:rsidR="00325BC2" w:rsidRPr="006F1EE0" w:rsidRDefault="00325BC2" w:rsidP="00325BC2">
      <w:pPr>
        <w:tabs>
          <w:tab w:val="num" w:pos="2160"/>
        </w:tabs>
        <w:suppressAutoHyphens/>
        <w:ind w:left="360"/>
        <w:rPr>
          <w:rFonts w:cs="Arial"/>
        </w:rPr>
      </w:pPr>
      <w:r>
        <w:rPr>
          <w:rFonts w:cs="Arial"/>
        </w:rPr>
        <w:t xml:space="preserve">In accordance to </w:t>
      </w:r>
      <w:r>
        <w:rPr>
          <w:rFonts w:cs="Arial"/>
          <w:color w:val="0000FF"/>
        </w:rPr>
        <w:t>[</w:t>
      </w:r>
      <w:r w:rsidRPr="007F2B7E">
        <w:rPr>
          <w:rFonts w:cs="Arial"/>
          <w:color w:val="0000FF"/>
        </w:rPr>
        <w:t>Source</w:t>
      </w:r>
      <w:r>
        <w:rPr>
          <w:rFonts w:cs="Arial"/>
          <w:color w:val="0000FF"/>
        </w:rPr>
        <w:t xml:space="preserve"> Used]</w:t>
      </w:r>
      <w:r>
        <w:rPr>
          <w:rFonts w:cs="Arial"/>
        </w:rPr>
        <w:t xml:space="preserve"> the Weight Fraction </w:t>
      </w:r>
      <w:r w:rsidRPr="006F1EE0">
        <w:rPr>
          <w:rFonts w:cs="Arial"/>
        </w:rPr>
        <w:t>of PM</w:t>
      </w:r>
      <w:r>
        <w:rPr>
          <w:rFonts w:cs="Arial"/>
        </w:rPr>
        <w:t>10 for [</w:t>
      </w:r>
      <w:r>
        <w:rPr>
          <w:rFonts w:cs="Arial"/>
          <w:color w:val="0000FF"/>
        </w:rPr>
        <w:t>Type of Operation]</w:t>
      </w:r>
      <w:r w:rsidRPr="005954A0">
        <w:rPr>
          <w:rFonts w:cs="Arial"/>
          <w:color w:val="0000FF"/>
        </w:rPr>
        <w:t xml:space="preserve"> </w:t>
      </w:r>
      <w:r>
        <w:rPr>
          <w:rFonts w:cs="Arial"/>
          <w:color w:val="0000FF"/>
        </w:rPr>
        <w:t>o</w:t>
      </w:r>
      <w:r w:rsidRPr="005954A0">
        <w:rPr>
          <w:rFonts w:cs="Arial"/>
          <w:color w:val="0000FF"/>
        </w:rPr>
        <w:t>p</w:t>
      </w:r>
      <w:r>
        <w:rPr>
          <w:rFonts w:cs="Arial"/>
          <w:color w:val="0000FF"/>
        </w:rPr>
        <w:t>e</w:t>
      </w:r>
      <w:r w:rsidRPr="005954A0">
        <w:rPr>
          <w:rFonts w:cs="Arial"/>
          <w:color w:val="0000FF"/>
        </w:rPr>
        <w:t>ratio</w:t>
      </w:r>
      <w:r>
        <w:rPr>
          <w:rFonts w:cs="Arial"/>
          <w:color w:val="0000FF"/>
        </w:rPr>
        <w:t>ns is XXX (lb-PM10/lb-PM)</w:t>
      </w:r>
      <w:r w:rsidRPr="006F1EE0">
        <w:rPr>
          <w:rFonts w:cs="Arial"/>
        </w:rPr>
        <w:t>, the highest emission rate of this operation is calculated as lb-PM/h</w:t>
      </w:r>
      <w:r>
        <w:rPr>
          <w:rFonts w:cs="Arial"/>
        </w:rPr>
        <w:t>r.</w:t>
      </w:r>
    </w:p>
    <w:p w14:paraId="5C79ED43" w14:textId="77777777" w:rsidR="00325BC2" w:rsidRPr="006F1EE0" w:rsidRDefault="00325BC2" w:rsidP="00325BC2">
      <w:pPr>
        <w:tabs>
          <w:tab w:val="num" w:pos="2160"/>
        </w:tabs>
        <w:suppressAutoHyphens/>
        <w:rPr>
          <w:rFonts w:cs="Arial"/>
          <w:spacing w:val="-3"/>
        </w:rPr>
      </w:pPr>
    </w:p>
    <w:p w14:paraId="4C900891" w14:textId="77777777" w:rsidR="00325BC2" w:rsidRPr="006F1EE0" w:rsidRDefault="00325BC2" w:rsidP="00325BC2">
      <w:pPr>
        <w:tabs>
          <w:tab w:val="num" w:pos="360"/>
        </w:tabs>
        <w:suppressAutoHyphens/>
        <w:ind w:left="360"/>
        <w:rPr>
          <w:spacing w:val="-2"/>
          <w:u w:val="single"/>
        </w:rPr>
      </w:pPr>
      <w:r w:rsidRPr="006F1EE0">
        <w:rPr>
          <w:rFonts w:cs="Arial"/>
        </w:rPr>
        <w:tab/>
        <w:t>E</w:t>
      </w:r>
      <w:r w:rsidRPr="006F1EE0">
        <w:rPr>
          <w:rFonts w:cs="Arial"/>
          <w:vertAlign w:val="subscript"/>
        </w:rPr>
        <w:t>actual</w:t>
      </w:r>
      <w:r w:rsidRPr="006F1EE0">
        <w:rPr>
          <w:rFonts w:cs="Arial"/>
        </w:rPr>
        <w:tab/>
        <w:t xml:space="preserve">= </w:t>
      </w:r>
      <w:r>
        <w:rPr>
          <w:rFonts w:cs="Arial"/>
        </w:rPr>
        <w:t>Hourly PE2 (lb-PM10/hr)</w:t>
      </w:r>
      <w:r w:rsidRPr="006F1EE0">
        <w:rPr>
          <w:rFonts w:cs="Arial"/>
        </w:rPr>
        <w:t xml:space="preserve"> </w:t>
      </w:r>
      <w:r>
        <w:rPr>
          <w:rFonts w:cs="Arial"/>
        </w:rPr>
        <w:t xml:space="preserve">÷ Weight Fraction (lb-PM10/lb-PM) </w:t>
      </w:r>
    </w:p>
    <w:p w14:paraId="4CA58BBA" w14:textId="77777777" w:rsidR="00325BC2" w:rsidRPr="006F1EE0" w:rsidRDefault="00325BC2" w:rsidP="00325BC2">
      <w:pPr>
        <w:tabs>
          <w:tab w:val="num" w:pos="2160"/>
        </w:tabs>
        <w:suppressAutoHyphens/>
        <w:ind w:left="540"/>
        <w:rPr>
          <w:spacing w:val="-2"/>
          <w:u w:val="single"/>
        </w:rPr>
      </w:pPr>
    </w:p>
    <w:p w14:paraId="05EE2B60" w14:textId="77777777" w:rsidR="00325BC2" w:rsidRPr="006F1EE0" w:rsidRDefault="00325BC2" w:rsidP="00325BC2">
      <w:pPr>
        <w:suppressAutoHyphens/>
        <w:ind w:left="360"/>
        <w:rPr>
          <w:rFonts w:cs="Arial"/>
          <w:spacing w:val="-3"/>
        </w:rPr>
      </w:pPr>
      <w:r w:rsidRPr="006F1EE0">
        <w:rPr>
          <w:rFonts w:cs="Arial"/>
          <w:szCs w:val="24"/>
        </w:rPr>
        <w:t xml:space="preserve">Since </w:t>
      </w:r>
      <w:r w:rsidRPr="006F1EE0">
        <w:rPr>
          <w:rFonts w:cs="Arial"/>
          <w:spacing w:val="-3"/>
        </w:rPr>
        <w:t>E</w:t>
      </w:r>
      <w:r w:rsidRPr="006F1EE0">
        <w:rPr>
          <w:rFonts w:cs="Arial"/>
          <w:spacing w:val="-3"/>
          <w:vertAlign w:val="subscript"/>
        </w:rPr>
        <w:t xml:space="preserve">actual </w:t>
      </w:r>
      <w:r w:rsidRPr="006F1EE0">
        <w:rPr>
          <w:rFonts w:cs="Arial"/>
          <w:spacing w:val="-3"/>
        </w:rPr>
        <w:sym w:font="Symbol" w:char="F03C"/>
      </w:r>
      <w:r w:rsidRPr="006F1EE0">
        <w:rPr>
          <w:rFonts w:cs="Arial"/>
          <w:spacing w:val="-3"/>
        </w:rPr>
        <w:t xml:space="preserve"> E</w:t>
      </w:r>
      <w:r w:rsidRPr="006F1EE0">
        <w:rPr>
          <w:rFonts w:cs="Arial"/>
          <w:spacing w:val="-3"/>
          <w:vertAlign w:val="subscript"/>
        </w:rPr>
        <w:t>max</w:t>
      </w:r>
      <w:r w:rsidRPr="006F1EE0">
        <w:rPr>
          <w:rFonts w:cs="Arial"/>
          <w:szCs w:val="24"/>
        </w:rPr>
        <w:t>, compliance with this rule is expected under regular operating conditions.</w:t>
      </w:r>
    </w:p>
    <w:p w14:paraId="041C6752" w14:textId="03816F6C" w:rsidR="000177D5" w:rsidRPr="00E81353" w:rsidRDefault="000177D5" w:rsidP="00E75CEC">
      <w:pPr>
        <w:pStyle w:val="Heading4"/>
      </w:pPr>
      <w:r w:rsidRPr="00E81353">
        <w:t>All Other 4000 Series Rules</w:t>
      </w:r>
      <w:r w:rsidR="00830DD1">
        <w:t xml:space="preserve"> and Any Other Rules or Regulations</w:t>
      </w:r>
    </w:p>
    <w:p w14:paraId="3355F2C8" w14:textId="5A786137" w:rsidR="000177D5" w:rsidRPr="00993B55" w:rsidRDefault="000177D5" w:rsidP="007A60F3">
      <w:pPr>
        <w:widowControl w:val="0"/>
        <w:rPr>
          <w:color w:val="FF0000"/>
        </w:rPr>
      </w:pPr>
      <w:r w:rsidRPr="00993B55">
        <w:rPr>
          <w:color w:val="FF0000"/>
        </w:rPr>
        <w:t xml:space="preserve">Include all other </w:t>
      </w:r>
      <w:r w:rsidR="00830DD1">
        <w:rPr>
          <w:color w:val="FF0000"/>
        </w:rPr>
        <w:t>applicable rules that</w:t>
      </w:r>
      <w:r w:rsidRPr="00993B55">
        <w:rPr>
          <w:color w:val="FF0000"/>
        </w:rPr>
        <w:t xml:space="preserve"> apply to this project.  </w:t>
      </w:r>
      <w:r w:rsidR="00F51018">
        <w:rPr>
          <w:color w:val="FF0000"/>
        </w:rPr>
        <w:t>Break down the rules in detail</w:t>
      </w:r>
      <w:r w:rsidR="00B24EEE">
        <w:rPr>
          <w:color w:val="FF0000"/>
        </w:rPr>
        <w:t xml:space="preserve"> including</w:t>
      </w:r>
      <w:r w:rsidRPr="00993B55">
        <w:rPr>
          <w:color w:val="FF0000"/>
        </w:rPr>
        <w:t xml:space="preserve"> </w:t>
      </w:r>
      <w:r w:rsidR="00B24EEE">
        <w:rPr>
          <w:color w:val="FF0000"/>
        </w:rPr>
        <w:t xml:space="preserve">applicability and </w:t>
      </w:r>
      <w:r w:rsidRPr="00993B55">
        <w:rPr>
          <w:color w:val="FF0000"/>
        </w:rPr>
        <w:t>requirement</w:t>
      </w:r>
      <w:r w:rsidR="00E374BF">
        <w:rPr>
          <w:color w:val="FF0000"/>
        </w:rPr>
        <w:t xml:space="preserve"> discussions</w:t>
      </w:r>
      <w:r w:rsidR="009F103E">
        <w:rPr>
          <w:color w:val="FF0000"/>
        </w:rPr>
        <w:t xml:space="preserve"> and calculations in order to </w:t>
      </w:r>
      <w:r w:rsidRPr="00993B55">
        <w:rPr>
          <w:color w:val="FF0000"/>
        </w:rPr>
        <w:t>demonstrate that compliance is expected.</w:t>
      </w:r>
    </w:p>
    <w:p w14:paraId="280B8C95" w14:textId="77777777" w:rsidR="000177D5" w:rsidRPr="00E81353" w:rsidRDefault="000177D5" w:rsidP="00E75CEC">
      <w:pPr>
        <w:pStyle w:val="Heading4"/>
      </w:pPr>
      <w:r w:rsidRPr="00E81353">
        <w:t>California Health &amp; Safety Code 42301.6 (School Notice)</w:t>
      </w:r>
    </w:p>
    <w:p w14:paraId="18933D9C" w14:textId="54A20123" w:rsidR="000177D5" w:rsidRDefault="000177D5" w:rsidP="007A60F3">
      <w:pPr>
        <w:widowControl w:val="0"/>
        <w:rPr>
          <w:color w:val="FF0000"/>
        </w:rPr>
      </w:pPr>
      <w:r w:rsidRPr="00993B55">
        <w:rPr>
          <w:color w:val="FF0000"/>
        </w:rPr>
        <w:t>Reference project location and its proximity to a school and state whether or not school notice is required for this project.</w:t>
      </w:r>
    </w:p>
    <w:p w14:paraId="66127806" w14:textId="77777777" w:rsidR="007B5396" w:rsidRPr="00993B55" w:rsidRDefault="007B5396" w:rsidP="007A60F3">
      <w:pPr>
        <w:widowControl w:val="0"/>
        <w:rPr>
          <w:color w:val="FF0000"/>
        </w:rPr>
      </w:pPr>
    </w:p>
    <w:p w14:paraId="05436D21" w14:textId="35DEBBC1" w:rsidR="007B5396" w:rsidRPr="00993B55" w:rsidRDefault="007B5396" w:rsidP="007A60F3">
      <w:pPr>
        <w:widowControl w:val="0"/>
        <w:rPr>
          <w:i/>
          <w:iCs/>
          <w:color w:val="FF0000"/>
        </w:rPr>
      </w:pPr>
      <w:r w:rsidRPr="00993B55">
        <w:rPr>
          <w:i/>
          <w:iCs/>
          <w:color w:val="FF0000"/>
        </w:rPr>
        <w:t>(</w:t>
      </w:r>
      <w:r w:rsidRPr="00993B55">
        <w:rPr>
          <w:i/>
          <w:iCs/>
          <w:color w:val="FF0000"/>
          <w:u w:val="single"/>
        </w:rPr>
        <w:t>Note</w:t>
      </w:r>
      <w:r w:rsidRPr="00993B55">
        <w:rPr>
          <w:i/>
          <w:iCs/>
          <w:color w:val="FF0000"/>
        </w:rPr>
        <w:t xml:space="preserve">: </w:t>
      </w:r>
      <w:r w:rsidR="00D96983">
        <w:rPr>
          <w:i/>
          <w:iCs/>
          <w:color w:val="FF0000"/>
        </w:rPr>
        <w:t xml:space="preserve">Follow District practice </w:t>
      </w:r>
      <w:r w:rsidRPr="00993B55">
        <w:rPr>
          <w:i/>
          <w:iCs/>
          <w:color w:val="FF0000"/>
        </w:rPr>
        <w:t>for guidance on how to process a School Notice project.)</w:t>
      </w:r>
    </w:p>
    <w:p w14:paraId="63AF3AF9" w14:textId="40D1E79C" w:rsidR="000177D5" w:rsidRDefault="000177D5" w:rsidP="007A60F3">
      <w:pPr>
        <w:widowControl w:val="0"/>
      </w:pPr>
    </w:p>
    <w:p w14:paraId="5476503A" w14:textId="77777777" w:rsidR="000177D5" w:rsidRPr="00993B55" w:rsidRDefault="000177D5" w:rsidP="007A60F3">
      <w:pPr>
        <w:widowControl w:val="0"/>
        <w:tabs>
          <w:tab w:val="left" w:pos="1530"/>
        </w:tabs>
        <w:autoSpaceDE w:val="0"/>
        <w:autoSpaceDN w:val="0"/>
        <w:adjustRightInd w:val="0"/>
        <w:rPr>
          <w:i/>
          <w:iCs/>
          <w:color w:val="0000FF"/>
        </w:rPr>
      </w:pPr>
      <w:r w:rsidRPr="00993B55">
        <w:rPr>
          <w:i/>
          <w:iCs/>
          <w:color w:val="0000FF"/>
          <w:u w:val="single"/>
        </w:rPr>
        <w:t>Example (a)</w:t>
      </w:r>
      <w:r w:rsidRPr="00993B55">
        <w:rPr>
          <w:i/>
          <w:iCs/>
          <w:color w:val="0000FF"/>
        </w:rPr>
        <w:t>:</w:t>
      </w:r>
      <w:r w:rsidRPr="00993B55">
        <w:rPr>
          <w:i/>
          <w:iCs/>
          <w:color w:val="0000FF"/>
        </w:rPr>
        <w:tab/>
        <w:t>(For a Non-School Notice project - &gt; 1,000 feet.)</w:t>
      </w:r>
    </w:p>
    <w:p w14:paraId="59F09EE1" w14:textId="77777777" w:rsidR="000177D5" w:rsidRPr="00993B55" w:rsidRDefault="000177D5" w:rsidP="007A60F3">
      <w:pPr>
        <w:widowControl w:val="0"/>
      </w:pPr>
      <w:r w:rsidRPr="00993B55">
        <w:t>The District has verified that this site is not located within 1,000 feet of a school.  Therefore, pursuant to California Health and Safety Code 42301.6, a school notice is not required.</w:t>
      </w:r>
    </w:p>
    <w:p w14:paraId="7F0C0775" w14:textId="77777777" w:rsidR="000177D5" w:rsidRPr="00993B55" w:rsidRDefault="000177D5" w:rsidP="007A60F3">
      <w:pPr>
        <w:widowControl w:val="0"/>
      </w:pPr>
    </w:p>
    <w:p w14:paraId="0B871F06" w14:textId="77777777" w:rsidR="000177D5" w:rsidRPr="00993B55" w:rsidRDefault="000177D5" w:rsidP="007A60F3">
      <w:pPr>
        <w:widowControl w:val="0"/>
        <w:tabs>
          <w:tab w:val="left" w:pos="1530"/>
        </w:tabs>
        <w:autoSpaceDE w:val="0"/>
        <w:autoSpaceDN w:val="0"/>
        <w:adjustRightInd w:val="0"/>
        <w:rPr>
          <w:i/>
          <w:iCs/>
          <w:color w:val="0000FF"/>
        </w:rPr>
      </w:pPr>
      <w:r w:rsidRPr="00993B55">
        <w:rPr>
          <w:i/>
          <w:iCs/>
          <w:color w:val="0000FF"/>
          <w:u w:val="single"/>
        </w:rPr>
        <w:t>Example (b)</w:t>
      </w:r>
      <w:r w:rsidRPr="00993B55">
        <w:rPr>
          <w:i/>
          <w:iCs/>
          <w:color w:val="0000FF"/>
        </w:rPr>
        <w:t>:</w:t>
      </w:r>
      <w:r w:rsidRPr="00993B55">
        <w:rPr>
          <w:i/>
          <w:iCs/>
          <w:color w:val="0000FF"/>
        </w:rPr>
        <w:tab/>
        <w:t>(For a Non-School Notice project – no increase in emissions)</w:t>
      </w:r>
    </w:p>
    <w:p w14:paraId="59BDE50C" w14:textId="77777777" w:rsidR="000177D5" w:rsidRPr="00993B55" w:rsidRDefault="000177D5" w:rsidP="007A60F3">
      <w:pPr>
        <w:widowControl w:val="0"/>
      </w:pPr>
      <w:r w:rsidRPr="00993B55">
        <w:lastRenderedPageBreak/>
        <w:t>The District has verified that this site is located within 1,000 feet of a school.  However, pursuant to California Health and Safety Code 42301.6, since this project will not result in an increase in emissions, a school notice is not required.</w:t>
      </w:r>
    </w:p>
    <w:p w14:paraId="6508DC37" w14:textId="77777777" w:rsidR="000177D5" w:rsidRPr="00993B55" w:rsidRDefault="000177D5" w:rsidP="007A60F3">
      <w:pPr>
        <w:widowControl w:val="0"/>
      </w:pPr>
    </w:p>
    <w:p w14:paraId="1FF52889" w14:textId="77777777" w:rsidR="000177D5" w:rsidRPr="00993B55" w:rsidRDefault="000177D5" w:rsidP="007A60F3">
      <w:pPr>
        <w:widowControl w:val="0"/>
        <w:tabs>
          <w:tab w:val="left" w:pos="1530"/>
        </w:tabs>
        <w:autoSpaceDE w:val="0"/>
        <w:autoSpaceDN w:val="0"/>
        <w:adjustRightInd w:val="0"/>
        <w:rPr>
          <w:i/>
          <w:iCs/>
          <w:color w:val="0000FF"/>
        </w:rPr>
      </w:pPr>
      <w:r w:rsidRPr="00993B55">
        <w:rPr>
          <w:i/>
          <w:iCs/>
          <w:color w:val="0000FF"/>
          <w:u w:val="single"/>
        </w:rPr>
        <w:t>Example (c)</w:t>
      </w:r>
      <w:r w:rsidRPr="00993B55">
        <w:rPr>
          <w:i/>
          <w:iCs/>
          <w:color w:val="0000FF"/>
        </w:rPr>
        <w:t>:</w:t>
      </w:r>
      <w:r w:rsidRPr="00993B55">
        <w:rPr>
          <w:i/>
          <w:iCs/>
          <w:color w:val="0000FF"/>
        </w:rPr>
        <w:tab/>
        <w:t>(For a School Notice project.)</w:t>
      </w:r>
    </w:p>
    <w:p w14:paraId="1B20E198" w14:textId="77777777" w:rsidR="000177D5" w:rsidRPr="00993B55" w:rsidRDefault="000177D5" w:rsidP="007A60F3">
      <w:pPr>
        <w:widowControl w:val="0"/>
      </w:pPr>
      <w:r w:rsidRPr="00993B55">
        <w:t>The District has verified that this site is located within 1,000 feet of the following school.</w:t>
      </w:r>
    </w:p>
    <w:p w14:paraId="577B452E" w14:textId="77777777" w:rsidR="000177D5" w:rsidRPr="00993B55" w:rsidRDefault="000177D5" w:rsidP="007A60F3">
      <w:pPr>
        <w:widowControl w:val="0"/>
      </w:pPr>
    </w:p>
    <w:p w14:paraId="2F19E20F" w14:textId="77777777" w:rsidR="000177D5" w:rsidRPr="00993B55" w:rsidRDefault="000177D5" w:rsidP="007A60F3">
      <w:pPr>
        <w:widowControl w:val="0"/>
        <w:rPr>
          <w:color w:val="0000FF"/>
        </w:rPr>
      </w:pPr>
      <w:r w:rsidRPr="00993B55">
        <w:t xml:space="preserve">School Name: </w:t>
      </w:r>
      <w:r w:rsidRPr="00993B55">
        <w:tab/>
      </w:r>
      <w:r w:rsidRPr="00993B55">
        <w:rPr>
          <w:color w:val="0000FF"/>
        </w:rPr>
        <w:t>[Name]</w:t>
      </w:r>
    </w:p>
    <w:p w14:paraId="0F0225F4" w14:textId="77777777" w:rsidR="000177D5" w:rsidRPr="00993B55" w:rsidRDefault="000177D5" w:rsidP="007A60F3">
      <w:pPr>
        <w:widowControl w:val="0"/>
        <w:rPr>
          <w:color w:val="0000FF"/>
        </w:rPr>
      </w:pPr>
      <w:r w:rsidRPr="00993B55">
        <w:t>Address:</w:t>
      </w:r>
      <w:r w:rsidRPr="00993B55">
        <w:rPr>
          <w:color w:val="0000FF"/>
        </w:rPr>
        <w:tab/>
      </w:r>
      <w:r w:rsidRPr="00993B55">
        <w:rPr>
          <w:color w:val="0000FF"/>
        </w:rPr>
        <w:tab/>
        <w:t>[Address]</w:t>
      </w:r>
    </w:p>
    <w:p w14:paraId="6076C693" w14:textId="77777777" w:rsidR="000177D5" w:rsidRPr="00993B55" w:rsidRDefault="000177D5" w:rsidP="007A60F3">
      <w:pPr>
        <w:widowControl w:val="0"/>
        <w:rPr>
          <w:color w:val="0000FF"/>
        </w:rPr>
      </w:pPr>
    </w:p>
    <w:p w14:paraId="47ACD370" w14:textId="77777777" w:rsidR="000177D5" w:rsidRPr="00993B55" w:rsidRDefault="000177D5" w:rsidP="007A60F3">
      <w:pPr>
        <w:widowControl w:val="0"/>
      </w:pPr>
      <w:r w:rsidRPr="00993B55">
        <w:t xml:space="preserve">Therefore, pursuant to California Health and Safety Code 42301.6, a school notice is required. </w:t>
      </w:r>
    </w:p>
    <w:p w14:paraId="4C3847F4" w14:textId="63F51A1D" w:rsidR="000177D5" w:rsidRPr="00993B55" w:rsidRDefault="000177D5" w:rsidP="007A60F3">
      <w:pPr>
        <w:widowControl w:val="0"/>
      </w:pPr>
      <w:r w:rsidRPr="00993B55">
        <w:t>Prior to the issuance of the ATC for this equipment, notices will be provided to the parents/guardians of all students of the affected school, and will be sent to all residents within 1,000 ft of the site.</w:t>
      </w:r>
    </w:p>
    <w:p w14:paraId="262D346F" w14:textId="77777777" w:rsidR="000177D5" w:rsidRPr="00993B55" w:rsidRDefault="000177D5" w:rsidP="007A60F3">
      <w:pPr>
        <w:widowControl w:val="0"/>
      </w:pPr>
    </w:p>
    <w:p w14:paraId="2F41432B" w14:textId="77777777" w:rsidR="000177D5" w:rsidRPr="00993B55" w:rsidRDefault="000177D5" w:rsidP="007A60F3">
      <w:pPr>
        <w:pStyle w:val="BodyText3"/>
        <w:widowControl w:val="0"/>
      </w:pPr>
      <w:r w:rsidRPr="00993B55">
        <w:t xml:space="preserve">[If there is no school w/in ¼ mile of the emissions increase, include the following discussion, otherwise delete]: </w:t>
      </w:r>
    </w:p>
    <w:p w14:paraId="75BA8EFA" w14:textId="77777777" w:rsidR="000177D5" w:rsidRPr="00993B55" w:rsidRDefault="000177D5" w:rsidP="007A60F3">
      <w:pPr>
        <w:widowControl w:val="0"/>
      </w:pPr>
      <w:r w:rsidRPr="00993B55">
        <w:t>The District has verified that there are no additional schools within ¼ mile of the emission source.</w:t>
      </w:r>
    </w:p>
    <w:p w14:paraId="110BFC2B" w14:textId="77777777" w:rsidR="000177D5" w:rsidRPr="00993B55" w:rsidRDefault="000177D5" w:rsidP="007A60F3">
      <w:pPr>
        <w:widowControl w:val="0"/>
      </w:pPr>
    </w:p>
    <w:p w14:paraId="13D5AE1A" w14:textId="77777777" w:rsidR="000177D5" w:rsidRPr="00993B55" w:rsidRDefault="000177D5" w:rsidP="007A60F3">
      <w:pPr>
        <w:pStyle w:val="BodyText3"/>
        <w:widowControl w:val="0"/>
      </w:pPr>
      <w:r w:rsidRPr="00993B55">
        <w:t xml:space="preserve">[If there is a school w/in ¼ mile of the emissions increase, include the following discussion, otherwise delete]: </w:t>
      </w:r>
    </w:p>
    <w:p w14:paraId="0784E2EE" w14:textId="77777777" w:rsidR="000177D5" w:rsidRPr="00993B55" w:rsidRDefault="000177D5" w:rsidP="007A60F3">
      <w:pPr>
        <w:widowControl w:val="0"/>
      </w:pPr>
      <w:r w:rsidRPr="00993B55">
        <w:t>Since a school notice has been triggered (due to the above-listed school within 1,000 of the emission source), notices will also be provided to the parents/guardians of all students from all school sites within ¼ mile of the emission source.  The following schools(s) are within ¼ mile of the emission source.</w:t>
      </w:r>
    </w:p>
    <w:p w14:paraId="100282E1" w14:textId="77777777" w:rsidR="000177D5" w:rsidRPr="00993B55" w:rsidRDefault="000177D5" w:rsidP="007A60F3">
      <w:pPr>
        <w:widowControl w:val="0"/>
      </w:pPr>
    </w:p>
    <w:p w14:paraId="4B63B0FA" w14:textId="77777777" w:rsidR="000177D5" w:rsidRPr="00993B55" w:rsidRDefault="000177D5" w:rsidP="007A60F3">
      <w:pPr>
        <w:widowControl w:val="0"/>
        <w:rPr>
          <w:color w:val="0000FF"/>
        </w:rPr>
      </w:pPr>
      <w:r w:rsidRPr="00993B55">
        <w:t xml:space="preserve">School Name: </w:t>
      </w:r>
      <w:r w:rsidRPr="00993B55">
        <w:tab/>
      </w:r>
      <w:r w:rsidRPr="00993B55">
        <w:rPr>
          <w:color w:val="0000FF"/>
        </w:rPr>
        <w:t>[Name]</w:t>
      </w:r>
    </w:p>
    <w:p w14:paraId="4A894C59" w14:textId="77777777" w:rsidR="000177D5" w:rsidRPr="00993B55" w:rsidRDefault="000177D5" w:rsidP="007A60F3">
      <w:pPr>
        <w:widowControl w:val="0"/>
        <w:rPr>
          <w:color w:val="0000FF"/>
        </w:rPr>
      </w:pPr>
      <w:r w:rsidRPr="00993B55">
        <w:t>Address:</w:t>
      </w:r>
      <w:r w:rsidRPr="00993B55">
        <w:rPr>
          <w:color w:val="0000FF"/>
        </w:rPr>
        <w:tab/>
      </w:r>
      <w:r w:rsidRPr="00993B55">
        <w:rPr>
          <w:color w:val="0000FF"/>
        </w:rPr>
        <w:tab/>
        <w:t>[Address]</w:t>
      </w:r>
    </w:p>
    <w:p w14:paraId="1042D0E5" w14:textId="77777777" w:rsidR="000177D5" w:rsidRPr="00993B55" w:rsidRDefault="000177D5" w:rsidP="007A60F3">
      <w:pPr>
        <w:pStyle w:val="BodyText3"/>
        <w:widowControl w:val="0"/>
      </w:pPr>
      <w:r w:rsidRPr="00993B55">
        <w:t>(add additional schools if necessary)</w:t>
      </w:r>
    </w:p>
    <w:p w14:paraId="7539C203" w14:textId="1480CA90" w:rsidR="000177D5" w:rsidRPr="00F866A1" w:rsidRDefault="000177D5" w:rsidP="00526144">
      <w:pPr>
        <w:pStyle w:val="Heading4"/>
      </w:pPr>
      <w:r w:rsidRPr="00F866A1">
        <w:t>California Environmental Quality Act (CEQA)</w:t>
      </w:r>
    </w:p>
    <w:p w14:paraId="560DF31A" w14:textId="7A91EDDF" w:rsidR="00284750" w:rsidRDefault="000177D5" w:rsidP="007A60F3">
      <w:pPr>
        <w:widowControl w:val="0"/>
        <w:rPr>
          <w:rFonts w:cs="Arial"/>
          <w:szCs w:val="24"/>
        </w:rPr>
      </w:pPr>
      <w:r w:rsidRPr="00993B55">
        <w:rPr>
          <w:b/>
          <w:color w:val="FF0000"/>
        </w:rPr>
        <w:t xml:space="preserve">For </w:t>
      </w:r>
      <w:r w:rsidRPr="00A07178">
        <w:rPr>
          <w:b/>
          <w:color w:val="FF0000"/>
          <w:u w:val="single"/>
        </w:rPr>
        <w:t>oil and gas projects located in Kern County</w:t>
      </w:r>
      <w:r w:rsidRPr="00993B55">
        <w:rPr>
          <w:b/>
          <w:color w:val="FF0000"/>
        </w:rPr>
        <w:t xml:space="preserve">, </w:t>
      </w:r>
      <w:r w:rsidR="00EC6ACB" w:rsidRPr="00EC6ACB">
        <w:rPr>
          <w:b/>
          <w:color w:val="FF0000"/>
          <w:u w:val="single"/>
        </w:rPr>
        <w:t>dairies in Kings County</w:t>
      </w:r>
      <w:r w:rsidR="00EC6ACB">
        <w:rPr>
          <w:b/>
          <w:color w:val="FF0000"/>
        </w:rPr>
        <w:t xml:space="preserve">, </w:t>
      </w:r>
      <w:r w:rsidR="001E6E71">
        <w:rPr>
          <w:b/>
          <w:color w:val="FF0000"/>
        </w:rPr>
        <w:t xml:space="preserve">facilities/projects of </w:t>
      </w:r>
      <w:r w:rsidR="001E6E71" w:rsidRPr="00A07178">
        <w:rPr>
          <w:b/>
          <w:color w:val="FF0000"/>
          <w:u w:val="single"/>
        </w:rPr>
        <w:t>public concern</w:t>
      </w:r>
      <w:r w:rsidR="001E6E71">
        <w:rPr>
          <w:b/>
          <w:color w:val="FF0000"/>
        </w:rPr>
        <w:t xml:space="preserve">, or </w:t>
      </w:r>
      <w:r w:rsidR="006E264B">
        <w:rPr>
          <w:b/>
          <w:color w:val="FF0000"/>
        </w:rPr>
        <w:t xml:space="preserve">projects with </w:t>
      </w:r>
      <w:r w:rsidR="006E264B" w:rsidRPr="00A07178">
        <w:rPr>
          <w:b/>
          <w:color w:val="FF0000"/>
          <w:u w:val="single"/>
        </w:rPr>
        <w:t>potentially significant environmental impacts</w:t>
      </w:r>
      <w:r w:rsidR="006E264B">
        <w:rPr>
          <w:b/>
          <w:color w:val="FF0000"/>
        </w:rPr>
        <w:t xml:space="preserve">, </w:t>
      </w:r>
      <w:r w:rsidRPr="00993B55">
        <w:rPr>
          <w:b/>
          <w:color w:val="FF0000"/>
        </w:rPr>
        <w:t xml:space="preserve">please </w:t>
      </w:r>
      <w:r w:rsidR="006E264B">
        <w:rPr>
          <w:b/>
          <w:color w:val="FF0000"/>
        </w:rPr>
        <w:t>coordinate wit</w:t>
      </w:r>
      <w:r w:rsidR="001E6E71">
        <w:rPr>
          <w:b/>
          <w:color w:val="FF0000"/>
        </w:rPr>
        <w:t>h your supervisor /</w:t>
      </w:r>
      <w:r w:rsidR="006E264B">
        <w:rPr>
          <w:b/>
          <w:color w:val="FF0000"/>
        </w:rPr>
        <w:t xml:space="preserve"> CEQA supervisor</w:t>
      </w:r>
      <w:r w:rsidR="00F37522">
        <w:rPr>
          <w:b/>
          <w:color w:val="FF0000"/>
        </w:rPr>
        <w:t xml:space="preserve"> / permits manager</w:t>
      </w:r>
      <w:r w:rsidR="00092EEB">
        <w:rPr>
          <w:b/>
          <w:color w:val="FF0000"/>
        </w:rPr>
        <w:t>.</w:t>
      </w:r>
      <w:r w:rsidR="00092EEB" w:rsidRPr="00092EEB">
        <w:rPr>
          <w:rFonts w:cs="Arial"/>
          <w:color w:val="FF0000"/>
          <w:szCs w:val="24"/>
        </w:rPr>
        <w:t xml:space="preserve"> </w:t>
      </w:r>
      <w:r w:rsidR="00670762">
        <w:rPr>
          <w:rFonts w:cs="Arial"/>
          <w:color w:val="FF0000"/>
          <w:szCs w:val="24"/>
        </w:rPr>
        <w:t xml:space="preserve"> </w:t>
      </w:r>
      <w:r w:rsidR="00092EEB" w:rsidRPr="007264A9">
        <w:rPr>
          <w:rFonts w:cs="Arial"/>
          <w:color w:val="FF0000"/>
          <w:szCs w:val="24"/>
        </w:rPr>
        <w:t xml:space="preserve">Potentially significant environmental impacts can be related to any environmental factor, e.g. emissions from mobile sources, construction emissions, water resources, biological factors, noise, etc. </w:t>
      </w:r>
      <w:r w:rsidR="00726323">
        <w:rPr>
          <w:rFonts w:cs="Arial"/>
          <w:color w:val="FF0000"/>
          <w:szCs w:val="24"/>
        </w:rPr>
        <w:t xml:space="preserve"> Utilize the following paragraph if none of </w:t>
      </w:r>
      <w:r w:rsidR="00EF0D6E">
        <w:rPr>
          <w:rFonts w:cs="Arial"/>
          <w:color w:val="FF0000"/>
          <w:szCs w:val="24"/>
        </w:rPr>
        <w:t xml:space="preserve">these items are </w:t>
      </w:r>
      <w:r w:rsidR="00E50952">
        <w:rPr>
          <w:rFonts w:cs="Arial"/>
          <w:color w:val="FF0000"/>
          <w:szCs w:val="24"/>
        </w:rPr>
        <w:t xml:space="preserve">potentially </w:t>
      </w:r>
      <w:r w:rsidR="00EF0D6E">
        <w:rPr>
          <w:rFonts w:cs="Arial"/>
          <w:color w:val="FF0000"/>
          <w:szCs w:val="24"/>
        </w:rPr>
        <w:t>associated with the current project.</w:t>
      </w:r>
    </w:p>
    <w:p w14:paraId="72F85E3C" w14:textId="77777777" w:rsidR="00D92A58" w:rsidRDefault="00D92A58" w:rsidP="007A60F3">
      <w:pPr>
        <w:widowControl w:val="0"/>
        <w:rPr>
          <w:rFonts w:cs="Arial"/>
          <w:szCs w:val="24"/>
        </w:rPr>
      </w:pPr>
    </w:p>
    <w:p w14:paraId="27DD7D61" w14:textId="0668D57B" w:rsidR="002D1898" w:rsidRPr="00862135" w:rsidRDefault="00D92A58" w:rsidP="007A60F3">
      <w:pPr>
        <w:widowControl w:val="0"/>
        <w:rPr>
          <w:bCs/>
        </w:rPr>
      </w:pPr>
      <w:r>
        <w:rPr>
          <w:rFonts w:cs="Arial"/>
          <w:szCs w:val="24"/>
        </w:rPr>
        <w:t>The project does</w:t>
      </w:r>
      <w:r w:rsidR="002D1898" w:rsidRPr="00693CEE">
        <w:rPr>
          <w:rFonts w:cs="Arial"/>
          <w:szCs w:val="24"/>
        </w:rPr>
        <w:t xml:space="preserve"> not </w:t>
      </w:r>
      <w:r>
        <w:rPr>
          <w:rFonts w:cs="Arial"/>
          <w:szCs w:val="24"/>
        </w:rPr>
        <w:t xml:space="preserve">have the potential to </w:t>
      </w:r>
      <w:r w:rsidR="00A07178">
        <w:rPr>
          <w:rFonts w:cs="Arial"/>
          <w:szCs w:val="24"/>
        </w:rPr>
        <w:t>result in</w:t>
      </w:r>
      <w:r w:rsidR="002D1898" w:rsidRPr="00693CEE">
        <w:rPr>
          <w:rFonts w:cs="Arial"/>
          <w:szCs w:val="24"/>
        </w:rPr>
        <w:t xml:space="preserve"> a</w:t>
      </w:r>
      <w:r w:rsidR="002D1898">
        <w:rPr>
          <w:rFonts w:cs="Arial"/>
          <w:szCs w:val="24"/>
        </w:rPr>
        <w:t>ny</w:t>
      </w:r>
      <w:r w:rsidR="002D1898" w:rsidRPr="00693CEE">
        <w:rPr>
          <w:rFonts w:cs="Arial"/>
          <w:szCs w:val="24"/>
        </w:rPr>
        <w:t xml:space="preserve"> significant </w:t>
      </w:r>
      <w:r>
        <w:rPr>
          <w:rFonts w:cs="Arial"/>
          <w:szCs w:val="24"/>
        </w:rPr>
        <w:t xml:space="preserve">environmental </w:t>
      </w:r>
      <w:r w:rsidR="002D1898">
        <w:rPr>
          <w:rFonts w:cs="Arial"/>
          <w:szCs w:val="24"/>
        </w:rPr>
        <w:t>impacts; therefore,</w:t>
      </w:r>
      <w:r w:rsidR="002D1898" w:rsidRPr="00693CEE">
        <w:rPr>
          <w:rFonts w:cs="Arial"/>
          <w:szCs w:val="24"/>
        </w:rPr>
        <w:t xml:space="preserve"> </w:t>
      </w:r>
      <w:r w:rsidR="002D1898">
        <w:rPr>
          <w:rFonts w:cs="Arial"/>
          <w:szCs w:val="24"/>
        </w:rPr>
        <w:t xml:space="preserve">the </w:t>
      </w:r>
      <w:r w:rsidR="002D1898" w:rsidRPr="00693CEE">
        <w:rPr>
          <w:rFonts w:cs="Arial"/>
          <w:szCs w:val="24"/>
        </w:rPr>
        <w:t xml:space="preserve">project is exempt per the </w:t>
      </w:r>
      <w:r w:rsidR="002243EF" w:rsidRPr="00693CEE">
        <w:rPr>
          <w:rFonts w:cs="Arial"/>
          <w:szCs w:val="24"/>
        </w:rPr>
        <w:t>common</w:t>
      </w:r>
      <w:r w:rsidR="002243EF">
        <w:rPr>
          <w:rFonts w:cs="Arial"/>
          <w:szCs w:val="24"/>
        </w:rPr>
        <w:t>-sense</w:t>
      </w:r>
      <w:r w:rsidR="002D1898" w:rsidRPr="00693CEE">
        <w:rPr>
          <w:rFonts w:cs="Arial"/>
          <w:szCs w:val="24"/>
        </w:rPr>
        <w:t xml:space="preserve"> exemption that CEQA applies only to projects </w:t>
      </w:r>
      <w:r w:rsidR="002D1898">
        <w:rPr>
          <w:rFonts w:cs="Arial"/>
          <w:szCs w:val="24"/>
        </w:rPr>
        <w:t>that</w:t>
      </w:r>
      <w:r w:rsidR="002D1898" w:rsidRPr="00693CEE">
        <w:rPr>
          <w:rFonts w:cs="Arial"/>
          <w:szCs w:val="24"/>
        </w:rPr>
        <w:t xml:space="preserve"> have the potential for causing a significant effect on the environment (CEQA Guidelines §15061(b)(3)).</w:t>
      </w:r>
    </w:p>
    <w:p w14:paraId="662B04F6" w14:textId="77777777" w:rsidR="000177D5" w:rsidRPr="00E81353" w:rsidRDefault="000177D5" w:rsidP="001E7BD0">
      <w:pPr>
        <w:pStyle w:val="Heading1"/>
      </w:pPr>
      <w:r w:rsidRPr="00E81353">
        <w:lastRenderedPageBreak/>
        <w:t>IX.</w:t>
      </w:r>
      <w:r w:rsidRPr="00E81353">
        <w:tab/>
        <w:t>Recommendation</w:t>
      </w:r>
    </w:p>
    <w:p w14:paraId="5694B90F" w14:textId="77AC3C80" w:rsidR="000177D5" w:rsidRPr="00993B55" w:rsidRDefault="000177D5" w:rsidP="007A60F3">
      <w:pPr>
        <w:widowControl w:val="0"/>
        <w:rPr>
          <w:color w:val="FF0000"/>
        </w:rPr>
      </w:pPr>
      <w:r w:rsidRPr="00993B55">
        <w:rPr>
          <w:color w:val="FF0000"/>
        </w:rPr>
        <w:t>Recommend that the project will be approved or denied</w:t>
      </w:r>
      <w:r w:rsidR="00B44300">
        <w:rPr>
          <w:color w:val="FF0000"/>
        </w:rPr>
        <w:t xml:space="preserve">.  If the conclusion is denial, work with your supervisor </w:t>
      </w:r>
      <w:r w:rsidR="00640D98">
        <w:rPr>
          <w:color w:val="FF0000"/>
        </w:rPr>
        <w:t>on next steps.  If recommending ATC issuance, utilize one of the following</w:t>
      </w:r>
      <w:r w:rsidR="00B44300">
        <w:rPr>
          <w:color w:val="FF0000"/>
        </w:rPr>
        <w:t>:</w:t>
      </w:r>
    </w:p>
    <w:p w14:paraId="228C4FF0" w14:textId="77777777" w:rsidR="000177D5" w:rsidRPr="00993B55" w:rsidRDefault="000177D5" w:rsidP="007A60F3">
      <w:pPr>
        <w:widowControl w:val="0"/>
      </w:pPr>
    </w:p>
    <w:p w14:paraId="7BE37BB5" w14:textId="77777777" w:rsidR="000177D5" w:rsidRPr="00993B55" w:rsidRDefault="000177D5" w:rsidP="007A60F3">
      <w:pPr>
        <w:widowControl w:val="0"/>
        <w:tabs>
          <w:tab w:val="left" w:pos="1530"/>
        </w:tabs>
        <w:autoSpaceDE w:val="0"/>
        <w:autoSpaceDN w:val="0"/>
        <w:adjustRightInd w:val="0"/>
        <w:rPr>
          <w:i/>
          <w:iCs/>
          <w:color w:val="0000FF"/>
        </w:rPr>
      </w:pPr>
      <w:r w:rsidRPr="00993B55">
        <w:rPr>
          <w:i/>
          <w:iCs/>
          <w:color w:val="0000FF"/>
          <w:u w:val="single"/>
        </w:rPr>
        <w:t>Example (a)</w:t>
      </w:r>
      <w:r w:rsidRPr="00993B55">
        <w:rPr>
          <w:i/>
          <w:iCs/>
          <w:color w:val="0000FF"/>
        </w:rPr>
        <w:t>:</w:t>
      </w:r>
      <w:r w:rsidRPr="00993B55">
        <w:rPr>
          <w:i/>
          <w:iCs/>
          <w:color w:val="0000FF"/>
        </w:rPr>
        <w:tab/>
        <w:t>(For a project where noticing (public, school, or EPA) is not required.)</w:t>
      </w:r>
    </w:p>
    <w:p w14:paraId="610DC091" w14:textId="77777777" w:rsidR="000177D5" w:rsidRPr="00993B55" w:rsidRDefault="000177D5" w:rsidP="007A60F3">
      <w:pPr>
        <w:widowControl w:val="0"/>
      </w:pPr>
      <w:r w:rsidRPr="00993B55">
        <w:t xml:space="preserve">Compliance with all applicable rules and regulations is expected.  Issue ATC </w:t>
      </w:r>
      <w:r w:rsidRPr="00F314AE">
        <w:rPr>
          <w:color w:val="0000FF"/>
        </w:rPr>
        <w:t xml:space="preserve">X-XXXX-X-X </w:t>
      </w:r>
      <w:r w:rsidRPr="00993B55">
        <w:t xml:space="preserve">subject to the permit conditions on the attached draft ATC in </w:t>
      </w:r>
      <w:r w:rsidRPr="00993B55">
        <w:rPr>
          <w:color w:val="0000FF"/>
        </w:rPr>
        <w:t>Appendix XXX</w:t>
      </w:r>
      <w:r w:rsidRPr="00A7596C">
        <w:rPr>
          <w:bCs/>
        </w:rPr>
        <w:t>.</w:t>
      </w:r>
    </w:p>
    <w:p w14:paraId="0A1AF159" w14:textId="55DA9D53" w:rsidR="000177D5" w:rsidRPr="00993B55" w:rsidRDefault="000177D5" w:rsidP="007A60F3">
      <w:pPr>
        <w:widowControl w:val="0"/>
      </w:pPr>
    </w:p>
    <w:p w14:paraId="46A9A113" w14:textId="77777777" w:rsidR="000177D5" w:rsidRPr="00993B55" w:rsidRDefault="000177D5" w:rsidP="007A60F3">
      <w:pPr>
        <w:widowControl w:val="0"/>
        <w:tabs>
          <w:tab w:val="left" w:pos="1530"/>
        </w:tabs>
        <w:autoSpaceDE w:val="0"/>
        <w:autoSpaceDN w:val="0"/>
        <w:adjustRightInd w:val="0"/>
        <w:rPr>
          <w:i/>
          <w:iCs/>
          <w:color w:val="0000FF"/>
        </w:rPr>
      </w:pPr>
      <w:r w:rsidRPr="00993B55">
        <w:rPr>
          <w:i/>
          <w:iCs/>
          <w:color w:val="0000FF"/>
          <w:u w:val="single"/>
        </w:rPr>
        <w:t>Example (b)</w:t>
      </w:r>
      <w:r w:rsidRPr="00993B55">
        <w:rPr>
          <w:i/>
          <w:iCs/>
          <w:color w:val="0000FF"/>
        </w:rPr>
        <w:t>:</w:t>
      </w:r>
      <w:r w:rsidRPr="00993B55">
        <w:rPr>
          <w:i/>
          <w:iCs/>
          <w:color w:val="0000FF"/>
        </w:rPr>
        <w:tab/>
        <w:t>(For a project where public noticing is triggered.)</w:t>
      </w:r>
    </w:p>
    <w:p w14:paraId="74952327" w14:textId="77777777" w:rsidR="000177D5" w:rsidRPr="00993B55" w:rsidRDefault="000177D5" w:rsidP="007A60F3">
      <w:pPr>
        <w:widowControl w:val="0"/>
      </w:pPr>
      <w:r w:rsidRPr="00993B55">
        <w:t xml:space="preserve">Compliance with all applicable rules and regulations is expected.  Pending a successful NSR Public Noticing period, issue ATC </w:t>
      </w:r>
      <w:r w:rsidRPr="00F314AE">
        <w:rPr>
          <w:color w:val="0000FF"/>
        </w:rPr>
        <w:t xml:space="preserve">X-XXXX-X-X </w:t>
      </w:r>
      <w:r w:rsidRPr="00993B55">
        <w:t xml:space="preserve">subject to the permit conditions on the attached draft ATC in </w:t>
      </w:r>
      <w:r w:rsidRPr="00993B55">
        <w:rPr>
          <w:color w:val="0000FF"/>
        </w:rPr>
        <w:t>Appendix XXX</w:t>
      </w:r>
      <w:r w:rsidRPr="00993B55">
        <w:t>.</w:t>
      </w:r>
    </w:p>
    <w:p w14:paraId="1872736D" w14:textId="77777777" w:rsidR="000177D5" w:rsidRPr="00993B55" w:rsidRDefault="000177D5" w:rsidP="007A60F3">
      <w:pPr>
        <w:widowControl w:val="0"/>
      </w:pPr>
    </w:p>
    <w:p w14:paraId="79C2D192" w14:textId="77777777" w:rsidR="000177D5" w:rsidRPr="00993B55" w:rsidRDefault="000177D5" w:rsidP="007A60F3">
      <w:pPr>
        <w:widowControl w:val="0"/>
        <w:tabs>
          <w:tab w:val="left" w:pos="1530"/>
        </w:tabs>
        <w:autoSpaceDE w:val="0"/>
        <w:autoSpaceDN w:val="0"/>
        <w:adjustRightInd w:val="0"/>
        <w:rPr>
          <w:i/>
          <w:iCs/>
          <w:color w:val="0000FF"/>
        </w:rPr>
      </w:pPr>
      <w:r w:rsidRPr="00993B55">
        <w:rPr>
          <w:i/>
          <w:iCs/>
          <w:color w:val="0000FF"/>
          <w:u w:val="single"/>
        </w:rPr>
        <w:t>Example (c)</w:t>
      </w:r>
      <w:r w:rsidRPr="00993B55">
        <w:rPr>
          <w:i/>
          <w:iCs/>
          <w:color w:val="0000FF"/>
        </w:rPr>
        <w:t>:</w:t>
      </w:r>
      <w:r w:rsidRPr="00993B55">
        <w:rPr>
          <w:i/>
          <w:iCs/>
          <w:color w:val="0000FF"/>
        </w:rPr>
        <w:tab/>
        <w:t>(For a project where school noticing is triggered.)</w:t>
      </w:r>
    </w:p>
    <w:p w14:paraId="41EEB7FD" w14:textId="4698D2BF" w:rsidR="000177D5" w:rsidRPr="00A7596C" w:rsidRDefault="000177D5" w:rsidP="007A60F3">
      <w:pPr>
        <w:widowControl w:val="0"/>
        <w:rPr>
          <w:bCs/>
        </w:rPr>
      </w:pPr>
      <w:r w:rsidRPr="00993B55">
        <w:t xml:space="preserve">Compliance with all applicable rules and regulations is expected.  Pending a successful School Noticing period, issue </w:t>
      </w:r>
      <w:r w:rsidRPr="00226F12">
        <w:t xml:space="preserve">ATC </w:t>
      </w:r>
      <w:r w:rsidRPr="00993B55">
        <w:rPr>
          <w:color w:val="0000FF"/>
        </w:rPr>
        <w:t xml:space="preserve">X-XXXX-X-X </w:t>
      </w:r>
      <w:r w:rsidRPr="00993B55">
        <w:t xml:space="preserve">subject to the permit conditions on the attached draft ATC in </w:t>
      </w:r>
      <w:r w:rsidRPr="00993B55">
        <w:rPr>
          <w:color w:val="0000FF"/>
        </w:rPr>
        <w:t>Appendix XXX</w:t>
      </w:r>
      <w:r w:rsidR="00A7596C">
        <w:rPr>
          <w:bCs/>
        </w:rPr>
        <w:t>.</w:t>
      </w:r>
    </w:p>
    <w:p w14:paraId="1F157A86" w14:textId="77777777" w:rsidR="000177D5" w:rsidRPr="00E81353" w:rsidRDefault="000177D5" w:rsidP="001E7BD0">
      <w:pPr>
        <w:pStyle w:val="Heading1"/>
      </w:pPr>
      <w:r w:rsidRPr="00E81353">
        <w:t>X.</w:t>
      </w:r>
      <w:r w:rsidRPr="00E81353">
        <w:tab/>
        <w:t>Billing Information</w:t>
      </w:r>
    </w:p>
    <w:p w14:paraId="1E354FB6" w14:textId="77777777" w:rsidR="000177D5" w:rsidRPr="00993B55" w:rsidRDefault="000177D5" w:rsidP="007A60F3">
      <w:pPr>
        <w:widowControl w:val="0"/>
        <w:rPr>
          <w:color w:val="FF0000"/>
        </w:rPr>
      </w:pPr>
      <w:r w:rsidRPr="00993B55">
        <w:rPr>
          <w:color w:val="FF0000"/>
        </w:rPr>
        <w:t>Reference Rule 3020 and list the specific fee schedule for each permit unit for the project.</w:t>
      </w:r>
    </w:p>
    <w:p w14:paraId="7E3FC4A4" w14:textId="77777777" w:rsidR="000177D5" w:rsidRPr="00993B55" w:rsidRDefault="000177D5" w:rsidP="007A60F3">
      <w:pPr>
        <w:widowControl w:val="0"/>
      </w:pPr>
    </w:p>
    <w:p w14:paraId="6F67CB60" w14:textId="77777777" w:rsidR="000177D5" w:rsidRPr="00993B55" w:rsidRDefault="000177D5" w:rsidP="007A60F3">
      <w:pPr>
        <w:widowControl w:val="0"/>
      </w:pPr>
      <w:r w:rsidRPr="00993B55">
        <w:rPr>
          <w:i/>
          <w:iCs/>
          <w:color w:val="FF0000"/>
          <w:u w:val="single"/>
        </w:rPr>
        <w:t>Note</w:t>
      </w:r>
      <w:r w:rsidRPr="00993B55">
        <w:rPr>
          <w:i/>
          <w:iCs/>
          <w:color w:val="FF0000"/>
        </w:rPr>
        <w:t>: Include all necessary calculations.  If extensive lists are required to determine the electric motor horsepower, then include them in a table in the appendix or under the equipment description in Section V of this evaluation.)</w:t>
      </w:r>
    </w:p>
    <w:p w14:paraId="7BF20F31" w14:textId="77777777" w:rsidR="000177D5" w:rsidRPr="00993B55" w:rsidRDefault="000177D5" w:rsidP="007A60F3">
      <w:pPr>
        <w:widowControl w:val="0"/>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1710"/>
        <w:gridCol w:w="4230"/>
        <w:gridCol w:w="1746"/>
      </w:tblGrid>
      <w:tr w:rsidR="000177D5" w:rsidRPr="00993B55" w14:paraId="2DB8B614" w14:textId="77777777" w:rsidTr="002F1AE1">
        <w:trPr>
          <w:trHeight w:val="411"/>
        </w:trPr>
        <w:tc>
          <w:tcPr>
            <w:tcW w:w="9699" w:type="dxa"/>
            <w:gridSpan w:val="4"/>
            <w:shd w:val="clear" w:color="auto" w:fill="D9D9D9" w:themeFill="background1" w:themeFillShade="D9"/>
            <w:vAlign w:val="center"/>
          </w:tcPr>
          <w:p w14:paraId="103DCB9B" w14:textId="77777777" w:rsidR="000177D5" w:rsidRPr="00993B55" w:rsidRDefault="000177D5" w:rsidP="00C64470">
            <w:pPr>
              <w:keepNext/>
              <w:widowControl w:val="0"/>
              <w:jc w:val="center"/>
              <w:rPr>
                <w:b/>
                <w:bCs/>
                <w:sz w:val="22"/>
                <w:szCs w:val="22"/>
              </w:rPr>
            </w:pPr>
            <w:r w:rsidRPr="00993B55">
              <w:rPr>
                <w:b/>
                <w:bCs/>
                <w:sz w:val="22"/>
                <w:szCs w:val="22"/>
              </w:rPr>
              <w:t>Annual Permit Fees</w:t>
            </w:r>
          </w:p>
        </w:tc>
      </w:tr>
      <w:tr w:rsidR="000177D5" w:rsidRPr="00993B55" w14:paraId="5B5DEF8F" w14:textId="77777777" w:rsidTr="002F1AE1">
        <w:trPr>
          <w:trHeight w:val="458"/>
        </w:trPr>
        <w:tc>
          <w:tcPr>
            <w:tcW w:w="2013" w:type="dxa"/>
            <w:shd w:val="clear" w:color="auto" w:fill="D9D9D9" w:themeFill="background1" w:themeFillShade="D9"/>
            <w:vAlign w:val="center"/>
          </w:tcPr>
          <w:p w14:paraId="222DDCA8" w14:textId="77777777" w:rsidR="000177D5" w:rsidRPr="00993B55" w:rsidRDefault="000177D5" w:rsidP="00C64470">
            <w:pPr>
              <w:keepNext/>
              <w:widowControl w:val="0"/>
              <w:jc w:val="center"/>
              <w:rPr>
                <w:b/>
                <w:sz w:val="22"/>
                <w:szCs w:val="22"/>
              </w:rPr>
            </w:pPr>
            <w:r w:rsidRPr="00993B55">
              <w:rPr>
                <w:b/>
                <w:sz w:val="22"/>
                <w:szCs w:val="22"/>
              </w:rPr>
              <w:t>Permit Number</w:t>
            </w:r>
          </w:p>
        </w:tc>
        <w:tc>
          <w:tcPr>
            <w:tcW w:w="1710" w:type="dxa"/>
            <w:shd w:val="clear" w:color="auto" w:fill="D9D9D9" w:themeFill="background1" w:themeFillShade="D9"/>
            <w:vAlign w:val="center"/>
          </w:tcPr>
          <w:p w14:paraId="5476E622" w14:textId="77777777" w:rsidR="000177D5" w:rsidRPr="00993B55" w:rsidRDefault="000177D5" w:rsidP="00C64470">
            <w:pPr>
              <w:keepNext/>
              <w:widowControl w:val="0"/>
              <w:jc w:val="center"/>
              <w:rPr>
                <w:b/>
                <w:sz w:val="22"/>
                <w:szCs w:val="22"/>
              </w:rPr>
            </w:pPr>
            <w:r w:rsidRPr="00993B55">
              <w:rPr>
                <w:b/>
                <w:sz w:val="22"/>
                <w:szCs w:val="22"/>
              </w:rPr>
              <w:t>Fee Schedule</w:t>
            </w:r>
          </w:p>
        </w:tc>
        <w:tc>
          <w:tcPr>
            <w:tcW w:w="4230" w:type="dxa"/>
            <w:shd w:val="clear" w:color="auto" w:fill="D9D9D9" w:themeFill="background1" w:themeFillShade="D9"/>
            <w:vAlign w:val="center"/>
          </w:tcPr>
          <w:p w14:paraId="70677CAB" w14:textId="77777777" w:rsidR="000177D5" w:rsidRPr="00993B55" w:rsidRDefault="000177D5" w:rsidP="00C64470">
            <w:pPr>
              <w:keepNext/>
              <w:widowControl w:val="0"/>
              <w:jc w:val="center"/>
              <w:rPr>
                <w:b/>
                <w:sz w:val="22"/>
                <w:szCs w:val="22"/>
              </w:rPr>
            </w:pPr>
            <w:r w:rsidRPr="00993B55">
              <w:rPr>
                <w:b/>
                <w:sz w:val="22"/>
                <w:szCs w:val="22"/>
              </w:rPr>
              <w:t>Fee Description</w:t>
            </w:r>
          </w:p>
        </w:tc>
        <w:tc>
          <w:tcPr>
            <w:tcW w:w="1746" w:type="dxa"/>
            <w:shd w:val="clear" w:color="auto" w:fill="D9D9D9" w:themeFill="background1" w:themeFillShade="D9"/>
            <w:vAlign w:val="center"/>
          </w:tcPr>
          <w:p w14:paraId="4D268F8D" w14:textId="77777777" w:rsidR="000177D5" w:rsidRPr="00993B55" w:rsidRDefault="000177D5" w:rsidP="00C64470">
            <w:pPr>
              <w:keepNext/>
              <w:widowControl w:val="0"/>
              <w:jc w:val="center"/>
              <w:rPr>
                <w:b/>
                <w:sz w:val="22"/>
                <w:szCs w:val="22"/>
              </w:rPr>
            </w:pPr>
            <w:r w:rsidRPr="00993B55">
              <w:rPr>
                <w:b/>
                <w:sz w:val="22"/>
                <w:szCs w:val="22"/>
              </w:rPr>
              <w:t>Annual Fee</w:t>
            </w:r>
          </w:p>
        </w:tc>
      </w:tr>
      <w:tr w:rsidR="000177D5" w:rsidRPr="00993B55" w14:paraId="750253F1" w14:textId="77777777" w:rsidTr="002F1AE1">
        <w:trPr>
          <w:cantSplit/>
          <w:trHeight w:val="420"/>
        </w:trPr>
        <w:tc>
          <w:tcPr>
            <w:tcW w:w="2013" w:type="dxa"/>
            <w:shd w:val="clear" w:color="auto" w:fill="auto"/>
            <w:vAlign w:val="center"/>
          </w:tcPr>
          <w:p w14:paraId="3DBC2AE6" w14:textId="78F818B2" w:rsidR="000177D5" w:rsidRPr="00993B55" w:rsidRDefault="00226F12" w:rsidP="00C64470">
            <w:pPr>
              <w:keepNext/>
              <w:widowControl w:val="0"/>
              <w:jc w:val="center"/>
              <w:rPr>
                <w:snapToGrid w:val="0"/>
                <w:color w:val="0000FF"/>
                <w:sz w:val="22"/>
                <w:szCs w:val="22"/>
              </w:rPr>
            </w:pPr>
            <w:r>
              <w:rPr>
                <w:snapToGrid w:val="0"/>
                <w:color w:val="0000FF"/>
                <w:sz w:val="22"/>
                <w:szCs w:val="22"/>
              </w:rPr>
              <w:t>X</w:t>
            </w:r>
            <w:r w:rsidR="000177D5" w:rsidRPr="00993B55">
              <w:rPr>
                <w:snapToGrid w:val="0"/>
                <w:color w:val="0000FF"/>
                <w:sz w:val="22"/>
                <w:szCs w:val="22"/>
              </w:rPr>
              <w:t>-XXXX-X-X</w:t>
            </w:r>
          </w:p>
        </w:tc>
        <w:tc>
          <w:tcPr>
            <w:tcW w:w="1710" w:type="dxa"/>
            <w:shd w:val="clear" w:color="auto" w:fill="auto"/>
            <w:vAlign w:val="center"/>
          </w:tcPr>
          <w:p w14:paraId="76C68D3F" w14:textId="77777777" w:rsidR="000177D5" w:rsidRPr="00993B55" w:rsidRDefault="000177D5" w:rsidP="00C64470">
            <w:pPr>
              <w:keepNext/>
              <w:widowControl w:val="0"/>
              <w:jc w:val="center"/>
              <w:rPr>
                <w:color w:val="0000FF"/>
                <w:sz w:val="22"/>
                <w:szCs w:val="22"/>
              </w:rPr>
            </w:pPr>
            <w:r w:rsidRPr="00993B55">
              <w:rPr>
                <w:color w:val="0000FF"/>
                <w:sz w:val="22"/>
                <w:szCs w:val="22"/>
              </w:rPr>
              <w:t>3020-02-H</w:t>
            </w:r>
          </w:p>
        </w:tc>
        <w:tc>
          <w:tcPr>
            <w:tcW w:w="4230" w:type="dxa"/>
            <w:shd w:val="clear" w:color="auto" w:fill="auto"/>
            <w:vAlign w:val="center"/>
          </w:tcPr>
          <w:p w14:paraId="3A25A5F8" w14:textId="75BB0EC8" w:rsidR="000177D5" w:rsidRPr="00993B55" w:rsidRDefault="000177D5" w:rsidP="00C64470">
            <w:pPr>
              <w:keepNext/>
              <w:widowControl w:val="0"/>
              <w:jc w:val="center"/>
              <w:rPr>
                <w:color w:val="0000FF"/>
                <w:sz w:val="22"/>
                <w:szCs w:val="22"/>
              </w:rPr>
            </w:pPr>
            <w:r w:rsidRPr="00993B55">
              <w:rPr>
                <w:color w:val="0000FF"/>
                <w:sz w:val="22"/>
                <w:szCs w:val="22"/>
              </w:rPr>
              <w:t>5</w:t>
            </w:r>
            <w:r w:rsidR="00A56CF4">
              <w:rPr>
                <w:color w:val="0000FF"/>
                <w:sz w:val="22"/>
                <w:szCs w:val="22"/>
              </w:rPr>
              <w:t>.0</w:t>
            </w:r>
            <w:r w:rsidRPr="00993B55">
              <w:rPr>
                <w:color w:val="0000FF"/>
                <w:sz w:val="22"/>
                <w:szCs w:val="22"/>
              </w:rPr>
              <w:t xml:space="preserve"> </w:t>
            </w:r>
            <w:r w:rsidR="00A56CF4">
              <w:rPr>
                <w:color w:val="0000FF"/>
                <w:sz w:val="22"/>
                <w:szCs w:val="22"/>
              </w:rPr>
              <w:t>MM</w:t>
            </w:r>
            <w:r w:rsidRPr="00993B55">
              <w:rPr>
                <w:color w:val="0000FF"/>
                <w:sz w:val="22"/>
                <w:szCs w:val="22"/>
              </w:rPr>
              <w:t>Btu/hr boiler</w:t>
            </w:r>
          </w:p>
        </w:tc>
        <w:tc>
          <w:tcPr>
            <w:tcW w:w="1746" w:type="dxa"/>
            <w:shd w:val="clear" w:color="auto" w:fill="auto"/>
            <w:vAlign w:val="center"/>
          </w:tcPr>
          <w:p w14:paraId="515CED24" w14:textId="77777777" w:rsidR="000177D5" w:rsidRPr="00993B55" w:rsidRDefault="000177D5" w:rsidP="00C64470">
            <w:pPr>
              <w:keepNext/>
              <w:widowControl w:val="0"/>
              <w:jc w:val="center"/>
              <w:rPr>
                <w:color w:val="0000FF"/>
                <w:sz w:val="22"/>
                <w:szCs w:val="22"/>
              </w:rPr>
            </w:pPr>
            <w:r w:rsidRPr="00993B55">
              <w:rPr>
                <w:color w:val="0000FF"/>
                <w:sz w:val="22"/>
                <w:szCs w:val="22"/>
              </w:rPr>
              <w:t>$XXX</w:t>
            </w:r>
          </w:p>
        </w:tc>
      </w:tr>
      <w:tr w:rsidR="000177D5" w:rsidRPr="00993B55" w14:paraId="4A38CD9D" w14:textId="77777777" w:rsidTr="002F1AE1">
        <w:trPr>
          <w:cantSplit/>
          <w:trHeight w:val="440"/>
        </w:trPr>
        <w:tc>
          <w:tcPr>
            <w:tcW w:w="2013" w:type="dxa"/>
            <w:shd w:val="clear" w:color="auto" w:fill="auto"/>
            <w:vAlign w:val="center"/>
          </w:tcPr>
          <w:p w14:paraId="755B4AE5" w14:textId="659D2D42" w:rsidR="000177D5" w:rsidRPr="00993B55" w:rsidRDefault="00226F12" w:rsidP="00C64470">
            <w:pPr>
              <w:keepNext/>
              <w:widowControl w:val="0"/>
              <w:jc w:val="center"/>
              <w:rPr>
                <w:snapToGrid w:val="0"/>
                <w:color w:val="0000FF"/>
                <w:sz w:val="22"/>
                <w:szCs w:val="22"/>
              </w:rPr>
            </w:pPr>
            <w:r>
              <w:rPr>
                <w:snapToGrid w:val="0"/>
                <w:color w:val="0000FF"/>
                <w:sz w:val="22"/>
                <w:szCs w:val="22"/>
              </w:rPr>
              <w:t>X</w:t>
            </w:r>
            <w:r w:rsidR="000177D5" w:rsidRPr="00993B55">
              <w:rPr>
                <w:snapToGrid w:val="0"/>
                <w:color w:val="0000FF"/>
                <w:sz w:val="22"/>
                <w:szCs w:val="22"/>
              </w:rPr>
              <w:t>-XXXX-X-X</w:t>
            </w:r>
          </w:p>
        </w:tc>
        <w:tc>
          <w:tcPr>
            <w:tcW w:w="1710" w:type="dxa"/>
            <w:shd w:val="clear" w:color="auto" w:fill="auto"/>
            <w:vAlign w:val="center"/>
          </w:tcPr>
          <w:p w14:paraId="4A552741" w14:textId="77777777" w:rsidR="000177D5" w:rsidRPr="00993B55" w:rsidRDefault="000177D5" w:rsidP="00C64470">
            <w:pPr>
              <w:keepNext/>
              <w:widowControl w:val="0"/>
              <w:jc w:val="center"/>
              <w:rPr>
                <w:color w:val="0000FF"/>
                <w:sz w:val="22"/>
                <w:szCs w:val="22"/>
              </w:rPr>
            </w:pPr>
            <w:r w:rsidRPr="00993B55">
              <w:rPr>
                <w:color w:val="0000FF"/>
                <w:sz w:val="22"/>
                <w:szCs w:val="22"/>
              </w:rPr>
              <w:t>3020-10-F</w:t>
            </w:r>
          </w:p>
        </w:tc>
        <w:tc>
          <w:tcPr>
            <w:tcW w:w="4230" w:type="dxa"/>
            <w:shd w:val="clear" w:color="auto" w:fill="auto"/>
            <w:vAlign w:val="center"/>
          </w:tcPr>
          <w:p w14:paraId="3FCFD064" w14:textId="5F3113F1" w:rsidR="000177D5" w:rsidRPr="00993B55" w:rsidRDefault="000177D5" w:rsidP="00C64470">
            <w:pPr>
              <w:keepNext/>
              <w:widowControl w:val="0"/>
              <w:jc w:val="center"/>
              <w:rPr>
                <w:color w:val="0000FF"/>
                <w:sz w:val="22"/>
                <w:szCs w:val="22"/>
              </w:rPr>
            </w:pPr>
            <w:r w:rsidRPr="00993B55">
              <w:rPr>
                <w:color w:val="0000FF"/>
                <w:sz w:val="22"/>
                <w:szCs w:val="22"/>
              </w:rPr>
              <w:t xml:space="preserve">1,529 </w:t>
            </w:r>
            <w:r w:rsidR="00A56CF4">
              <w:rPr>
                <w:color w:val="0000FF"/>
                <w:sz w:val="22"/>
                <w:szCs w:val="22"/>
              </w:rPr>
              <w:t>b</w:t>
            </w:r>
            <w:r w:rsidRPr="00993B55">
              <w:rPr>
                <w:color w:val="0000FF"/>
                <w:sz w:val="22"/>
                <w:szCs w:val="22"/>
              </w:rPr>
              <w:t>hp IC engine</w:t>
            </w:r>
          </w:p>
        </w:tc>
        <w:tc>
          <w:tcPr>
            <w:tcW w:w="1746" w:type="dxa"/>
            <w:shd w:val="clear" w:color="auto" w:fill="auto"/>
            <w:vAlign w:val="center"/>
          </w:tcPr>
          <w:p w14:paraId="227A55C3" w14:textId="77777777" w:rsidR="000177D5" w:rsidRPr="00993B55" w:rsidRDefault="000177D5" w:rsidP="00C64470">
            <w:pPr>
              <w:keepNext/>
              <w:widowControl w:val="0"/>
              <w:jc w:val="center"/>
              <w:rPr>
                <w:color w:val="0000FF"/>
                <w:sz w:val="22"/>
                <w:szCs w:val="22"/>
              </w:rPr>
            </w:pPr>
            <w:r w:rsidRPr="00993B55">
              <w:rPr>
                <w:color w:val="0000FF"/>
                <w:sz w:val="22"/>
                <w:szCs w:val="22"/>
              </w:rPr>
              <w:t>$XXX</w:t>
            </w:r>
          </w:p>
        </w:tc>
      </w:tr>
    </w:tbl>
    <w:p w14:paraId="5D7F2035" w14:textId="77777777" w:rsidR="00E81353" w:rsidRPr="00EF3AB6" w:rsidRDefault="00E81353" w:rsidP="001E7BD0">
      <w:pPr>
        <w:pStyle w:val="Heading1"/>
      </w:pPr>
      <w:r w:rsidRPr="00EF3AB6">
        <w:t>XI.</w:t>
      </w:r>
      <w:r w:rsidRPr="00EF3AB6">
        <w:tab/>
        <w:t>Appendices</w:t>
      </w:r>
    </w:p>
    <w:p w14:paraId="6AB44E2A" w14:textId="61442FD4" w:rsidR="00EF3AB6" w:rsidRPr="00D9682B" w:rsidRDefault="00EF3AB6" w:rsidP="007A60F3">
      <w:pPr>
        <w:pStyle w:val="BodyText2"/>
        <w:widowControl w:val="0"/>
        <w:rPr>
          <w:color w:val="FF0000"/>
        </w:rPr>
      </w:pPr>
      <w:r>
        <w:rPr>
          <w:color w:val="FF0000"/>
        </w:rPr>
        <w:t>Reference, a</w:t>
      </w:r>
      <w:r w:rsidRPr="00D9682B">
        <w:rPr>
          <w:color w:val="FF0000"/>
        </w:rPr>
        <w:t>ttach</w:t>
      </w:r>
      <w:r>
        <w:rPr>
          <w:color w:val="FF0000"/>
        </w:rPr>
        <w:t>,</w:t>
      </w:r>
      <w:r w:rsidRPr="00D9682B">
        <w:rPr>
          <w:color w:val="FF0000"/>
        </w:rPr>
        <w:t xml:space="preserve"> and label all supporting doc</w:t>
      </w:r>
      <w:r>
        <w:rPr>
          <w:color w:val="FF0000"/>
        </w:rPr>
        <w:t>umentation referenced in the EE.</w:t>
      </w:r>
      <w:r w:rsidR="00243758">
        <w:rPr>
          <w:color w:val="FF0000"/>
        </w:rPr>
        <w:t xml:space="preserve"> </w:t>
      </w:r>
      <w:r w:rsidR="00992DC8">
        <w:rPr>
          <w:color w:val="FF0000"/>
        </w:rPr>
        <w:t xml:space="preserve">Delete </w:t>
      </w:r>
      <w:r w:rsidR="00243758">
        <w:rPr>
          <w:color w:val="FF0000"/>
        </w:rPr>
        <w:t>or add appendices as</w:t>
      </w:r>
      <w:r w:rsidR="00992DC8">
        <w:rPr>
          <w:color w:val="FF0000"/>
        </w:rPr>
        <w:t xml:space="preserve"> necessary.</w:t>
      </w:r>
      <w:r>
        <w:rPr>
          <w:color w:val="FF0000"/>
        </w:rPr>
        <w:t xml:space="preserve"> </w:t>
      </w:r>
    </w:p>
    <w:p w14:paraId="4418ABE4" w14:textId="77777777" w:rsidR="000177D5" w:rsidRPr="00993B55" w:rsidRDefault="000177D5" w:rsidP="007A60F3">
      <w:pPr>
        <w:pStyle w:val="Header"/>
        <w:widowControl w:val="0"/>
        <w:tabs>
          <w:tab w:val="clear" w:pos="4320"/>
          <w:tab w:val="clear" w:pos="8640"/>
        </w:tabs>
      </w:pPr>
    </w:p>
    <w:p w14:paraId="018716C9" w14:textId="77777777" w:rsidR="000177D5" w:rsidRPr="00993B55" w:rsidRDefault="000177D5" w:rsidP="007A60F3">
      <w:pPr>
        <w:widowControl w:val="0"/>
        <w:tabs>
          <w:tab w:val="left" w:pos="1530"/>
        </w:tabs>
        <w:autoSpaceDE w:val="0"/>
        <w:autoSpaceDN w:val="0"/>
        <w:adjustRightInd w:val="0"/>
        <w:rPr>
          <w:i/>
          <w:iCs/>
          <w:color w:val="0000FF"/>
          <w:u w:val="single"/>
        </w:rPr>
      </w:pPr>
      <w:r w:rsidRPr="00993B55">
        <w:rPr>
          <w:i/>
          <w:iCs/>
          <w:color w:val="0000FF"/>
          <w:u w:val="single"/>
        </w:rPr>
        <w:t>For example</w:t>
      </w:r>
    </w:p>
    <w:p w14:paraId="3681BF0A" w14:textId="75CB6DB0" w:rsidR="000177D5" w:rsidRPr="00993B55" w:rsidRDefault="000177D5" w:rsidP="007A60F3">
      <w:pPr>
        <w:widowControl w:val="0"/>
        <w:tabs>
          <w:tab w:val="left" w:pos="450"/>
        </w:tabs>
        <w:autoSpaceDE w:val="0"/>
        <w:autoSpaceDN w:val="0"/>
        <w:adjustRightInd w:val="0"/>
        <w:rPr>
          <w:color w:val="000000"/>
        </w:rPr>
      </w:pPr>
      <w:r w:rsidRPr="00993B55">
        <w:rPr>
          <w:iCs/>
          <w:color w:val="000000"/>
        </w:rPr>
        <w:t>A</w:t>
      </w:r>
      <w:r w:rsidRPr="00FC3399">
        <w:rPr>
          <w:color w:val="000000"/>
        </w:rPr>
        <w:t>:</w:t>
      </w:r>
      <w:r w:rsidRPr="00993B55">
        <w:rPr>
          <w:i/>
          <w:iCs/>
          <w:color w:val="000000"/>
        </w:rPr>
        <w:tab/>
      </w:r>
      <w:r w:rsidRPr="00993B55">
        <w:rPr>
          <w:iCs/>
          <w:color w:val="000000"/>
        </w:rPr>
        <w:t>Draft ATC</w:t>
      </w:r>
      <w:r w:rsidR="00BF4374">
        <w:rPr>
          <w:iCs/>
          <w:color w:val="000000"/>
        </w:rPr>
        <w:t>(s)</w:t>
      </w:r>
    </w:p>
    <w:p w14:paraId="2A8AA7F2" w14:textId="77777777" w:rsidR="000177D5" w:rsidRPr="00993B55" w:rsidRDefault="000177D5" w:rsidP="007A60F3">
      <w:pPr>
        <w:widowControl w:val="0"/>
        <w:rPr>
          <w:color w:val="000000"/>
        </w:rPr>
      </w:pPr>
      <w:r w:rsidRPr="00993B55">
        <w:rPr>
          <w:color w:val="000000"/>
        </w:rPr>
        <w:t>B:</w:t>
      </w:r>
      <w:r w:rsidRPr="00993B55">
        <w:rPr>
          <w:color w:val="000000"/>
        </w:rPr>
        <w:tab/>
        <w:t>Current PTO</w:t>
      </w:r>
      <w:r w:rsidRPr="00A813BC">
        <w:rPr>
          <w:color w:val="0000FF"/>
          <w:sz w:val="22"/>
          <w:szCs w:val="22"/>
        </w:rPr>
        <w:t>(s)</w:t>
      </w:r>
    </w:p>
    <w:p w14:paraId="2459AE88" w14:textId="5BAC0C16" w:rsidR="000177D5" w:rsidRPr="00993B55" w:rsidRDefault="000177D5" w:rsidP="007A60F3">
      <w:pPr>
        <w:widowControl w:val="0"/>
        <w:rPr>
          <w:color w:val="000000"/>
        </w:rPr>
      </w:pPr>
      <w:r w:rsidRPr="00993B55">
        <w:rPr>
          <w:color w:val="000000"/>
        </w:rPr>
        <w:t>C:</w:t>
      </w:r>
      <w:r w:rsidRPr="00993B55">
        <w:rPr>
          <w:color w:val="000000"/>
        </w:rPr>
        <w:tab/>
        <w:t>BACT Guideline</w:t>
      </w:r>
      <w:r w:rsidR="00BA163A">
        <w:rPr>
          <w:color w:val="000000"/>
        </w:rPr>
        <w:t xml:space="preserve"> and BACT Top-Down Analysis</w:t>
      </w:r>
    </w:p>
    <w:p w14:paraId="7243E3AD" w14:textId="7C76D0DD" w:rsidR="000177D5" w:rsidRPr="00993B55" w:rsidRDefault="00BA163A" w:rsidP="007A60F3">
      <w:pPr>
        <w:widowControl w:val="0"/>
      </w:pPr>
      <w:r>
        <w:t>D</w:t>
      </w:r>
      <w:r w:rsidR="000177D5" w:rsidRPr="00993B55">
        <w:t>:</w:t>
      </w:r>
      <w:r w:rsidR="000177D5" w:rsidRPr="00993B55">
        <w:tab/>
      </w:r>
      <w:r w:rsidR="00E47EC0">
        <w:t>HRA</w:t>
      </w:r>
      <w:r w:rsidR="000177D5" w:rsidRPr="00993B55">
        <w:t xml:space="preserve"> Summary</w:t>
      </w:r>
    </w:p>
    <w:p w14:paraId="31824867" w14:textId="45ABA7AE" w:rsidR="000177D5" w:rsidRPr="00993B55" w:rsidRDefault="00BA163A" w:rsidP="007A60F3">
      <w:pPr>
        <w:widowControl w:val="0"/>
        <w:rPr>
          <w:color w:val="000000"/>
        </w:rPr>
      </w:pPr>
      <w:r>
        <w:rPr>
          <w:color w:val="000000"/>
        </w:rPr>
        <w:t>E</w:t>
      </w:r>
      <w:r w:rsidR="000177D5" w:rsidRPr="00993B55">
        <w:rPr>
          <w:color w:val="000000"/>
        </w:rPr>
        <w:t>:</w:t>
      </w:r>
      <w:r w:rsidR="000177D5" w:rsidRPr="00993B55">
        <w:rPr>
          <w:color w:val="000000"/>
        </w:rPr>
        <w:tab/>
        <w:t>SSPE1 Calculations</w:t>
      </w:r>
    </w:p>
    <w:p w14:paraId="6E206843" w14:textId="7A9878F7" w:rsidR="000177D5" w:rsidRPr="00993B55" w:rsidRDefault="00BA163A" w:rsidP="007A60F3">
      <w:pPr>
        <w:widowControl w:val="0"/>
        <w:rPr>
          <w:color w:val="000000"/>
        </w:rPr>
      </w:pPr>
      <w:r>
        <w:rPr>
          <w:color w:val="000000"/>
        </w:rPr>
        <w:t>F</w:t>
      </w:r>
      <w:r w:rsidR="000177D5" w:rsidRPr="00993B55">
        <w:rPr>
          <w:color w:val="000000"/>
        </w:rPr>
        <w:t>:</w:t>
      </w:r>
      <w:r w:rsidR="000177D5" w:rsidRPr="00993B55">
        <w:rPr>
          <w:color w:val="000000"/>
        </w:rPr>
        <w:tab/>
        <w:t>SSPE2 Calculations</w:t>
      </w:r>
    </w:p>
    <w:p w14:paraId="3AF12960" w14:textId="2F0F7ADC" w:rsidR="000177D5" w:rsidRPr="009B34E2" w:rsidRDefault="00BA163A" w:rsidP="009B34E2">
      <w:pPr>
        <w:widowControl w:val="0"/>
        <w:rPr>
          <w:bCs/>
        </w:rPr>
      </w:pPr>
      <w:r>
        <w:rPr>
          <w:bCs/>
        </w:rPr>
        <w:lastRenderedPageBreak/>
        <w:t>G</w:t>
      </w:r>
      <w:r w:rsidR="000177D5" w:rsidRPr="00993B55">
        <w:rPr>
          <w:bCs/>
        </w:rPr>
        <w:t>:</w:t>
      </w:r>
      <w:r w:rsidR="000177D5" w:rsidRPr="00993B55">
        <w:rPr>
          <w:bCs/>
        </w:rPr>
        <w:tab/>
      </w:r>
      <w:r w:rsidR="000177D5" w:rsidRPr="00993B55">
        <w:rPr>
          <w:color w:val="000000"/>
        </w:rPr>
        <w:t>Quarterly Net Emissions Change</w:t>
      </w:r>
    </w:p>
    <w:p w14:paraId="0A4E9AFE" w14:textId="2AD7A680" w:rsidR="00FC3399" w:rsidRPr="00FC3399" w:rsidRDefault="009B34E2" w:rsidP="007A60F3">
      <w:pPr>
        <w:widowControl w:val="0"/>
        <w:tabs>
          <w:tab w:val="left" w:pos="450"/>
        </w:tabs>
        <w:ind w:left="2520" w:hanging="2520"/>
        <w:rPr>
          <w:bCs/>
        </w:rPr>
      </w:pPr>
      <w:r>
        <w:rPr>
          <w:bCs/>
        </w:rPr>
        <w:t>H</w:t>
      </w:r>
      <w:r w:rsidR="00FC3399">
        <w:rPr>
          <w:bCs/>
        </w:rPr>
        <w:t>:</w:t>
      </w:r>
      <w:r w:rsidR="00FC3399">
        <w:rPr>
          <w:bCs/>
        </w:rPr>
        <w:tab/>
        <w:t xml:space="preserve">Compliance Certification </w:t>
      </w:r>
      <w:r w:rsidR="00FC3399" w:rsidRPr="00FC3399">
        <w:rPr>
          <w:bCs/>
          <w:i/>
          <w:iCs/>
          <w:color w:val="FF0000"/>
        </w:rPr>
        <w:t xml:space="preserve">(include for </w:t>
      </w:r>
      <w:r w:rsidR="00992DC8">
        <w:rPr>
          <w:bCs/>
          <w:i/>
          <w:iCs/>
          <w:color w:val="FF0000"/>
        </w:rPr>
        <w:t>Major Source public notice</w:t>
      </w:r>
      <w:r w:rsidR="00FC3399" w:rsidRPr="00FC3399">
        <w:rPr>
          <w:bCs/>
          <w:i/>
          <w:iCs/>
          <w:color w:val="FF0000"/>
        </w:rPr>
        <w:t xml:space="preserve"> projects)</w:t>
      </w:r>
      <w:r w:rsidR="00FC3399" w:rsidRPr="00FC3399">
        <w:rPr>
          <w:bCs/>
        </w:rPr>
        <w:t xml:space="preserve"> </w:t>
      </w:r>
    </w:p>
    <w:p w14:paraId="6CB22F95" w14:textId="6822AC6A" w:rsidR="00B4172B" w:rsidRPr="00993B55" w:rsidRDefault="009B34E2" w:rsidP="007A60F3">
      <w:pPr>
        <w:widowControl w:val="0"/>
        <w:tabs>
          <w:tab w:val="left" w:pos="450"/>
        </w:tabs>
        <w:ind w:left="2520" w:hanging="2520"/>
        <w:rPr>
          <w:bCs/>
        </w:rPr>
      </w:pPr>
      <w:r>
        <w:rPr>
          <w:bCs/>
        </w:rPr>
        <w:t>I</w:t>
      </w:r>
      <w:r w:rsidR="000177D5" w:rsidRPr="00993B55">
        <w:rPr>
          <w:bCs/>
        </w:rPr>
        <w:t>:</w:t>
      </w:r>
      <w:r w:rsidR="000177D5" w:rsidRPr="00993B55">
        <w:rPr>
          <w:bCs/>
        </w:rPr>
        <w:tab/>
      </w:r>
      <w:r w:rsidR="00FC3399">
        <w:rPr>
          <w:bCs/>
        </w:rPr>
        <w:t xml:space="preserve">COC </w:t>
      </w:r>
      <w:r w:rsidR="000177D5" w:rsidRPr="00993B55">
        <w:rPr>
          <w:bCs/>
        </w:rPr>
        <w:t>Compliance Certification</w:t>
      </w:r>
      <w:r w:rsidR="00B4172B">
        <w:rPr>
          <w:bCs/>
        </w:rPr>
        <w:t xml:space="preserve"> </w:t>
      </w:r>
      <w:r w:rsidR="00B4172B" w:rsidRPr="00B4172B">
        <w:rPr>
          <w:bCs/>
          <w:i/>
          <w:iCs/>
          <w:color w:val="FF0000"/>
        </w:rPr>
        <w:t>(include for ATCs issued with COC - TVFORM-009)</w:t>
      </w:r>
    </w:p>
    <w:p w14:paraId="665CF4A1" w14:textId="0B161979" w:rsidR="000177D5" w:rsidRDefault="009B34E2" w:rsidP="007A60F3">
      <w:pPr>
        <w:widowControl w:val="0"/>
        <w:tabs>
          <w:tab w:val="left" w:pos="450"/>
        </w:tabs>
        <w:ind w:left="2520" w:hanging="2520"/>
        <w:rPr>
          <w:bCs/>
          <w:i/>
          <w:color w:val="FF0000"/>
        </w:rPr>
      </w:pPr>
      <w:r>
        <w:rPr>
          <w:bCs/>
        </w:rPr>
        <w:t>J</w:t>
      </w:r>
      <w:r w:rsidR="000177D5" w:rsidRPr="00993B55">
        <w:rPr>
          <w:bCs/>
        </w:rPr>
        <w:t>:</w:t>
      </w:r>
      <w:r w:rsidR="000177D5" w:rsidRPr="00993B55">
        <w:rPr>
          <w:bCs/>
        </w:rPr>
        <w:tab/>
        <w:t>ERC Withdrawal Calculations</w:t>
      </w:r>
    </w:p>
    <w:p w14:paraId="29023B40" w14:textId="0E46C62B" w:rsidR="00D567EC" w:rsidRDefault="009B34E2" w:rsidP="007A60F3">
      <w:pPr>
        <w:widowControl w:val="0"/>
        <w:tabs>
          <w:tab w:val="left" w:pos="450"/>
        </w:tabs>
        <w:ind w:left="2520" w:hanging="2520"/>
        <w:rPr>
          <w:bCs/>
        </w:rPr>
      </w:pPr>
      <w:r>
        <w:rPr>
          <w:bCs/>
        </w:rPr>
        <w:t>K</w:t>
      </w:r>
      <w:r w:rsidR="00D567EC">
        <w:rPr>
          <w:bCs/>
        </w:rPr>
        <w:t>:</w:t>
      </w:r>
      <w:r w:rsidR="00D567EC">
        <w:rPr>
          <w:bCs/>
        </w:rPr>
        <w:tab/>
        <w:t xml:space="preserve">HAP </w:t>
      </w:r>
      <w:r w:rsidR="008A454D">
        <w:rPr>
          <w:bCs/>
        </w:rPr>
        <w:t xml:space="preserve">Major </w:t>
      </w:r>
      <w:r w:rsidR="00D567EC">
        <w:rPr>
          <w:bCs/>
        </w:rPr>
        <w:t>Source Determination</w:t>
      </w:r>
    </w:p>
    <w:p w14:paraId="04341A24" w14:textId="78EEEFFE" w:rsidR="00226D0B" w:rsidRPr="00993B55" w:rsidRDefault="009B34E2" w:rsidP="007A60F3">
      <w:pPr>
        <w:widowControl w:val="0"/>
        <w:tabs>
          <w:tab w:val="left" w:pos="450"/>
        </w:tabs>
        <w:ind w:left="2520" w:hanging="2520"/>
        <w:rPr>
          <w:bCs/>
        </w:rPr>
      </w:pPr>
      <w:r>
        <w:rPr>
          <w:bCs/>
        </w:rPr>
        <w:t>L</w:t>
      </w:r>
      <w:r w:rsidR="00226D0B">
        <w:rPr>
          <w:bCs/>
        </w:rPr>
        <w:t>:</w:t>
      </w:r>
      <w:r w:rsidR="00226D0B">
        <w:rPr>
          <w:bCs/>
        </w:rPr>
        <w:tab/>
      </w:r>
      <w:r w:rsidR="00FF33CC">
        <w:rPr>
          <w:bCs/>
        </w:rPr>
        <w:t>ERC Surplus Analysis</w:t>
      </w:r>
    </w:p>
    <w:p w14:paraId="1721A419" w14:textId="77777777" w:rsidR="000177D5" w:rsidRPr="00993B55" w:rsidRDefault="000177D5" w:rsidP="007A60F3">
      <w:pPr>
        <w:widowControl w:val="0"/>
        <w:tabs>
          <w:tab w:val="left" w:pos="450"/>
        </w:tabs>
        <w:ind w:left="2520" w:hanging="2520"/>
        <w:rPr>
          <w:bCs/>
        </w:rPr>
      </w:pPr>
    </w:p>
    <w:p w14:paraId="236B3967" w14:textId="77777777" w:rsidR="00EF3AB6" w:rsidRPr="00993B55" w:rsidRDefault="00EF3AB6" w:rsidP="007A60F3">
      <w:pPr>
        <w:widowControl w:val="0"/>
        <w:tabs>
          <w:tab w:val="left" w:pos="450"/>
        </w:tabs>
        <w:rPr>
          <w:bCs/>
        </w:rPr>
      </w:pPr>
    </w:p>
    <w:p w14:paraId="7AB712DA" w14:textId="77777777" w:rsidR="000177D5" w:rsidRPr="00993B55" w:rsidRDefault="000177D5" w:rsidP="007A60F3">
      <w:pPr>
        <w:widowControl w:val="0"/>
        <w:rPr>
          <w:bCs/>
        </w:rPr>
        <w:sectPr w:rsidR="000177D5" w:rsidRPr="00993B55" w:rsidSect="00F3524B">
          <w:headerReference w:type="default" r:id="rId32"/>
          <w:footerReference w:type="default" r:id="rId33"/>
          <w:headerReference w:type="first" r:id="rId34"/>
          <w:footerReference w:type="first" r:id="rId35"/>
          <w:pgSz w:w="12240" w:h="15840" w:code="1"/>
          <w:pgMar w:top="720" w:right="1080" w:bottom="1166" w:left="1080" w:header="432" w:footer="619" w:gutter="0"/>
          <w:pgNumType w:start="1"/>
          <w:cols w:space="720"/>
          <w:titlePg/>
          <w:docGrid w:linePitch="326"/>
        </w:sectPr>
      </w:pPr>
    </w:p>
    <w:p w14:paraId="25F36E0D" w14:textId="77777777" w:rsidR="006846D9" w:rsidRDefault="006846D9" w:rsidP="007A60F3">
      <w:pPr>
        <w:widowControl w:val="0"/>
        <w:rPr>
          <w:bCs/>
          <w:color w:val="000000"/>
        </w:rPr>
      </w:pPr>
    </w:p>
    <w:p w14:paraId="06D1A2DF" w14:textId="77777777" w:rsidR="006846D9" w:rsidRDefault="006846D9" w:rsidP="007A60F3">
      <w:pPr>
        <w:widowControl w:val="0"/>
        <w:rPr>
          <w:color w:val="000000"/>
        </w:rPr>
      </w:pPr>
    </w:p>
    <w:p w14:paraId="3361F6B1" w14:textId="77777777" w:rsidR="006846D9" w:rsidRDefault="006846D9" w:rsidP="007A60F3">
      <w:pPr>
        <w:widowControl w:val="0"/>
        <w:rPr>
          <w:color w:val="000000"/>
        </w:rPr>
      </w:pPr>
    </w:p>
    <w:p w14:paraId="5041A82F" w14:textId="77777777" w:rsidR="006846D9" w:rsidRDefault="006846D9" w:rsidP="007A60F3">
      <w:pPr>
        <w:widowControl w:val="0"/>
        <w:rPr>
          <w:color w:val="000000"/>
        </w:rPr>
      </w:pPr>
    </w:p>
    <w:p w14:paraId="01DE02A6" w14:textId="77777777" w:rsidR="006846D9" w:rsidRDefault="006846D9" w:rsidP="007A60F3">
      <w:pPr>
        <w:widowControl w:val="0"/>
        <w:rPr>
          <w:color w:val="000000"/>
        </w:rPr>
      </w:pPr>
    </w:p>
    <w:p w14:paraId="3D18392D" w14:textId="77777777" w:rsidR="006846D9" w:rsidRDefault="006846D9" w:rsidP="007A60F3">
      <w:pPr>
        <w:widowControl w:val="0"/>
        <w:rPr>
          <w:color w:val="000000"/>
        </w:rPr>
      </w:pPr>
    </w:p>
    <w:p w14:paraId="655646E5" w14:textId="77777777" w:rsidR="006846D9" w:rsidRDefault="006846D9" w:rsidP="007A60F3">
      <w:pPr>
        <w:widowControl w:val="0"/>
        <w:rPr>
          <w:color w:val="000000"/>
        </w:rPr>
      </w:pPr>
    </w:p>
    <w:p w14:paraId="39EA9DFA" w14:textId="77777777" w:rsidR="006846D9" w:rsidRDefault="006846D9" w:rsidP="007A60F3">
      <w:pPr>
        <w:widowControl w:val="0"/>
        <w:rPr>
          <w:color w:val="000000"/>
        </w:rPr>
      </w:pPr>
    </w:p>
    <w:p w14:paraId="78BB510A" w14:textId="77777777" w:rsidR="006846D9" w:rsidRDefault="006846D9" w:rsidP="007A60F3">
      <w:pPr>
        <w:widowControl w:val="0"/>
        <w:rPr>
          <w:color w:val="000000"/>
        </w:rPr>
      </w:pPr>
    </w:p>
    <w:p w14:paraId="4520E8F0" w14:textId="77777777" w:rsidR="006846D9" w:rsidRDefault="006846D9" w:rsidP="007A60F3">
      <w:pPr>
        <w:widowControl w:val="0"/>
        <w:rPr>
          <w:color w:val="000000"/>
        </w:rPr>
      </w:pPr>
    </w:p>
    <w:p w14:paraId="1A952637" w14:textId="77777777" w:rsidR="006846D9" w:rsidRDefault="006846D9" w:rsidP="007A60F3">
      <w:pPr>
        <w:widowControl w:val="0"/>
        <w:rPr>
          <w:color w:val="000000"/>
        </w:rPr>
      </w:pPr>
    </w:p>
    <w:p w14:paraId="66E7DC74" w14:textId="77777777" w:rsidR="006846D9" w:rsidRDefault="006846D9" w:rsidP="007A60F3">
      <w:pPr>
        <w:widowControl w:val="0"/>
        <w:jc w:val="center"/>
        <w:rPr>
          <w:b/>
          <w:bCs/>
          <w:sz w:val="32"/>
        </w:rPr>
      </w:pPr>
      <w:r>
        <w:rPr>
          <w:b/>
          <w:bCs/>
          <w:sz w:val="32"/>
        </w:rPr>
        <w:t>APPENDIX A</w:t>
      </w:r>
    </w:p>
    <w:p w14:paraId="68012B20" w14:textId="08C3E94A" w:rsidR="006846D9" w:rsidRPr="00E429C4" w:rsidRDefault="006846D9" w:rsidP="007A60F3">
      <w:pPr>
        <w:pStyle w:val="Heading9"/>
        <w:keepNext w:val="0"/>
        <w:widowControl w:val="0"/>
        <w:jc w:val="center"/>
        <w:rPr>
          <w:sz w:val="28"/>
          <w:szCs w:val="28"/>
        </w:rPr>
      </w:pPr>
      <w:r w:rsidRPr="00E429C4">
        <w:rPr>
          <w:sz w:val="28"/>
          <w:szCs w:val="28"/>
        </w:rPr>
        <w:t>Draft ATC</w:t>
      </w:r>
      <w:r w:rsidR="00640D98">
        <w:rPr>
          <w:sz w:val="28"/>
          <w:szCs w:val="28"/>
        </w:rPr>
        <w:t>(s)</w:t>
      </w:r>
    </w:p>
    <w:p w14:paraId="0FE0546D" w14:textId="77777777" w:rsidR="006846D9" w:rsidRDefault="006846D9" w:rsidP="007A60F3">
      <w:pPr>
        <w:widowControl w:val="0"/>
        <w:jc w:val="left"/>
        <w:rPr>
          <w:bCs/>
          <w:color w:val="000000"/>
        </w:rPr>
      </w:pPr>
      <w:r>
        <w:rPr>
          <w:bCs/>
          <w:color w:val="000000"/>
        </w:rPr>
        <w:br w:type="page"/>
      </w:r>
    </w:p>
    <w:p w14:paraId="2BA4249A" w14:textId="77777777" w:rsidR="006846D9" w:rsidRDefault="006846D9" w:rsidP="007A60F3">
      <w:pPr>
        <w:widowControl w:val="0"/>
        <w:rPr>
          <w:bCs/>
          <w:color w:val="000000"/>
        </w:rPr>
      </w:pPr>
    </w:p>
    <w:p w14:paraId="531CE682" w14:textId="77777777" w:rsidR="006846D9" w:rsidRDefault="006846D9" w:rsidP="007A60F3">
      <w:pPr>
        <w:widowControl w:val="0"/>
        <w:rPr>
          <w:color w:val="000000"/>
        </w:rPr>
      </w:pPr>
    </w:p>
    <w:p w14:paraId="16C3FCC5" w14:textId="77777777" w:rsidR="006846D9" w:rsidRDefault="006846D9" w:rsidP="007A60F3">
      <w:pPr>
        <w:widowControl w:val="0"/>
        <w:rPr>
          <w:color w:val="000000"/>
        </w:rPr>
      </w:pPr>
    </w:p>
    <w:p w14:paraId="77C4C87C" w14:textId="77777777" w:rsidR="006846D9" w:rsidRDefault="006846D9" w:rsidP="007A60F3">
      <w:pPr>
        <w:widowControl w:val="0"/>
        <w:rPr>
          <w:color w:val="000000"/>
        </w:rPr>
      </w:pPr>
    </w:p>
    <w:p w14:paraId="534C42B8" w14:textId="77777777" w:rsidR="006846D9" w:rsidRDefault="006846D9" w:rsidP="007A60F3">
      <w:pPr>
        <w:widowControl w:val="0"/>
        <w:rPr>
          <w:color w:val="000000"/>
        </w:rPr>
      </w:pPr>
    </w:p>
    <w:p w14:paraId="2FA8687B" w14:textId="77777777" w:rsidR="006846D9" w:rsidRDefault="006846D9" w:rsidP="007A60F3">
      <w:pPr>
        <w:widowControl w:val="0"/>
        <w:rPr>
          <w:color w:val="000000"/>
        </w:rPr>
      </w:pPr>
    </w:p>
    <w:p w14:paraId="6ABD1624" w14:textId="77777777" w:rsidR="006846D9" w:rsidRDefault="006846D9" w:rsidP="007A60F3">
      <w:pPr>
        <w:widowControl w:val="0"/>
        <w:rPr>
          <w:color w:val="000000"/>
        </w:rPr>
      </w:pPr>
    </w:p>
    <w:p w14:paraId="73074CA6" w14:textId="77777777" w:rsidR="006846D9" w:rsidRDefault="006846D9" w:rsidP="007A60F3">
      <w:pPr>
        <w:widowControl w:val="0"/>
        <w:rPr>
          <w:color w:val="000000"/>
        </w:rPr>
      </w:pPr>
    </w:p>
    <w:p w14:paraId="7A1479E2" w14:textId="77777777" w:rsidR="006846D9" w:rsidRDefault="006846D9" w:rsidP="007A60F3">
      <w:pPr>
        <w:widowControl w:val="0"/>
        <w:rPr>
          <w:color w:val="000000"/>
        </w:rPr>
      </w:pPr>
    </w:p>
    <w:p w14:paraId="7E94BD6C" w14:textId="77777777" w:rsidR="006846D9" w:rsidRDefault="006846D9" w:rsidP="007A60F3">
      <w:pPr>
        <w:widowControl w:val="0"/>
        <w:rPr>
          <w:color w:val="000000"/>
        </w:rPr>
      </w:pPr>
    </w:p>
    <w:p w14:paraId="2B33CED9" w14:textId="77777777" w:rsidR="006846D9" w:rsidRDefault="006846D9" w:rsidP="007A60F3">
      <w:pPr>
        <w:widowControl w:val="0"/>
        <w:rPr>
          <w:color w:val="000000"/>
        </w:rPr>
      </w:pPr>
    </w:p>
    <w:p w14:paraId="7D9322FC" w14:textId="77777777" w:rsidR="006846D9" w:rsidRDefault="006846D9" w:rsidP="007A60F3">
      <w:pPr>
        <w:widowControl w:val="0"/>
        <w:jc w:val="center"/>
        <w:rPr>
          <w:b/>
          <w:bCs/>
          <w:sz w:val="32"/>
        </w:rPr>
      </w:pPr>
      <w:r>
        <w:rPr>
          <w:b/>
          <w:bCs/>
          <w:sz w:val="32"/>
        </w:rPr>
        <w:t>APPENDIX B</w:t>
      </w:r>
    </w:p>
    <w:p w14:paraId="10B21AAE" w14:textId="77777777" w:rsidR="006846D9" w:rsidRPr="00E429C4" w:rsidRDefault="006846D9" w:rsidP="007A60F3">
      <w:pPr>
        <w:pStyle w:val="Heading9"/>
        <w:keepNext w:val="0"/>
        <w:widowControl w:val="0"/>
        <w:jc w:val="center"/>
        <w:rPr>
          <w:sz w:val="28"/>
          <w:szCs w:val="28"/>
        </w:rPr>
      </w:pPr>
      <w:r w:rsidRPr="00E429C4">
        <w:rPr>
          <w:sz w:val="28"/>
          <w:szCs w:val="28"/>
        </w:rPr>
        <w:t>Current PTO</w:t>
      </w:r>
      <w:r w:rsidRPr="00E429C4">
        <w:rPr>
          <w:color w:val="0000FF"/>
          <w:sz w:val="28"/>
          <w:szCs w:val="28"/>
        </w:rPr>
        <w:t>(s)</w:t>
      </w:r>
    </w:p>
    <w:p w14:paraId="1BB645E0" w14:textId="77777777" w:rsidR="006846D9" w:rsidRPr="00B627E5" w:rsidRDefault="006846D9" w:rsidP="007A60F3">
      <w:pPr>
        <w:widowControl w:val="0"/>
        <w:jc w:val="left"/>
        <w:rPr>
          <w:b/>
          <w:bCs/>
          <w:color w:val="000000"/>
          <w:sz w:val="28"/>
        </w:rPr>
      </w:pPr>
      <w:r>
        <w:rPr>
          <w:bCs/>
          <w:color w:val="000000"/>
        </w:rPr>
        <w:br w:type="page"/>
      </w:r>
    </w:p>
    <w:p w14:paraId="5C5B3027" w14:textId="77777777" w:rsidR="000177D5" w:rsidRPr="00993B55" w:rsidRDefault="000177D5" w:rsidP="007A60F3">
      <w:pPr>
        <w:widowControl w:val="0"/>
        <w:rPr>
          <w:bCs/>
          <w:color w:val="000000"/>
        </w:rPr>
      </w:pPr>
    </w:p>
    <w:p w14:paraId="315324DB" w14:textId="77777777" w:rsidR="000177D5" w:rsidRPr="00993B55" w:rsidRDefault="000177D5" w:rsidP="007A60F3">
      <w:pPr>
        <w:widowControl w:val="0"/>
        <w:rPr>
          <w:color w:val="000000"/>
        </w:rPr>
      </w:pPr>
    </w:p>
    <w:p w14:paraId="5DB9B37C" w14:textId="77777777" w:rsidR="000177D5" w:rsidRPr="00993B55" w:rsidRDefault="000177D5" w:rsidP="007A60F3">
      <w:pPr>
        <w:widowControl w:val="0"/>
        <w:rPr>
          <w:color w:val="000000"/>
        </w:rPr>
      </w:pPr>
    </w:p>
    <w:p w14:paraId="3827724A" w14:textId="77777777" w:rsidR="000177D5" w:rsidRPr="00993B55" w:rsidRDefault="000177D5" w:rsidP="007A60F3">
      <w:pPr>
        <w:widowControl w:val="0"/>
        <w:rPr>
          <w:color w:val="000000"/>
        </w:rPr>
      </w:pPr>
    </w:p>
    <w:p w14:paraId="5C585D58" w14:textId="77777777" w:rsidR="000177D5" w:rsidRPr="00993B55" w:rsidRDefault="000177D5" w:rsidP="007A60F3">
      <w:pPr>
        <w:widowControl w:val="0"/>
        <w:rPr>
          <w:color w:val="000000"/>
        </w:rPr>
      </w:pPr>
    </w:p>
    <w:p w14:paraId="4501D85A" w14:textId="77777777" w:rsidR="000177D5" w:rsidRPr="00993B55" w:rsidRDefault="000177D5" w:rsidP="007A60F3">
      <w:pPr>
        <w:widowControl w:val="0"/>
        <w:rPr>
          <w:color w:val="000000"/>
        </w:rPr>
      </w:pPr>
    </w:p>
    <w:p w14:paraId="72D5D74C" w14:textId="77777777" w:rsidR="000177D5" w:rsidRPr="00993B55" w:rsidRDefault="000177D5" w:rsidP="007A60F3">
      <w:pPr>
        <w:widowControl w:val="0"/>
        <w:rPr>
          <w:color w:val="000000"/>
        </w:rPr>
      </w:pPr>
    </w:p>
    <w:p w14:paraId="10B18050" w14:textId="77777777" w:rsidR="000177D5" w:rsidRPr="00993B55" w:rsidRDefault="000177D5" w:rsidP="007A60F3">
      <w:pPr>
        <w:widowControl w:val="0"/>
        <w:rPr>
          <w:color w:val="000000"/>
        </w:rPr>
      </w:pPr>
    </w:p>
    <w:p w14:paraId="049440BA" w14:textId="77777777" w:rsidR="000177D5" w:rsidRPr="00993B55" w:rsidRDefault="000177D5" w:rsidP="007A60F3">
      <w:pPr>
        <w:widowControl w:val="0"/>
        <w:rPr>
          <w:color w:val="000000"/>
        </w:rPr>
      </w:pPr>
    </w:p>
    <w:p w14:paraId="4683D3DF" w14:textId="77777777" w:rsidR="000177D5" w:rsidRPr="00993B55" w:rsidRDefault="000177D5" w:rsidP="007A60F3">
      <w:pPr>
        <w:widowControl w:val="0"/>
        <w:rPr>
          <w:color w:val="000000"/>
        </w:rPr>
      </w:pPr>
    </w:p>
    <w:p w14:paraId="4A63E39C" w14:textId="77777777" w:rsidR="000177D5" w:rsidRPr="00993B55" w:rsidRDefault="000177D5" w:rsidP="007A60F3">
      <w:pPr>
        <w:widowControl w:val="0"/>
        <w:rPr>
          <w:color w:val="000000"/>
        </w:rPr>
      </w:pPr>
    </w:p>
    <w:p w14:paraId="751FAA17" w14:textId="4F903D1B" w:rsidR="000177D5" w:rsidRPr="00993B55" w:rsidRDefault="000177D5" w:rsidP="007A60F3">
      <w:pPr>
        <w:widowControl w:val="0"/>
        <w:jc w:val="center"/>
        <w:rPr>
          <w:b/>
          <w:bCs/>
          <w:sz w:val="32"/>
        </w:rPr>
      </w:pPr>
      <w:r w:rsidRPr="00993B55">
        <w:rPr>
          <w:b/>
          <w:bCs/>
          <w:sz w:val="32"/>
        </w:rPr>
        <w:t xml:space="preserve">APPENDIX </w:t>
      </w:r>
      <w:r w:rsidR="00163B71" w:rsidRPr="006118C3">
        <w:rPr>
          <w:b/>
          <w:bCs/>
          <w:color w:val="0000FF"/>
          <w:sz w:val="32"/>
        </w:rPr>
        <w:t>C</w:t>
      </w:r>
    </w:p>
    <w:p w14:paraId="5ACD2D10" w14:textId="77777777" w:rsidR="000177D5" w:rsidRPr="00993B55" w:rsidRDefault="000177D5" w:rsidP="007A60F3">
      <w:pPr>
        <w:widowControl w:val="0"/>
        <w:jc w:val="center"/>
        <w:rPr>
          <w:b/>
          <w:bCs/>
          <w:color w:val="000000"/>
          <w:sz w:val="28"/>
        </w:rPr>
      </w:pPr>
      <w:r w:rsidRPr="00993B55">
        <w:rPr>
          <w:b/>
          <w:bCs/>
          <w:color w:val="000000"/>
          <w:sz w:val="28"/>
        </w:rPr>
        <w:t>Quarterly Net Emissions Change (QNEC)</w:t>
      </w:r>
    </w:p>
    <w:p w14:paraId="0C46B0A2" w14:textId="77777777" w:rsidR="000177D5" w:rsidRPr="00993B55" w:rsidRDefault="000177D5" w:rsidP="007A60F3">
      <w:pPr>
        <w:widowControl w:val="0"/>
        <w:rPr>
          <w:b/>
          <w:bCs/>
          <w:color w:val="000000"/>
        </w:rPr>
      </w:pPr>
      <w:r w:rsidRPr="00993B55">
        <w:rPr>
          <w:bCs/>
        </w:rPr>
        <w:br w:type="page"/>
      </w:r>
      <w:r w:rsidRPr="00993B55">
        <w:rPr>
          <w:b/>
          <w:bCs/>
          <w:color w:val="000000"/>
        </w:rPr>
        <w:lastRenderedPageBreak/>
        <w:t>Quarterly Net Emissions Change (QNEC)</w:t>
      </w:r>
    </w:p>
    <w:p w14:paraId="0EF2E6F5" w14:textId="77777777" w:rsidR="000177D5" w:rsidRPr="00993B55" w:rsidRDefault="000177D5" w:rsidP="007A60F3">
      <w:pPr>
        <w:widowControl w:val="0"/>
        <w:autoSpaceDE w:val="0"/>
        <w:autoSpaceDN w:val="0"/>
        <w:adjustRightInd w:val="0"/>
        <w:rPr>
          <w:bCs/>
          <w:color w:val="000000"/>
        </w:rPr>
      </w:pPr>
    </w:p>
    <w:p w14:paraId="17931003" w14:textId="77777777" w:rsidR="000177D5" w:rsidRPr="00993B55" w:rsidRDefault="000177D5" w:rsidP="007A60F3">
      <w:pPr>
        <w:widowControl w:val="0"/>
        <w:rPr>
          <w:bCs/>
          <w:i/>
          <w:iCs/>
          <w:color w:val="FF0000"/>
        </w:rPr>
      </w:pPr>
      <w:r w:rsidRPr="00993B55">
        <w:rPr>
          <w:color w:val="FF0000"/>
        </w:rPr>
        <w:t>The QNEC is entered into PAS database and subsequently reported to CARB.  For seasonal sources, or where the emissions differ quarter to quarter, then evaluate each pollutant for each quarter separately.  The QNEC is calculated for each pollutant, for each unit, as the difference between the post-project quarterly potential to emit (PE2) and the pre-project quarterly potential to emit (PE1).</w:t>
      </w:r>
    </w:p>
    <w:p w14:paraId="7FD9EFBE" w14:textId="77777777" w:rsidR="000177D5" w:rsidRPr="00993B55" w:rsidRDefault="000177D5" w:rsidP="007A60F3">
      <w:pPr>
        <w:widowControl w:val="0"/>
        <w:autoSpaceDE w:val="0"/>
        <w:autoSpaceDN w:val="0"/>
        <w:adjustRightInd w:val="0"/>
        <w:rPr>
          <w:color w:val="000000"/>
        </w:rPr>
      </w:pPr>
    </w:p>
    <w:p w14:paraId="66CF561D" w14:textId="77777777" w:rsidR="000177D5" w:rsidRPr="00993B55" w:rsidRDefault="000177D5" w:rsidP="007A60F3">
      <w:pPr>
        <w:widowControl w:val="0"/>
      </w:pPr>
      <w:r w:rsidRPr="00993B55">
        <w:t>The Quarterly Net Emissions Change is used to complete the emission profile screen for the District’s PAS database.  The QNEC shall be calculated as follows:</w:t>
      </w:r>
    </w:p>
    <w:p w14:paraId="3B278DBF" w14:textId="77777777" w:rsidR="000177D5" w:rsidRPr="00993B55" w:rsidRDefault="000177D5" w:rsidP="007A60F3">
      <w:pPr>
        <w:widowControl w:val="0"/>
      </w:pPr>
    </w:p>
    <w:p w14:paraId="7775B1D9" w14:textId="77777777" w:rsidR="000177D5" w:rsidRPr="00993B55" w:rsidRDefault="000177D5" w:rsidP="007A60F3">
      <w:pPr>
        <w:widowControl w:val="0"/>
      </w:pPr>
      <w:r w:rsidRPr="00993B55">
        <w:t>QNEC = PE2 - PE1, where:</w:t>
      </w:r>
    </w:p>
    <w:p w14:paraId="7934CD63" w14:textId="77777777" w:rsidR="000177D5" w:rsidRPr="00993B55" w:rsidRDefault="000177D5" w:rsidP="007A60F3">
      <w:pPr>
        <w:widowControl w:val="0"/>
        <w:rPr>
          <w:snapToGrid w:val="0"/>
          <w:color w:val="000000"/>
        </w:rPr>
      </w:pPr>
    </w:p>
    <w:p w14:paraId="79B83D08" w14:textId="77777777" w:rsidR="000177D5" w:rsidRPr="00993B55" w:rsidRDefault="000177D5" w:rsidP="007A60F3">
      <w:pPr>
        <w:widowControl w:val="0"/>
        <w:tabs>
          <w:tab w:val="left" w:pos="1170"/>
          <w:tab w:val="left" w:pos="1440"/>
        </w:tabs>
        <w:ind w:left="432"/>
        <w:rPr>
          <w:snapToGrid w:val="0"/>
          <w:color w:val="000000"/>
          <w:szCs w:val="18"/>
        </w:rPr>
      </w:pPr>
      <w:r w:rsidRPr="00993B55">
        <w:rPr>
          <w:snapToGrid w:val="0"/>
          <w:color w:val="000000"/>
          <w:szCs w:val="18"/>
        </w:rPr>
        <w:t>QNEC</w:t>
      </w:r>
      <w:r w:rsidRPr="00993B55">
        <w:rPr>
          <w:snapToGrid w:val="0"/>
          <w:color w:val="000000"/>
          <w:szCs w:val="18"/>
        </w:rPr>
        <w:tab/>
        <w:t>=</w:t>
      </w:r>
      <w:r w:rsidRPr="00993B55">
        <w:rPr>
          <w:snapToGrid w:val="0"/>
          <w:color w:val="000000"/>
          <w:szCs w:val="18"/>
        </w:rPr>
        <w:tab/>
        <w:t>Quarterly Net Emissions Change for each emissions unit, lb/qtr.</w:t>
      </w:r>
    </w:p>
    <w:p w14:paraId="2C0A55AB" w14:textId="77777777" w:rsidR="000177D5" w:rsidRPr="00993B55" w:rsidRDefault="000177D5" w:rsidP="007A60F3">
      <w:pPr>
        <w:widowControl w:val="0"/>
        <w:tabs>
          <w:tab w:val="left" w:pos="1170"/>
          <w:tab w:val="left" w:pos="1440"/>
        </w:tabs>
        <w:ind w:left="432"/>
        <w:rPr>
          <w:snapToGrid w:val="0"/>
          <w:color w:val="000000"/>
          <w:szCs w:val="18"/>
        </w:rPr>
      </w:pPr>
      <w:r w:rsidRPr="00993B55">
        <w:rPr>
          <w:snapToGrid w:val="0"/>
          <w:color w:val="000000"/>
          <w:szCs w:val="18"/>
        </w:rPr>
        <w:t>PE2</w:t>
      </w:r>
      <w:r w:rsidRPr="00993B55">
        <w:rPr>
          <w:snapToGrid w:val="0"/>
          <w:color w:val="000000"/>
          <w:szCs w:val="18"/>
        </w:rPr>
        <w:tab/>
        <w:t>=</w:t>
      </w:r>
      <w:r w:rsidRPr="00993B55">
        <w:rPr>
          <w:snapToGrid w:val="0"/>
          <w:color w:val="000000"/>
          <w:szCs w:val="18"/>
        </w:rPr>
        <w:tab/>
        <w:t>Post-Project Potential to Emit for each emissions unit, lb/qtr.</w:t>
      </w:r>
    </w:p>
    <w:p w14:paraId="23853B0B" w14:textId="77777777" w:rsidR="000177D5" w:rsidRPr="00993B55" w:rsidRDefault="000177D5" w:rsidP="007A60F3">
      <w:pPr>
        <w:widowControl w:val="0"/>
        <w:tabs>
          <w:tab w:val="left" w:pos="1170"/>
          <w:tab w:val="left" w:pos="1440"/>
        </w:tabs>
        <w:autoSpaceDE w:val="0"/>
        <w:autoSpaceDN w:val="0"/>
        <w:adjustRightInd w:val="0"/>
        <w:ind w:left="432"/>
        <w:rPr>
          <w:bCs/>
          <w:snapToGrid w:val="0"/>
          <w:color w:val="000000"/>
        </w:rPr>
      </w:pPr>
      <w:r w:rsidRPr="00993B55">
        <w:rPr>
          <w:snapToGrid w:val="0"/>
        </w:rPr>
        <w:t>PE1</w:t>
      </w:r>
      <w:r w:rsidRPr="00993B55">
        <w:rPr>
          <w:snapToGrid w:val="0"/>
        </w:rPr>
        <w:tab/>
        <w:t>=</w:t>
      </w:r>
      <w:r w:rsidRPr="00993B55">
        <w:rPr>
          <w:snapToGrid w:val="0"/>
        </w:rPr>
        <w:tab/>
        <w:t>Pre-Project Potential to Emit for each emissions unit, lb/qtr.</w:t>
      </w:r>
    </w:p>
    <w:p w14:paraId="4936D822" w14:textId="77777777" w:rsidR="000177D5" w:rsidRPr="00993B55" w:rsidRDefault="000177D5" w:rsidP="007A60F3">
      <w:pPr>
        <w:widowControl w:val="0"/>
        <w:autoSpaceDE w:val="0"/>
        <w:autoSpaceDN w:val="0"/>
        <w:adjustRightInd w:val="0"/>
        <w:rPr>
          <w:color w:val="000000"/>
        </w:rPr>
      </w:pPr>
    </w:p>
    <w:p w14:paraId="580E6099" w14:textId="77777777" w:rsidR="000177D5" w:rsidRPr="00993B55" w:rsidRDefault="000177D5" w:rsidP="007A60F3">
      <w:pPr>
        <w:widowControl w:val="0"/>
        <w:tabs>
          <w:tab w:val="left" w:pos="1530"/>
        </w:tabs>
        <w:autoSpaceDE w:val="0"/>
        <w:autoSpaceDN w:val="0"/>
        <w:adjustRightInd w:val="0"/>
        <w:rPr>
          <w:i/>
          <w:iCs/>
          <w:color w:val="0000FF"/>
          <w:u w:val="single"/>
        </w:rPr>
      </w:pPr>
      <w:r w:rsidRPr="00993B55">
        <w:rPr>
          <w:i/>
          <w:iCs/>
          <w:color w:val="0000FF"/>
          <w:u w:val="single"/>
        </w:rPr>
        <w:t>Example (a)</w:t>
      </w:r>
      <w:r w:rsidRPr="00993B55">
        <w:rPr>
          <w:i/>
          <w:iCs/>
          <w:color w:val="0000FF"/>
        </w:rPr>
        <w:t xml:space="preserve">: </w:t>
      </w:r>
      <w:r w:rsidRPr="00993B55">
        <w:rPr>
          <w:i/>
          <w:iCs/>
          <w:color w:val="0000FF"/>
        </w:rPr>
        <w:tab/>
        <w:t>(For year-round sources.)</w:t>
      </w:r>
    </w:p>
    <w:p w14:paraId="3A9CBC07" w14:textId="77777777" w:rsidR="000177D5" w:rsidRPr="00993B55" w:rsidRDefault="000177D5" w:rsidP="007A60F3">
      <w:pPr>
        <w:widowControl w:val="0"/>
        <w:rPr>
          <w:bCs/>
          <w:spacing w:val="-3"/>
        </w:rPr>
      </w:pPr>
      <w:r w:rsidRPr="00993B55">
        <w:rPr>
          <w:bCs/>
          <w:spacing w:val="-3"/>
        </w:rPr>
        <w:t>Using the values in Sections VII.C.2 and VII.C.1 in the evaluation above, quarterly PE2 and quarterly PE1 can be calculated as follows:</w:t>
      </w:r>
    </w:p>
    <w:p w14:paraId="29E62858" w14:textId="77777777" w:rsidR="000177D5" w:rsidRPr="00993B55" w:rsidRDefault="000177D5" w:rsidP="007A60F3">
      <w:pPr>
        <w:widowControl w:val="0"/>
        <w:rPr>
          <w:bCs/>
          <w:spacing w:val="-3"/>
        </w:rPr>
      </w:pPr>
    </w:p>
    <w:p w14:paraId="7DA67C9A" w14:textId="77777777" w:rsidR="000177D5" w:rsidRPr="00993B55" w:rsidRDefault="000177D5" w:rsidP="007A60F3">
      <w:pPr>
        <w:widowControl w:val="0"/>
        <w:tabs>
          <w:tab w:val="left" w:pos="1260"/>
          <w:tab w:val="left" w:pos="1530"/>
        </w:tabs>
        <w:autoSpaceDE w:val="0"/>
        <w:autoSpaceDN w:val="0"/>
        <w:adjustRightInd w:val="0"/>
        <w:rPr>
          <w:color w:val="000000"/>
        </w:rPr>
      </w:pPr>
      <w:r w:rsidRPr="00993B55">
        <w:rPr>
          <w:color w:val="000000"/>
        </w:rPr>
        <w:t>PE2</w:t>
      </w:r>
      <w:r w:rsidRPr="00993B55">
        <w:rPr>
          <w:color w:val="000000"/>
          <w:vertAlign w:val="subscript"/>
        </w:rPr>
        <w:t>quarterly</w:t>
      </w:r>
      <w:r w:rsidRPr="00993B55">
        <w:rPr>
          <w:color w:val="000000"/>
        </w:rPr>
        <w:tab/>
        <w:t>=</w:t>
      </w:r>
      <w:r w:rsidRPr="00993B55">
        <w:rPr>
          <w:color w:val="000000"/>
        </w:rPr>
        <w:tab/>
        <w:t>PE2</w:t>
      </w:r>
      <w:r w:rsidRPr="00993B55">
        <w:rPr>
          <w:color w:val="000000"/>
          <w:vertAlign w:val="subscript"/>
        </w:rPr>
        <w:t>annual</w:t>
      </w:r>
      <w:r w:rsidRPr="00993B55">
        <w:rPr>
          <w:color w:val="000000"/>
        </w:rPr>
        <w:t xml:space="preserve"> </w:t>
      </w:r>
      <w:r w:rsidRPr="00993B55">
        <w:rPr>
          <w:color w:val="000000"/>
        </w:rPr>
        <w:sym w:font="Symbol" w:char="F0B8"/>
      </w:r>
      <w:r w:rsidRPr="00993B55">
        <w:rPr>
          <w:color w:val="000000"/>
        </w:rPr>
        <w:t xml:space="preserve"> 4 </w:t>
      </w:r>
      <w:r w:rsidRPr="00993B55">
        <w:t>quarters</w:t>
      </w:r>
      <w:r w:rsidRPr="00993B55">
        <w:rPr>
          <w:color w:val="000000"/>
        </w:rPr>
        <w:t>/year</w:t>
      </w:r>
    </w:p>
    <w:p w14:paraId="77070878" w14:textId="2681C19D" w:rsidR="000177D5" w:rsidRPr="00993B55" w:rsidRDefault="000177D5" w:rsidP="007A60F3">
      <w:pPr>
        <w:widowControl w:val="0"/>
        <w:tabs>
          <w:tab w:val="left" w:pos="1260"/>
          <w:tab w:val="left" w:pos="1530"/>
        </w:tabs>
      </w:pPr>
      <w:r w:rsidRPr="00993B55">
        <w:tab/>
        <w:t>=</w:t>
      </w:r>
      <w:r w:rsidRPr="00993B55">
        <w:tab/>
      </w:r>
      <w:r w:rsidR="00226F12" w:rsidRPr="00226F12">
        <w:rPr>
          <w:color w:val="0000FF"/>
        </w:rPr>
        <w:t>X,XXX</w:t>
      </w:r>
      <w:r w:rsidRPr="00226F12">
        <w:rPr>
          <w:color w:val="0000FF"/>
        </w:rPr>
        <w:t xml:space="preserve"> </w:t>
      </w:r>
      <w:r w:rsidRPr="00993B55">
        <w:t xml:space="preserve">lb/year </w:t>
      </w:r>
      <w:r w:rsidRPr="00993B55">
        <w:sym w:font="Symbol" w:char="F0B8"/>
      </w:r>
      <w:r w:rsidRPr="00993B55">
        <w:t xml:space="preserve"> 4 qtr/year</w:t>
      </w:r>
    </w:p>
    <w:p w14:paraId="63DCCC6B" w14:textId="5B2D514E" w:rsidR="000177D5" w:rsidRPr="00993B55" w:rsidRDefault="000177D5" w:rsidP="007A60F3">
      <w:pPr>
        <w:widowControl w:val="0"/>
        <w:tabs>
          <w:tab w:val="left" w:pos="1260"/>
          <w:tab w:val="left" w:pos="1530"/>
        </w:tabs>
      </w:pPr>
      <w:r w:rsidRPr="00993B55">
        <w:tab/>
        <w:t>=</w:t>
      </w:r>
      <w:r w:rsidRPr="00993B55">
        <w:tab/>
      </w:r>
      <w:r w:rsidR="00226F12" w:rsidRPr="00226F12">
        <w:rPr>
          <w:color w:val="0000FF"/>
        </w:rPr>
        <w:t xml:space="preserve">X,XXX </w:t>
      </w:r>
      <w:r w:rsidRPr="00993B55">
        <w:t>lb PM</w:t>
      </w:r>
      <w:r w:rsidR="00AF2232">
        <w:t>10</w:t>
      </w:r>
      <w:r w:rsidRPr="00993B55">
        <w:t>/qtr</w:t>
      </w:r>
    </w:p>
    <w:p w14:paraId="289B0335" w14:textId="77777777" w:rsidR="000177D5" w:rsidRPr="00993B55" w:rsidRDefault="000177D5" w:rsidP="007A60F3">
      <w:pPr>
        <w:widowControl w:val="0"/>
        <w:rPr>
          <w:bCs/>
          <w:spacing w:val="-3"/>
        </w:rPr>
      </w:pPr>
    </w:p>
    <w:p w14:paraId="5DD6D607" w14:textId="77777777" w:rsidR="000177D5" w:rsidRPr="00993B55" w:rsidRDefault="000177D5" w:rsidP="007A60F3">
      <w:pPr>
        <w:widowControl w:val="0"/>
        <w:tabs>
          <w:tab w:val="left" w:pos="1080"/>
          <w:tab w:val="left" w:pos="1350"/>
        </w:tabs>
        <w:autoSpaceDE w:val="0"/>
        <w:autoSpaceDN w:val="0"/>
        <w:adjustRightInd w:val="0"/>
        <w:rPr>
          <w:color w:val="000000"/>
        </w:rPr>
      </w:pPr>
      <w:r w:rsidRPr="00993B55">
        <w:rPr>
          <w:color w:val="000000"/>
        </w:rPr>
        <w:t>PE1</w:t>
      </w:r>
      <w:r w:rsidRPr="00993B55">
        <w:rPr>
          <w:color w:val="000000"/>
          <w:vertAlign w:val="subscript"/>
        </w:rPr>
        <w:t>quarterly</w:t>
      </w:r>
      <w:r w:rsidRPr="00993B55">
        <w:rPr>
          <w:color w:val="000000"/>
        </w:rPr>
        <w:tab/>
        <w:t>=</w:t>
      </w:r>
      <w:r w:rsidRPr="00993B55">
        <w:rPr>
          <w:color w:val="000000"/>
        </w:rPr>
        <w:tab/>
        <w:t>PE1</w:t>
      </w:r>
      <w:r w:rsidRPr="00993B55">
        <w:rPr>
          <w:color w:val="000000"/>
          <w:vertAlign w:val="subscript"/>
        </w:rPr>
        <w:t>annual</w:t>
      </w:r>
      <w:r w:rsidRPr="00993B55">
        <w:rPr>
          <w:color w:val="000000"/>
        </w:rPr>
        <w:t xml:space="preserve"> </w:t>
      </w:r>
      <w:r w:rsidRPr="00993B55">
        <w:rPr>
          <w:color w:val="000000"/>
        </w:rPr>
        <w:sym w:font="Symbol" w:char="F0B8"/>
      </w:r>
      <w:r w:rsidRPr="00993B55">
        <w:rPr>
          <w:color w:val="000000"/>
        </w:rPr>
        <w:t xml:space="preserve"> 4 </w:t>
      </w:r>
      <w:r w:rsidRPr="00993B55">
        <w:t>quarters</w:t>
      </w:r>
      <w:r w:rsidRPr="00993B55">
        <w:rPr>
          <w:color w:val="000000"/>
        </w:rPr>
        <w:t>/year</w:t>
      </w:r>
    </w:p>
    <w:p w14:paraId="15DDB937" w14:textId="147BECC3" w:rsidR="000177D5" w:rsidRPr="00993B55" w:rsidRDefault="000177D5" w:rsidP="007A60F3">
      <w:pPr>
        <w:widowControl w:val="0"/>
        <w:tabs>
          <w:tab w:val="left" w:pos="1080"/>
          <w:tab w:val="left" w:pos="1350"/>
        </w:tabs>
        <w:autoSpaceDE w:val="0"/>
        <w:autoSpaceDN w:val="0"/>
        <w:adjustRightInd w:val="0"/>
      </w:pPr>
      <w:r w:rsidRPr="00993B55">
        <w:rPr>
          <w:color w:val="000000"/>
        </w:rPr>
        <w:tab/>
        <w:t>=</w:t>
      </w:r>
      <w:r w:rsidRPr="00993B55">
        <w:rPr>
          <w:color w:val="000000"/>
        </w:rPr>
        <w:tab/>
      </w:r>
      <w:r w:rsidR="00226F12" w:rsidRPr="00226F12">
        <w:rPr>
          <w:color w:val="0000FF"/>
        </w:rPr>
        <w:t xml:space="preserve">X,XXX </w:t>
      </w:r>
      <w:r w:rsidRPr="00993B55">
        <w:t xml:space="preserve">lb/year </w:t>
      </w:r>
      <w:r w:rsidRPr="00993B55">
        <w:sym w:font="Symbol" w:char="F0B8"/>
      </w:r>
      <w:r w:rsidRPr="00993B55">
        <w:t xml:space="preserve"> 4 qtr/year</w:t>
      </w:r>
    </w:p>
    <w:p w14:paraId="76173151" w14:textId="580986ED" w:rsidR="000177D5" w:rsidRPr="00993B55" w:rsidRDefault="000177D5" w:rsidP="007A60F3">
      <w:pPr>
        <w:widowControl w:val="0"/>
        <w:tabs>
          <w:tab w:val="left" w:pos="1080"/>
          <w:tab w:val="left" w:pos="1350"/>
        </w:tabs>
        <w:autoSpaceDE w:val="0"/>
        <w:autoSpaceDN w:val="0"/>
        <w:adjustRightInd w:val="0"/>
        <w:rPr>
          <w:color w:val="000000"/>
        </w:rPr>
      </w:pPr>
      <w:r w:rsidRPr="00993B55">
        <w:tab/>
        <w:t>=</w:t>
      </w:r>
      <w:r w:rsidRPr="00993B55">
        <w:tab/>
      </w:r>
      <w:r w:rsidR="00226F12" w:rsidRPr="00226F12">
        <w:rPr>
          <w:color w:val="0000FF"/>
        </w:rPr>
        <w:t xml:space="preserve">X,XXX </w:t>
      </w:r>
      <w:r w:rsidRPr="00993B55">
        <w:t>lb PM</w:t>
      </w:r>
      <w:r w:rsidR="00AF2232">
        <w:t>10</w:t>
      </w:r>
      <w:r w:rsidRPr="00993B55">
        <w:t>/qtr</w:t>
      </w:r>
    </w:p>
    <w:p w14:paraId="72CBF56C" w14:textId="77777777" w:rsidR="000177D5" w:rsidRPr="00993B55" w:rsidRDefault="000177D5" w:rsidP="007A60F3">
      <w:pPr>
        <w:widowControl w:val="0"/>
        <w:rPr>
          <w:bCs/>
          <w:spacing w:val="-3"/>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800"/>
        <w:gridCol w:w="1800"/>
        <w:gridCol w:w="1800"/>
      </w:tblGrid>
      <w:tr w:rsidR="000177D5" w:rsidRPr="00993B55" w14:paraId="4757B13B" w14:textId="77777777" w:rsidTr="007F25BF">
        <w:trPr>
          <w:cantSplit/>
          <w:trHeight w:val="512"/>
        </w:trPr>
        <w:tc>
          <w:tcPr>
            <w:tcW w:w="7200" w:type="dxa"/>
            <w:gridSpan w:val="4"/>
            <w:shd w:val="clear" w:color="auto" w:fill="D9D9D9" w:themeFill="background1" w:themeFillShade="D9"/>
            <w:vAlign w:val="center"/>
          </w:tcPr>
          <w:p w14:paraId="159319F6" w14:textId="77777777" w:rsidR="000177D5" w:rsidRPr="00993B55" w:rsidRDefault="000177D5" w:rsidP="007A60F3">
            <w:pPr>
              <w:widowControl w:val="0"/>
              <w:autoSpaceDE w:val="0"/>
              <w:autoSpaceDN w:val="0"/>
              <w:adjustRightInd w:val="0"/>
              <w:ind w:left="-18" w:firstLine="18"/>
              <w:jc w:val="center"/>
              <w:rPr>
                <w:b/>
                <w:bCs/>
                <w:color w:val="000000"/>
                <w:sz w:val="22"/>
              </w:rPr>
            </w:pPr>
            <w:r w:rsidRPr="00993B55">
              <w:rPr>
                <w:b/>
                <w:bCs/>
                <w:color w:val="000000"/>
                <w:sz w:val="22"/>
              </w:rPr>
              <w:t>Quarterly NEC [QNEC]</w:t>
            </w:r>
          </w:p>
        </w:tc>
      </w:tr>
      <w:tr w:rsidR="000177D5" w:rsidRPr="00993B55" w14:paraId="54D2D7D4" w14:textId="77777777" w:rsidTr="007F25BF">
        <w:trPr>
          <w:trHeight w:val="440"/>
        </w:trPr>
        <w:tc>
          <w:tcPr>
            <w:tcW w:w="1800" w:type="dxa"/>
            <w:shd w:val="clear" w:color="auto" w:fill="D9D9D9" w:themeFill="background1" w:themeFillShade="D9"/>
            <w:vAlign w:val="center"/>
          </w:tcPr>
          <w:p w14:paraId="0A370D7D" w14:textId="77777777" w:rsidR="000177D5" w:rsidRPr="00993B55" w:rsidRDefault="000177D5" w:rsidP="007A60F3">
            <w:pPr>
              <w:widowControl w:val="0"/>
              <w:autoSpaceDE w:val="0"/>
              <w:autoSpaceDN w:val="0"/>
              <w:adjustRightInd w:val="0"/>
              <w:ind w:left="-18" w:firstLine="18"/>
              <w:jc w:val="center"/>
              <w:rPr>
                <w:b/>
                <w:color w:val="000000"/>
                <w:sz w:val="22"/>
              </w:rPr>
            </w:pPr>
            <w:r w:rsidRPr="00993B55">
              <w:rPr>
                <w:b/>
                <w:color w:val="000000"/>
                <w:sz w:val="22"/>
              </w:rPr>
              <w:t>Pollutant</w:t>
            </w:r>
          </w:p>
        </w:tc>
        <w:tc>
          <w:tcPr>
            <w:tcW w:w="1800" w:type="dxa"/>
            <w:shd w:val="clear" w:color="auto" w:fill="D9D9D9" w:themeFill="background1" w:themeFillShade="D9"/>
            <w:vAlign w:val="center"/>
          </w:tcPr>
          <w:p w14:paraId="7D0D1AD8" w14:textId="77777777" w:rsidR="000177D5" w:rsidRPr="00993B55" w:rsidRDefault="000177D5" w:rsidP="007A60F3">
            <w:pPr>
              <w:widowControl w:val="0"/>
              <w:autoSpaceDE w:val="0"/>
              <w:autoSpaceDN w:val="0"/>
              <w:adjustRightInd w:val="0"/>
              <w:ind w:left="-18" w:firstLine="18"/>
              <w:jc w:val="center"/>
              <w:rPr>
                <w:b/>
                <w:color w:val="000000"/>
                <w:sz w:val="22"/>
              </w:rPr>
            </w:pPr>
            <w:r w:rsidRPr="00993B55">
              <w:rPr>
                <w:b/>
                <w:color w:val="000000"/>
                <w:sz w:val="22"/>
              </w:rPr>
              <w:t>PE2 (lb/qtr)</w:t>
            </w:r>
          </w:p>
        </w:tc>
        <w:tc>
          <w:tcPr>
            <w:tcW w:w="1800" w:type="dxa"/>
            <w:shd w:val="clear" w:color="auto" w:fill="D9D9D9" w:themeFill="background1" w:themeFillShade="D9"/>
            <w:vAlign w:val="center"/>
          </w:tcPr>
          <w:p w14:paraId="7ACBD7A3" w14:textId="77777777" w:rsidR="000177D5" w:rsidRPr="00993B55" w:rsidRDefault="000177D5" w:rsidP="007A60F3">
            <w:pPr>
              <w:widowControl w:val="0"/>
              <w:autoSpaceDE w:val="0"/>
              <w:autoSpaceDN w:val="0"/>
              <w:adjustRightInd w:val="0"/>
              <w:ind w:left="-18" w:firstLine="18"/>
              <w:jc w:val="center"/>
              <w:rPr>
                <w:b/>
                <w:color w:val="000000"/>
                <w:sz w:val="22"/>
              </w:rPr>
            </w:pPr>
            <w:r w:rsidRPr="00993B55">
              <w:rPr>
                <w:b/>
                <w:color w:val="000000"/>
                <w:sz w:val="22"/>
              </w:rPr>
              <w:t>PE1 (lb/qtr)</w:t>
            </w:r>
          </w:p>
        </w:tc>
        <w:tc>
          <w:tcPr>
            <w:tcW w:w="1800" w:type="dxa"/>
            <w:shd w:val="clear" w:color="auto" w:fill="D9D9D9" w:themeFill="background1" w:themeFillShade="D9"/>
            <w:vAlign w:val="center"/>
          </w:tcPr>
          <w:p w14:paraId="791C7C20" w14:textId="77777777" w:rsidR="000177D5" w:rsidRPr="00993B55" w:rsidRDefault="000177D5" w:rsidP="007A60F3">
            <w:pPr>
              <w:widowControl w:val="0"/>
              <w:autoSpaceDE w:val="0"/>
              <w:autoSpaceDN w:val="0"/>
              <w:adjustRightInd w:val="0"/>
              <w:ind w:left="-18" w:firstLine="18"/>
              <w:jc w:val="center"/>
              <w:rPr>
                <w:b/>
                <w:color w:val="000000"/>
                <w:sz w:val="22"/>
              </w:rPr>
            </w:pPr>
            <w:r w:rsidRPr="00993B55">
              <w:rPr>
                <w:b/>
                <w:color w:val="000000"/>
                <w:sz w:val="22"/>
              </w:rPr>
              <w:t>QNEC (lb/qtr)</w:t>
            </w:r>
          </w:p>
        </w:tc>
      </w:tr>
      <w:tr w:rsidR="00226F12" w:rsidRPr="00993B55" w14:paraId="47C64BA4" w14:textId="77777777" w:rsidTr="00CD025F">
        <w:trPr>
          <w:trHeight w:val="364"/>
        </w:trPr>
        <w:tc>
          <w:tcPr>
            <w:tcW w:w="1800" w:type="dxa"/>
            <w:shd w:val="clear" w:color="auto" w:fill="auto"/>
            <w:vAlign w:val="center"/>
          </w:tcPr>
          <w:p w14:paraId="37AEB1C3" w14:textId="74B42B8B" w:rsidR="00226F12" w:rsidRPr="00993B55" w:rsidRDefault="00226F12" w:rsidP="00226F12">
            <w:pPr>
              <w:widowControl w:val="0"/>
              <w:autoSpaceDE w:val="0"/>
              <w:autoSpaceDN w:val="0"/>
              <w:adjustRightInd w:val="0"/>
              <w:ind w:left="-18" w:firstLine="18"/>
              <w:jc w:val="center"/>
              <w:rPr>
                <w:color w:val="000000"/>
                <w:sz w:val="22"/>
              </w:rPr>
            </w:pPr>
            <w:r w:rsidRPr="00993B55">
              <w:rPr>
                <w:color w:val="000000"/>
                <w:sz w:val="22"/>
              </w:rPr>
              <w:t>NO</w:t>
            </w:r>
            <w:r>
              <w:rPr>
                <w:color w:val="000000"/>
                <w:sz w:val="22"/>
              </w:rPr>
              <w:t>x</w:t>
            </w:r>
          </w:p>
        </w:tc>
        <w:tc>
          <w:tcPr>
            <w:tcW w:w="1800" w:type="dxa"/>
            <w:shd w:val="clear" w:color="auto" w:fill="auto"/>
          </w:tcPr>
          <w:p w14:paraId="43E66633" w14:textId="761A8586" w:rsidR="00226F12" w:rsidRPr="00993B55" w:rsidRDefault="00226F12" w:rsidP="00226F12">
            <w:pPr>
              <w:widowControl w:val="0"/>
              <w:numPr>
                <w:ilvl w:val="12"/>
                <w:numId w:val="0"/>
              </w:numPr>
              <w:jc w:val="center"/>
              <w:rPr>
                <w:sz w:val="22"/>
              </w:rPr>
            </w:pPr>
            <w:r w:rsidRPr="00BA7372">
              <w:rPr>
                <w:color w:val="0000FF"/>
              </w:rPr>
              <w:t xml:space="preserve">X,XXX </w:t>
            </w:r>
          </w:p>
        </w:tc>
        <w:tc>
          <w:tcPr>
            <w:tcW w:w="1800" w:type="dxa"/>
            <w:shd w:val="clear" w:color="auto" w:fill="auto"/>
          </w:tcPr>
          <w:p w14:paraId="78EB7CA1" w14:textId="6D2A7839" w:rsidR="00226F12" w:rsidRPr="00993B55" w:rsidRDefault="00226F12" w:rsidP="00226F12">
            <w:pPr>
              <w:widowControl w:val="0"/>
              <w:autoSpaceDE w:val="0"/>
              <w:autoSpaceDN w:val="0"/>
              <w:adjustRightInd w:val="0"/>
              <w:ind w:left="-18" w:firstLine="18"/>
              <w:jc w:val="center"/>
              <w:rPr>
                <w:color w:val="000000"/>
                <w:sz w:val="22"/>
              </w:rPr>
            </w:pPr>
            <w:r w:rsidRPr="00BA7372">
              <w:rPr>
                <w:color w:val="0000FF"/>
              </w:rPr>
              <w:t xml:space="preserve">X,XXX </w:t>
            </w:r>
          </w:p>
        </w:tc>
        <w:tc>
          <w:tcPr>
            <w:tcW w:w="1800" w:type="dxa"/>
            <w:shd w:val="clear" w:color="auto" w:fill="auto"/>
          </w:tcPr>
          <w:p w14:paraId="7D191EFA" w14:textId="07B9FCB5" w:rsidR="00226F12" w:rsidRPr="00993B55" w:rsidRDefault="00226F12" w:rsidP="00226F12">
            <w:pPr>
              <w:widowControl w:val="0"/>
              <w:autoSpaceDE w:val="0"/>
              <w:autoSpaceDN w:val="0"/>
              <w:adjustRightInd w:val="0"/>
              <w:ind w:left="-18" w:firstLine="18"/>
              <w:jc w:val="center"/>
              <w:rPr>
                <w:color w:val="000000"/>
                <w:sz w:val="22"/>
              </w:rPr>
            </w:pPr>
            <w:r w:rsidRPr="00BA7372">
              <w:rPr>
                <w:color w:val="0000FF"/>
              </w:rPr>
              <w:t xml:space="preserve">X,XXX </w:t>
            </w:r>
          </w:p>
        </w:tc>
      </w:tr>
      <w:tr w:rsidR="00226F12" w:rsidRPr="00993B55" w14:paraId="2658B0A3" w14:textId="77777777" w:rsidTr="00CD025F">
        <w:trPr>
          <w:trHeight w:val="364"/>
        </w:trPr>
        <w:tc>
          <w:tcPr>
            <w:tcW w:w="1800" w:type="dxa"/>
            <w:shd w:val="clear" w:color="auto" w:fill="auto"/>
            <w:vAlign w:val="center"/>
          </w:tcPr>
          <w:p w14:paraId="1D509EEF" w14:textId="3EF77C2A" w:rsidR="00226F12" w:rsidRPr="00993B55" w:rsidRDefault="00226F12" w:rsidP="00226F12">
            <w:pPr>
              <w:widowControl w:val="0"/>
              <w:autoSpaceDE w:val="0"/>
              <w:autoSpaceDN w:val="0"/>
              <w:adjustRightInd w:val="0"/>
              <w:ind w:left="-18" w:firstLine="18"/>
              <w:jc w:val="center"/>
              <w:rPr>
                <w:color w:val="000000"/>
                <w:sz w:val="22"/>
              </w:rPr>
            </w:pPr>
            <w:r w:rsidRPr="00993B55">
              <w:rPr>
                <w:color w:val="000000"/>
                <w:sz w:val="22"/>
              </w:rPr>
              <w:t>SO</w:t>
            </w:r>
            <w:r>
              <w:rPr>
                <w:color w:val="000000"/>
                <w:sz w:val="22"/>
              </w:rPr>
              <w:t>x</w:t>
            </w:r>
          </w:p>
        </w:tc>
        <w:tc>
          <w:tcPr>
            <w:tcW w:w="1800" w:type="dxa"/>
            <w:shd w:val="clear" w:color="auto" w:fill="auto"/>
          </w:tcPr>
          <w:p w14:paraId="38EDEDD3" w14:textId="67233862" w:rsidR="00226F12" w:rsidRPr="00993B55" w:rsidRDefault="00226F12" w:rsidP="00226F12">
            <w:pPr>
              <w:widowControl w:val="0"/>
              <w:numPr>
                <w:ilvl w:val="12"/>
                <w:numId w:val="0"/>
              </w:numPr>
              <w:jc w:val="center"/>
              <w:rPr>
                <w:sz w:val="22"/>
              </w:rPr>
            </w:pPr>
            <w:r w:rsidRPr="00BA7372">
              <w:rPr>
                <w:color w:val="0000FF"/>
              </w:rPr>
              <w:t xml:space="preserve">X,XXX </w:t>
            </w:r>
          </w:p>
        </w:tc>
        <w:tc>
          <w:tcPr>
            <w:tcW w:w="1800" w:type="dxa"/>
            <w:shd w:val="clear" w:color="auto" w:fill="auto"/>
          </w:tcPr>
          <w:p w14:paraId="1AC97792" w14:textId="390E08D4" w:rsidR="00226F12" w:rsidRPr="00993B55" w:rsidRDefault="00226F12" w:rsidP="00226F12">
            <w:pPr>
              <w:widowControl w:val="0"/>
              <w:autoSpaceDE w:val="0"/>
              <w:autoSpaceDN w:val="0"/>
              <w:adjustRightInd w:val="0"/>
              <w:ind w:left="-18" w:firstLine="18"/>
              <w:jc w:val="center"/>
              <w:rPr>
                <w:color w:val="000000"/>
                <w:sz w:val="22"/>
              </w:rPr>
            </w:pPr>
            <w:r w:rsidRPr="00BA7372">
              <w:rPr>
                <w:color w:val="0000FF"/>
              </w:rPr>
              <w:t xml:space="preserve">X,XXX </w:t>
            </w:r>
          </w:p>
        </w:tc>
        <w:tc>
          <w:tcPr>
            <w:tcW w:w="1800" w:type="dxa"/>
            <w:shd w:val="clear" w:color="auto" w:fill="auto"/>
          </w:tcPr>
          <w:p w14:paraId="3DFCCD31" w14:textId="46DDEFE1" w:rsidR="00226F12" w:rsidRPr="00993B55" w:rsidRDefault="00226F12" w:rsidP="00226F12">
            <w:pPr>
              <w:widowControl w:val="0"/>
              <w:autoSpaceDE w:val="0"/>
              <w:autoSpaceDN w:val="0"/>
              <w:adjustRightInd w:val="0"/>
              <w:ind w:left="-18" w:firstLine="18"/>
              <w:jc w:val="center"/>
              <w:rPr>
                <w:color w:val="000000"/>
                <w:sz w:val="22"/>
              </w:rPr>
            </w:pPr>
            <w:r w:rsidRPr="00BA7372">
              <w:rPr>
                <w:color w:val="0000FF"/>
              </w:rPr>
              <w:t xml:space="preserve">X,XXX </w:t>
            </w:r>
          </w:p>
        </w:tc>
      </w:tr>
      <w:tr w:rsidR="00226F12" w:rsidRPr="00993B55" w14:paraId="3A2F4759" w14:textId="77777777" w:rsidTr="00CD025F">
        <w:trPr>
          <w:trHeight w:val="364"/>
        </w:trPr>
        <w:tc>
          <w:tcPr>
            <w:tcW w:w="1800" w:type="dxa"/>
            <w:shd w:val="clear" w:color="auto" w:fill="auto"/>
            <w:vAlign w:val="center"/>
          </w:tcPr>
          <w:p w14:paraId="337D1CE8" w14:textId="37633D16" w:rsidR="00226F12" w:rsidRPr="00993B55" w:rsidRDefault="00226F12" w:rsidP="00226F12">
            <w:pPr>
              <w:widowControl w:val="0"/>
              <w:autoSpaceDE w:val="0"/>
              <w:autoSpaceDN w:val="0"/>
              <w:adjustRightInd w:val="0"/>
              <w:ind w:left="-18" w:firstLine="18"/>
              <w:jc w:val="center"/>
              <w:rPr>
                <w:color w:val="000000"/>
                <w:sz w:val="22"/>
              </w:rPr>
            </w:pPr>
            <w:r w:rsidRPr="00993B55">
              <w:rPr>
                <w:color w:val="000000"/>
                <w:sz w:val="22"/>
              </w:rPr>
              <w:t>PM</w:t>
            </w:r>
            <w:r>
              <w:rPr>
                <w:color w:val="000000"/>
                <w:sz w:val="22"/>
              </w:rPr>
              <w:t>10</w:t>
            </w:r>
          </w:p>
        </w:tc>
        <w:tc>
          <w:tcPr>
            <w:tcW w:w="1800" w:type="dxa"/>
            <w:shd w:val="clear" w:color="auto" w:fill="auto"/>
          </w:tcPr>
          <w:p w14:paraId="61CAB2E4" w14:textId="519B0DDF" w:rsidR="00226F12" w:rsidRPr="00993B55" w:rsidRDefault="00226F12" w:rsidP="00226F12">
            <w:pPr>
              <w:widowControl w:val="0"/>
              <w:numPr>
                <w:ilvl w:val="12"/>
                <w:numId w:val="0"/>
              </w:numPr>
              <w:jc w:val="center"/>
              <w:rPr>
                <w:sz w:val="22"/>
              </w:rPr>
            </w:pPr>
            <w:r w:rsidRPr="00BA7372">
              <w:rPr>
                <w:color w:val="0000FF"/>
              </w:rPr>
              <w:t xml:space="preserve">X,XXX </w:t>
            </w:r>
          </w:p>
        </w:tc>
        <w:tc>
          <w:tcPr>
            <w:tcW w:w="1800" w:type="dxa"/>
            <w:shd w:val="clear" w:color="auto" w:fill="auto"/>
          </w:tcPr>
          <w:p w14:paraId="383DC106" w14:textId="3A222CF7" w:rsidR="00226F12" w:rsidRPr="00993B55" w:rsidRDefault="00226F12" w:rsidP="00226F12">
            <w:pPr>
              <w:widowControl w:val="0"/>
              <w:autoSpaceDE w:val="0"/>
              <w:autoSpaceDN w:val="0"/>
              <w:adjustRightInd w:val="0"/>
              <w:ind w:left="-18" w:firstLine="18"/>
              <w:jc w:val="center"/>
              <w:rPr>
                <w:color w:val="000000"/>
                <w:sz w:val="22"/>
              </w:rPr>
            </w:pPr>
            <w:r w:rsidRPr="00BA7372">
              <w:rPr>
                <w:color w:val="0000FF"/>
              </w:rPr>
              <w:t xml:space="preserve">X,XXX </w:t>
            </w:r>
          </w:p>
        </w:tc>
        <w:tc>
          <w:tcPr>
            <w:tcW w:w="1800" w:type="dxa"/>
            <w:shd w:val="clear" w:color="auto" w:fill="auto"/>
          </w:tcPr>
          <w:p w14:paraId="3422E81C" w14:textId="314E7E29" w:rsidR="00226F12" w:rsidRPr="00993B55" w:rsidRDefault="00226F12" w:rsidP="00226F12">
            <w:pPr>
              <w:widowControl w:val="0"/>
              <w:autoSpaceDE w:val="0"/>
              <w:autoSpaceDN w:val="0"/>
              <w:adjustRightInd w:val="0"/>
              <w:ind w:left="-18" w:firstLine="18"/>
              <w:jc w:val="center"/>
              <w:rPr>
                <w:color w:val="000000"/>
                <w:sz w:val="22"/>
              </w:rPr>
            </w:pPr>
            <w:r w:rsidRPr="00BA7372">
              <w:rPr>
                <w:color w:val="0000FF"/>
              </w:rPr>
              <w:t xml:space="preserve">X,XXX </w:t>
            </w:r>
          </w:p>
        </w:tc>
      </w:tr>
      <w:tr w:rsidR="00226F12" w:rsidRPr="00993B55" w14:paraId="0E66C499" w14:textId="77777777" w:rsidTr="00CD025F">
        <w:trPr>
          <w:trHeight w:val="364"/>
        </w:trPr>
        <w:tc>
          <w:tcPr>
            <w:tcW w:w="1800" w:type="dxa"/>
            <w:shd w:val="clear" w:color="auto" w:fill="auto"/>
            <w:vAlign w:val="center"/>
          </w:tcPr>
          <w:p w14:paraId="42D0FE9E" w14:textId="77777777" w:rsidR="00226F12" w:rsidRPr="00993B55" w:rsidRDefault="00226F12" w:rsidP="00226F12">
            <w:pPr>
              <w:widowControl w:val="0"/>
              <w:autoSpaceDE w:val="0"/>
              <w:autoSpaceDN w:val="0"/>
              <w:adjustRightInd w:val="0"/>
              <w:ind w:left="-18" w:firstLine="18"/>
              <w:jc w:val="center"/>
              <w:rPr>
                <w:color w:val="000000"/>
                <w:sz w:val="22"/>
              </w:rPr>
            </w:pPr>
            <w:r w:rsidRPr="00993B55">
              <w:rPr>
                <w:color w:val="000000"/>
                <w:sz w:val="22"/>
              </w:rPr>
              <w:t>CO</w:t>
            </w:r>
          </w:p>
        </w:tc>
        <w:tc>
          <w:tcPr>
            <w:tcW w:w="1800" w:type="dxa"/>
            <w:shd w:val="clear" w:color="auto" w:fill="auto"/>
          </w:tcPr>
          <w:p w14:paraId="66C4D2B5" w14:textId="18CED5D5" w:rsidR="00226F12" w:rsidRPr="00993B55" w:rsidRDefault="00226F12" w:rsidP="00226F12">
            <w:pPr>
              <w:widowControl w:val="0"/>
              <w:numPr>
                <w:ilvl w:val="12"/>
                <w:numId w:val="0"/>
              </w:numPr>
              <w:jc w:val="center"/>
              <w:rPr>
                <w:sz w:val="22"/>
              </w:rPr>
            </w:pPr>
            <w:r w:rsidRPr="00BA7372">
              <w:rPr>
                <w:color w:val="0000FF"/>
              </w:rPr>
              <w:t xml:space="preserve">X,XXX </w:t>
            </w:r>
          </w:p>
        </w:tc>
        <w:tc>
          <w:tcPr>
            <w:tcW w:w="1800" w:type="dxa"/>
            <w:shd w:val="clear" w:color="auto" w:fill="auto"/>
          </w:tcPr>
          <w:p w14:paraId="27D44565" w14:textId="132B4C92" w:rsidR="00226F12" w:rsidRPr="00993B55" w:rsidRDefault="00226F12" w:rsidP="00226F12">
            <w:pPr>
              <w:widowControl w:val="0"/>
              <w:autoSpaceDE w:val="0"/>
              <w:autoSpaceDN w:val="0"/>
              <w:adjustRightInd w:val="0"/>
              <w:ind w:left="-18" w:firstLine="18"/>
              <w:jc w:val="center"/>
              <w:rPr>
                <w:color w:val="000000"/>
                <w:sz w:val="22"/>
              </w:rPr>
            </w:pPr>
            <w:r w:rsidRPr="00BA7372">
              <w:rPr>
                <w:color w:val="0000FF"/>
              </w:rPr>
              <w:t xml:space="preserve">X,XXX </w:t>
            </w:r>
          </w:p>
        </w:tc>
        <w:tc>
          <w:tcPr>
            <w:tcW w:w="1800" w:type="dxa"/>
            <w:shd w:val="clear" w:color="auto" w:fill="auto"/>
          </w:tcPr>
          <w:p w14:paraId="1576ECCA" w14:textId="6DB51A1D" w:rsidR="00226F12" w:rsidRPr="00993B55" w:rsidRDefault="00226F12" w:rsidP="00226F12">
            <w:pPr>
              <w:widowControl w:val="0"/>
              <w:autoSpaceDE w:val="0"/>
              <w:autoSpaceDN w:val="0"/>
              <w:adjustRightInd w:val="0"/>
              <w:ind w:left="-18" w:firstLine="18"/>
              <w:jc w:val="center"/>
              <w:rPr>
                <w:color w:val="000000"/>
                <w:sz w:val="22"/>
              </w:rPr>
            </w:pPr>
            <w:r w:rsidRPr="00BA7372">
              <w:rPr>
                <w:color w:val="0000FF"/>
              </w:rPr>
              <w:t xml:space="preserve">X,XXX </w:t>
            </w:r>
          </w:p>
        </w:tc>
      </w:tr>
      <w:tr w:rsidR="00226F12" w:rsidRPr="00993B55" w14:paraId="4CADD71B" w14:textId="77777777" w:rsidTr="00CD025F">
        <w:trPr>
          <w:trHeight w:val="364"/>
        </w:trPr>
        <w:tc>
          <w:tcPr>
            <w:tcW w:w="1800" w:type="dxa"/>
            <w:shd w:val="clear" w:color="auto" w:fill="auto"/>
            <w:vAlign w:val="center"/>
          </w:tcPr>
          <w:p w14:paraId="1790D270" w14:textId="77777777" w:rsidR="00226F12" w:rsidRPr="00993B55" w:rsidRDefault="00226F12" w:rsidP="00226F12">
            <w:pPr>
              <w:widowControl w:val="0"/>
              <w:autoSpaceDE w:val="0"/>
              <w:autoSpaceDN w:val="0"/>
              <w:adjustRightInd w:val="0"/>
              <w:ind w:left="-18" w:firstLine="18"/>
              <w:jc w:val="center"/>
              <w:rPr>
                <w:color w:val="000000"/>
                <w:sz w:val="22"/>
              </w:rPr>
            </w:pPr>
            <w:r w:rsidRPr="00993B55">
              <w:rPr>
                <w:color w:val="000000"/>
                <w:sz w:val="22"/>
              </w:rPr>
              <w:t>VOC</w:t>
            </w:r>
          </w:p>
        </w:tc>
        <w:tc>
          <w:tcPr>
            <w:tcW w:w="1800" w:type="dxa"/>
            <w:shd w:val="clear" w:color="auto" w:fill="auto"/>
          </w:tcPr>
          <w:p w14:paraId="29E5D6A6" w14:textId="36545A00" w:rsidR="00226F12" w:rsidRPr="00993B55" w:rsidRDefault="00226F12" w:rsidP="00226F12">
            <w:pPr>
              <w:widowControl w:val="0"/>
              <w:numPr>
                <w:ilvl w:val="12"/>
                <w:numId w:val="0"/>
              </w:numPr>
              <w:jc w:val="center"/>
              <w:rPr>
                <w:sz w:val="22"/>
              </w:rPr>
            </w:pPr>
            <w:r w:rsidRPr="00BA7372">
              <w:rPr>
                <w:color w:val="0000FF"/>
              </w:rPr>
              <w:t xml:space="preserve">X,XXX </w:t>
            </w:r>
          </w:p>
        </w:tc>
        <w:tc>
          <w:tcPr>
            <w:tcW w:w="1800" w:type="dxa"/>
            <w:shd w:val="clear" w:color="auto" w:fill="auto"/>
          </w:tcPr>
          <w:p w14:paraId="71686E7A" w14:textId="543B41AA" w:rsidR="00226F12" w:rsidRPr="00993B55" w:rsidRDefault="00226F12" w:rsidP="00226F12">
            <w:pPr>
              <w:widowControl w:val="0"/>
              <w:autoSpaceDE w:val="0"/>
              <w:autoSpaceDN w:val="0"/>
              <w:adjustRightInd w:val="0"/>
              <w:ind w:left="-18" w:firstLine="18"/>
              <w:jc w:val="center"/>
              <w:rPr>
                <w:color w:val="000000"/>
                <w:sz w:val="22"/>
              </w:rPr>
            </w:pPr>
            <w:r w:rsidRPr="00BA7372">
              <w:rPr>
                <w:color w:val="0000FF"/>
              </w:rPr>
              <w:t xml:space="preserve">X,XXX </w:t>
            </w:r>
          </w:p>
        </w:tc>
        <w:tc>
          <w:tcPr>
            <w:tcW w:w="1800" w:type="dxa"/>
            <w:shd w:val="clear" w:color="auto" w:fill="auto"/>
          </w:tcPr>
          <w:p w14:paraId="4E6325CC" w14:textId="3F8236A6" w:rsidR="00226F12" w:rsidRPr="00993B55" w:rsidRDefault="00226F12" w:rsidP="00226F12">
            <w:pPr>
              <w:widowControl w:val="0"/>
              <w:autoSpaceDE w:val="0"/>
              <w:autoSpaceDN w:val="0"/>
              <w:adjustRightInd w:val="0"/>
              <w:ind w:left="-18" w:firstLine="18"/>
              <w:jc w:val="center"/>
              <w:rPr>
                <w:color w:val="000000"/>
                <w:sz w:val="22"/>
              </w:rPr>
            </w:pPr>
            <w:r w:rsidRPr="00BA7372">
              <w:rPr>
                <w:color w:val="0000FF"/>
              </w:rPr>
              <w:t xml:space="preserve">X,XXX </w:t>
            </w:r>
          </w:p>
        </w:tc>
      </w:tr>
    </w:tbl>
    <w:p w14:paraId="4421F209" w14:textId="77777777" w:rsidR="000177D5" w:rsidRPr="00993B55" w:rsidRDefault="000177D5" w:rsidP="007A60F3">
      <w:pPr>
        <w:widowControl w:val="0"/>
        <w:autoSpaceDE w:val="0"/>
        <w:autoSpaceDN w:val="0"/>
        <w:adjustRightInd w:val="0"/>
        <w:ind w:left="450"/>
        <w:rPr>
          <w:color w:val="FF0000"/>
        </w:rPr>
      </w:pPr>
      <w:r w:rsidRPr="00993B55">
        <w:rPr>
          <w:i/>
          <w:iCs/>
          <w:color w:val="FF0000"/>
        </w:rPr>
        <w:t>(</w:t>
      </w:r>
      <w:r w:rsidRPr="00993B55">
        <w:rPr>
          <w:i/>
          <w:iCs/>
          <w:color w:val="FF0000"/>
          <w:u w:val="single"/>
        </w:rPr>
        <w:t>Note</w:t>
      </w:r>
      <w:r w:rsidRPr="00993B55">
        <w:rPr>
          <w:i/>
          <w:iCs/>
          <w:color w:val="FF0000"/>
        </w:rPr>
        <w:t>: Include a table for each permit unit, if it makes sense to do so.)</w:t>
      </w:r>
    </w:p>
    <w:p w14:paraId="654F2B31" w14:textId="77777777" w:rsidR="000177D5" w:rsidRPr="00993B55" w:rsidRDefault="000177D5" w:rsidP="007A60F3">
      <w:pPr>
        <w:widowControl w:val="0"/>
        <w:autoSpaceDE w:val="0"/>
        <w:autoSpaceDN w:val="0"/>
        <w:adjustRightInd w:val="0"/>
        <w:rPr>
          <w:color w:val="000000"/>
        </w:rPr>
      </w:pPr>
    </w:p>
    <w:p w14:paraId="2938F488" w14:textId="77777777" w:rsidR="000177D5" w:rsidRPr="00993B55" w:rsidRDefault="000177D5" w:rsidP="007A60F3">
      <w:pPr>
        <w:widowControl w:val="0"/>
        <w:tabs>
          <w:tab w:val="left" w:pos="1530"/>
        </w:tabs>
        <w:autoSpaceDE w:val="0"/>
        <w:autoSpaceDN w:val="0"/>
        <w:adjustRightInd w:val="0"/>
        <w:rPr>
          <w:i/>
          <w:iCs/>
          <w:color w:val="0000FF"/>
        </w:rPr>
      </w:pPr>
      <w:r w:rsidRPr="00993B55">
        <w:rPr>
          <w:i/>
          <w:iCs/>
          <w:color w:val="0000FF"/>
          <w:u w:val="single"/>
        </w:rPr>
        <w:br w:type="page"/>
      </w:r>
      <w:r w:rsidRPr="00993B55">
        <w:rPr>
          <w:i/>
          <w:iCs/>
          <w:color w:val="0000FF"/>
          <w:u w:val="single"/>
        </w:rPr>
        <w:lastRenderedPageBreak/>
        <w:t>Example (b)</w:t>
      </w:r>
      <w:r w:rsidRPr="00993B55">
        <w:rPr>
          <w:i/>
          <w:iCs/>
          <w:color w:val="0000FF"/>
        </w:rPr>
        <w:t>:</w:t>
      </w:r>
      <w:r w:rsidRPr="00993B55">
        <w:rPr>
          <w:i/>
          <w:iCs/>
          <w:color w:val="0000FF"/>
        </w:rPr>
        <w:tab/>
        <w:t>(For seasonal sources.)</w:t>
      </w:r>
    </w:p>
    <w:p w14:paraId="0909D74E" w14:textId="77777777" w:rsidR="000177D5" w:rsidRPr="00993B55" w:rsidRDefault="000177D5" w:rsidP="007A60F3">
      <w:pPr>
        <w:widowControl w:val="0"/>
        <w:rPr>
          <w:bCs/>
          <w:spacing w:val="-3"/>
        </w:rPr>
      </w:pPr>
      <w:r w:rsidRPr="00993B55">
        <w:rPr>
          <w:bCs/>
          <w:spacing w:val="-3"/>
        </w:rPr>
        <w:t>As discussed in Section VII.A, this facility is a seasonal source that only operates during the 2</w:t>
      </w:r>
      <w:r w:rsidRPr="00993B55">
        <w:rPr>
          <w:bCs/>
          <w:spacing w:val="-3"/>
          <w:vertAlign w:val="superscript"/>
        </w:rPr>
        <w:t>nd</w:t>
      </w:r>
      <w:r w:rsidRPr="00993B55">
        <w:rPr>
          <w:bCs/>
          <w:spacing w:val="-3"/>
        </w:rPr>
        <w:t xml:space="preserve"> and 3</w:t>
      </w:r>
      <w:r w:rsidRPr="00993B55">
        <w:rPr>
          <w:bCs/>
          <w:spacing w:val="-3"/>
          <w:vertAlign w:val="superscript"/>
        </w:rPr>
        <w:t>rd</w:t>
      </w:r>
      <w:r w:rsidRPr="00993B55">
        <w:rPr>
          <w:bCs/>
          <w:spacing w:val="-3"/>
        </w:rPr>
        <w:t xml:space="preserve"> quarters.  Using the values in Sections VII.C.2 and VII.C.6 in the evaluation above, quarterly PE2 and quarterly PE1 can be calculated as follows:</w:t>
      </w:r>
    </w:p>
    <w:p w14:paraId="59959344" w14:textId="77777777" w:rsidR="000177D5" w:rsidRPr="00993B55" w:rsidRDefault="000177D5" w:rsidP="007A60F3">
      <w:pPr>
        <w:widowControl w:val="0"/>
        <w:rPr>
          <w:bCs/>
          <w:spacing w:val="-3"/>
        </w:rPr>
      </w:pPr>
    </w:p>
    <w:p w14:paraId="5A3F7FED" w14:textId="77777777" w:rsidR="000177D5" w:rsidRPr="00993B55" w:rsidRDefault="000177D5" w:rsidP="007A60F3">
      <w:pPr>
        <w:widowControl w:val="0"/>
        <w:tabs>
          <w:tab w:val="left" w:pos="1260"/>
          <w:tab w:val="left" w:pos="1530"/>
        </w:tabs>
        <w:autoSpaceDE w:val="0"/>
        <w:autoSpaceDN w:val="0"/>
        <w:adjustRightInd w:val="0"/>
        <w:rPr>
          <w:color w:val="000000"/>
        </w:rPr>
      </w:pPr>
      <w:r w:rsidRPr="00993B55">
        <w:rPr>
          <w:color w:val="000000"/>
        </w:rPr>
        <w:t>PE2</w:t>
      </w:r>
      <w:r w:rsidRPr="00993B55">
        <w:rPr>
          <w:color w:val="000000"/>
          <w:vertAlign w:val="subscript"/>
        </w:rPr>
        <w:t>quarterly</w:t>
      </w:r>
      <w:r w:rsidRPr="00993B55">
        <w:rPr>
          <w:color w:val="000000"/>
        </w:rPr>
        <w:tab/>
        <w:t>=</w:t>
      </w:r>
      <w:r w:rsidRPr="00993B55">
        <w:rPr>
          <w:color w:val="000000"/>
        </w:rPr>
        <w:tab/>
        <w:t>PE2</w:t>
      </w:r>
      <w:r w:rsidRPr="00993B55">
        <w:rPr>
          <w:color w:val="000000"/>
          <w:vertAlign w:val="subscript"/>
        </w:rPr>
        <w:t>annual</w:t>
      </w:r>
      <w:r w:rsidRPr="00993B55">
        <w:rPr>
          <w:color w:val="000000"/>
        </w:rPr>
        <w:t xml:space="preserve"> </w:t>
      </w:r>
      <w:r w:rsidRPr="00993B55">
        <w:rPr>
          <w:color w:val="000000"/>
        </w:rPr>
        <w:sym w:font="Symbol" w:char="F0B8"/>
      </w:r>
      <w:r w:rsidRPr="00993B55">
        <w:rPr>
          <w:color w:val="000000"/>
        </w:rPr>
        <w:t xml:space="preserve"> 2 </w:t>
      </w:r>
      <w:r w:rsidRPr="00993B55">
        <w:t>quarters</w:t>
      </w:r>
      <w:r w:rsidRPr="00993B55">
        <w:rPr>
          <w:color w:val="000000"/>
        </w:rPr>
        <w:t>/year</w:t>
      </w:r>
    </w:p>
    <w:p w14:paraId="511B9A56" w14:textId="4E1DDCCB" w:rsidR="000177D5" w:rsidRPr="00993B55" w:rsidRDefault="000177D5" w:rsidP="007A60F3">
      <w:pPr>
        <w:widowControl w:val="0"/>
        <w:tabs>
          <w:tab w:val="left" w:pos="1260"/>
          <w:tab w:val="left" w:pos="1530"/>
        </w:tabs>
      </w:pPr>
      <w:r w:rsidRPr="00993B55">
        <w:tab/>
        <w:t>=</w:t>
      </w:r>
      <w:r w:rsidRPr="00993B55">
        <w:tab/>
      </w:r>
      <w:r w:rsidR="00226F12" w:rsidRPr="00226F12">
        <w:rPr>
          <w:color w:val="0000FF"/>
        </w:rPr>
        <w:t xml:space="preserve">X,XXX </w:t>
      </w:r>
      <w:r w:rsidRPr="00993B55">
        <w:t xml:space="preserve">lb/year </w:t>
      </w:r>
      <w:r w:rsidRPr="00993B55">
        <w:sym w:font="Symbol" w:char="F0B8"/>
      </w:r>
      <w:r w:rsidRPr="00993B55">
        <w:t xml:space="preserve"> 2 qtr/year</w:t>
      </w:r>
    </w:p>
    <w:p w14:paraId="2AFCBD05" w14:textId="6BF40DC8" w:rsidR="000177D5" w:rsidRPr="00993B55" w:rsidRDefault="000177D5" w:rsidP="007A60F3">
      <w:pPr>
        <w:widowControl w:val="0"/>
        <w:tabs>
          <w:tab w:val="left" w:pos="1260"/>
          <w:tab w:val="left" w:pos="1530"/>
        </w:tabs>
      </w:pPr>
      <w:r w:rsidRPr="00993B55">
        <w:tab/>
        <w:t>=</w:t>
      </w:r>
      <w:r w:rsidRPr="00993B55">
        <w:tab/>
      </w:r>
      <w:r w:rsidR="00226F12" w:rsidRPr="00226F12">
        <w:rPr>
          <w:color w:val="0000FF"/>
        </w:rPr>
        <w:t xml:space="preserve">X,XXX </w:t>
      </w:r>
      <w:r w:rsidRPr="00993B55">
        <w:t>lb PM</w:t>
      </w:r>
      <w:r w:rsidR="00AF2232">
        <w:t>10</w:t>
      </w:r>
      <w:r w:rsidRPr="00993B55">
        <w:t>/qtr</w:t>
      </w:r>
    </w:p>
    <w:p w14:paraId="3CEC323F" w14:textId="77777777" w:rsidR="000177D5" w:rsidRPr="00993B55" w:rsidRDefault="000177D5" w:rsidP="007A60F3">
      <w:pPr>
        <w:widowControl w:val="0"/>
        <w:rPr>
          <w:bCs/>
          <w:spacing w:val="-3"/>
        </w:rPr>
      </w:pPr>
    </w:p>
    <w:p w14:paraId="4C507506" w14:textId="77777777" w:rsidR="000177D5" w:rsidRPr="00993B55" w:rsidRDefault="000177D5" w:rsidP="007A60F3">
      <w:pPr>
        <w:widowControl w:val="0"/>
        <w:tabs>
          <w:tab w:val="left" w:pos="1080"/>
          <w:tab w:val="left" w:pos="1350"/>
        </w:tabs>
        <w:autoSpaceDE w:val="0"/>
        <w:autoSpaceDN w:val="0"/>
        <w:adjustRightInd w:val="0"/>
        <w:rPr>
          <w:color w:val="000000"/>
        </w:rPr>
      </w:pPr>
      <w:r w:rsidRPr="00993B55">
        <w:rPr>
          <w:color w:val="000000"/>
        </w:rPr>
        <w:t>PE1</w:t>
      </w:r>
      <w:r w:rsidRPr="00993B55">
        <w:rPr>
          <w:color w:val="000000"/>
          <w:vertAlign w:val="subscript"/>
        </w:rPr>
        <w:t>quarterly</w:t>
      </w:r>
      <w:r w:rsidRPr="00993B55">
        <w:rPr>
          <w:color w:val="000000"/>
        </w:rPr>
        <w:tab/>
        <w:t>=</w:t>
      </w:r>
      <w:r w:rsidRPr="00993B55">
        <w:rPr>
          <w:color w:val="000000"/>
        </w:rPr>
        <w:tab/>
        <w:t>PE1</w:t>
      </w:r>
      <w:r w:rsidRPr="00993B55">
        <w:rPr>
          <w:color w:val="000000"/>
          <w:vertAlign w:val="subscript"/>
        </w:rPr>
        <w:t>annual</w:t>
      </w:r>
      <w:r w:rsidRPr="00993B55">
        <w:rPr>
          <w:color w:val="000000"/>
        </w:rPr>
        <w:t xml:space="preserve"> </w:t>
      </w:r>
      <w:r w:rsidRPr="00993B55">
        <w:rPr>
          <w:color w:val="000000"/>
        </w:rPr>
        <w:sym w:font="Symbol" w:char="F0B8"/>
      </w:r>
      <w:r w:rsidRPr="00993B55">
        <w:rPr>
          <w:color w:val="000000"/>
        </w:rPr>
        <w:t xml:space="preserve"> 2 </w:t>
      </w:r>
      <w:r w:rsidRPr="00993B55">
        <w:t>quarters</w:t>
      </w:r>
      <w:r w:rsidRPr="00993B55">
        <w:rPr>
          <w:color w:val="000000"/>
        </w:rPr>
        <w:t>/year</w:t>
      </w:r>
    </w:p>
    <w:p w14:paraId="45A654BA" w14:textId="7B24F572" w:rsidR="000177D5" w:rsidRPr="00993B55" w:rsidRDefault="000177D5" w:rsidP="007A60F3">
      <w:pPr>
        <w:widowControl w:val="0"/>
        <w:tabs>
          <w:tab w:val="left" w:pos="1080"/>
          <w:tab w:val="left" w:pos="1350"/>
        </w:tabs>
        <w:autoSpaceDE w:val="0"/>
        <w:autoSpaceDN w:val="0"/>
        <w:adjustRightInd w:val="0"/>
      </w:pPr>
      <w:r w:rsidRPr="00993B55">
        <w:rPr>
          <w:color w:val="000000"/>
        </w:rPr>
        <w:tab/>
        <w:t>=</w:t>
      </w:r>
      <w:r w:rsidRPr="00993B55">
        <w:rPr>
          <w:color w:val="000000"/>
        </w:rPr>
        <w:tab/>
      </w:r>
      <w:r w:rsidR="00226F12" w:rsidRPr="00226F12">
        <w:rPr>
          <w:color w:val="0000FF"/>
        </w:rPr>
        <w:t>X,XXX</w:t>
      </w:r>
      <w:r w:rsidRPr="00993B55">
        <w:t xml:space="preserve"> lb/year </w:t>
      </w:r>
      <w:r w:rsidRPr="00993B55">
        <w:sym w:font="Symbol" w:char="F0B8"/>
      </w:r>
      <w:r w:rsidRPr="00993B55">
        <w:t xml:space="preserve"> 2 qtr/year</w:t>
      </w:r>
    </w:p>
    <w:p w14:paraId="190D2C7A" w14:textId="2E916E88" w:rsidR="000177D5" w:rsidRPr="00993B55" w:rsidRDefault="000177D5" w:rsidP="007A60F3">
      <w:pPr>
        <w:widowControl w:val="0"/>
        <w:tabs>
          <w:tab w:val="left" w:pos="1080"/>
          <w:tab w:val="left" w:pos="1350"/>
        </w:tabs>
        <w:autoSpaceDE w:val="0"/>
        <w:autoSpaceDN w:val="0"/>
        <w:adjustRightInd w:val="0"/>
        <w:rPr>
          <w:color w:val="000000"/>
        </w:rPr>
      </w:pPr>
      <w:r w:rsidRPr="00993B55">
        <w:tab/>
        <w:t>=</w:t>
      </w:r>
      <w:r w:rsidRPr="00993B55">
        <w:tab/>
      </w:r>
      <w:r w:rsidR="00226F12" w:rsidRPr="00226F12">
        <w:rPr>
          <w:color w:val="0000FF"/>
        </w:rPr>
        <w:t xml:space="preserve">X,XXX </w:t>
      </w:r>
      <w:r w:rsidRPr="00993B55">
        <w:t>lb PM</w:t>
      </w:r>
      <w:r w:rsidR="00AF2232">
        <w:t>10</w:t>
      </w:r>
      <w:r w:rsidRPr="00993B55">
        <w:t>/qtr</w:t>
      </w:r>
    </w:p>
    <w:p w14:paraId="2970140C" w14:textId="77777777" w:rsidR="000177D5" w:rsidRPr="00993B55" w:rsidRDefault="000177D5" w:rsidP="007A60F3">
      <w:pPr>
        <w:widowControl w:val="0"/>
        <w:autoSpaceDE w:val="0"/>
        <w:autoSpaceDN w:val="0"/>
        <w:adjustRightInd w:val="0"/>
        <w:rPr>
          <w:color w:val="000000"/>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512"/>
        <w:gridCol w:w="1512"/>
        <w:gridCol w:w="1656"/>
        <w:gridCol w:w="1512"/>
        <w:gridCol w:w="1512"/>
      </w:tblGrid>
      <w:tr w:rsidR="000177D5" w:rsidRPr="00993B55" w14:paraId="4B95A8D3" w14:textId="77777777" w:rsidTr="007F25BF">
        <w:trPr>
          <w:cantSplit/>
          <w:trHeight w:val="501"/>
        </w:trPr>
        <w:tc>
          <w:tcPr>
            <w:tcW w:w="9144" w:type="dxa"/>
            <w:gridSpan w:val="6"/>
            <w:shd w:val="clear" w:color="auto" w:fill="D9D9D9" w:themeFill="background1" w:themeFillShade="D9"/>
            <w:vAlign w:val="center"/>
          </w:tcPr>
          <w:p w14:paraId="4BBDCE06" w14:textId="77777777" w:rsidR="000177D5" w:rsidRPr="00993B55" w:rsidRDefault="000177D5" w:rsidP="007A60F3">
            <w:pPr>
              <w:widowControl w:val="0"/>
              <w:autoSpaceDE w:val="0"/>
              <w:autoSpaceDN w:val="0"/>
              <w:adjustRightInd w:val="0"/>
              <w:jc w:val="center"/>
              <w:rPr>
                <w:b/>
                <w:bCs/>
                <w:color w:val="000000"/>
                <w:sz w:val="22"/>
                <w:szCs w:val="22"/>
              </w:rPr>
            </w:pPr>
            <w:r w:rsidRPr="00993B55">
              <w:rPr>
                <w:b/>
                <w:bCs/>
                <w:color w:val="000000"/>
                <w:sz w:val="22"/>
                <w:szCs w:val="22"/>
              </w:rPr>
              <w:t>Quarterly NEC [QNEC]</w:t>
            </w:r>
          </w:p>
        </w:tc>
      </w:tr>
      <w:tr w:rsidR="000177D5" w:rsidRPr="00993B55" w14:paraId="1E5F9284" w14:textId="77777777" w:rsidTr="007F25BF">
        <w:trPr>
          <w:trHeight w:val="510"/>
        </w:trPr>
        <w:tc>
          <w:tcPr>
            <w:tcW w:w="1440" w:type="dxa"/>
            <w:shd w:val="clear" w:color="auto" w:fill="D9D9D9" w:themeFill="background1" w:themeFillShade="D9"/>
            <w:vAlign w:val="center"/>
          </w:tcPr>
          <w:p w14:paraId="477A8F07" w14:textId="77777777" w:rsidR="000177D5" w:rsidRPr="00993B55" w:rsidRDefault="000177D5" w:rsidP="007A60F3">
            <w:pPr>
              <w:widowControl w:val="0"/>
              <w:autoSpaceDE w:val="0"/>
              <w:autoSpaceDN w:val="0"/>
              <w:adjustRightInd w:val="0"/>
              <w:jc w:val="center"/>
              <w:rPr>
                <w:b/>
                <w:color w:val="000000"/>
                <w:sz w:val="22"/>
                <w:szCs w:val="22"/>
              </w:rPr>
            </w:pPr>
          </w:p>
        </w:tc>
        <w:tc>
          <w:tcPr>
            <w:tcW w:w="1512" w:type="dxa"/>
            <w:shd w:val="clear" w:color="auto" w:fill="D9D9D9" w:themeFill="background1" w:themeFillShade="D9"/>
            <w:vAlign w:val="center"/>
          </w:tcPr>
          <w:p w14:paraId="43CDDA5B" w14:textId="1CC5D99C" w:rsidR="000177D5" w:rsidRPr="00993B55" w:rsidRDefault="000177D5" w:rsidP="007A60F3">
            <w:pPr>
              <w:widowControl w:val="0"/>
              <w:autoSpaceDE w:val="0"/>
              <w:autoSpaceDN w:val="0"/>
              <w:adjustRightInd w:val="0"/>
              <w:jc w:val="center"/>
              <w:rPr>
                <w:b/>
                <w:color w:val="000000"/>
                <w:sz w:val="22"/>
                <w:szCs w:val="22"/>
              </w:rPr>
            </w:pPr>
            <w:r w:rsidRPr="00993B55">
              <w:rPr>
                <w:b/>
                <w:color w:val="000000"/>
                <w:sz w:val="22"/>
                <w:szCs w:val="22"/>
              </w:rPr>
              <w:t>NO</w:t>
            </w:r>
            <w:r w:rsidR="00B650AE">
              <w:rPr>
                <w:b/>
                <w:color w:val="000000"/>
                <w:sz w:val="22"/>
                <w:szCs w:val="22"/>
              </w:rPr>
              <w:t>x</w:t>
            </w:r>
            <w:r w:rsidRPr="00993B55">
              <w:rPr>
                <w:b/>
                <w:color w:val="000000"/>
                <w:sz w:val="22"/>
                <w:szCs w:val="22"/>
              </w:rPr>
              <w:t xml:space="preserve"> (lb/qtr)</w:t>
            </w:r>
          </w:p>
        </w:tc>
        <w:tc>
          <w:tcPr>
            <w:tcW w:w="1512" w:type="dxa"/>
            <w:shd w:val="clear" w:color="auto" w:fill="D9D9D9" w:themeFill="background1" w:themeFillShade="D9"/>
            <w:vAlign w:val="center"/>
          </w:tcPr>
          <w:p w14:paraId="4B3EB498" w14:textId="6D39EE04" w:rsidR="000177D5" w:rsidRPr="00993B55" w:rsidRDefault="000177D5" w:rsidP="007A60F3">
            <w:pPr>
              <w:widowControl w:val="0"/>
              <w:autoSpaceDE w:val="0"/>
              <w:autoSpaceDN w:val="0"/>
              <w:adjustRightInd w:val="0"/>
              <w:jc w:val="center"/>
              <w:rPr>
                <w:b/>
                <w:color w:val="000000"/>
                <w:sz w:val="22"/>
                <w:szCs w:val="22"/>
              </w:rPr>
            </w:pPr>
            <w:r w:rsidRPr="00993B55">
              <w:rPr>
                <w:b/>
                <w:color w:val="000000"/>
                <w:sz w:val="22"/>
                <w:szCs w:val="22"/>
              </w:rPr>
              <w:t>SO</w:t>
            </w:r>
            <w:r w:rsidR="00B650AE">
              <w:rPr>
                <w:b/>
                <w:color w:val="000000"/>
                <w:sz w:val="22"/>
                <w:szCs w:val="22"/>
              </w:rPr>
              <w:t>x</w:t>
            </w:r>
            <w:r w:rsidRPr="00993B55">
              <w:rPr>
                <w:b/>
                <w:color w:val="000000"/>
                <w:sz w:val="22"/>
                <w:szCs w:val="22"/>
              </w:rPr>
              <w:t xml:space="preserve"> (lb/qtr)</w:t>
            </w:r>
          </w:p>
        </w:tc>
        <w:tc>
          <w:tcPr>
            <w:tcW w:w="1656" w:type="dxa"/>
            <w:shd w:val="clear" w:color="auto" w:fill="D9D9D9" w:themeFill="background1" w:themeFillShade="D9"/>
            <w:vAlign w:val="center"/>
          </w:tcPr>
          <w:p w14:paraId="3FA2F566" w14:textId="626D0012" w:rsidR="000177D5" w:rsidRPr="00993B55" w:rsidRDefault="000177D5" w:rsidP="007A60F3">
            <w:pPr>
              <w:widowControl w:val="0"/>
              <w:autoSpaceDE w:val="0"/>
              <w:autoSpaceDN w:val="0"/>
              <w:adjustRightInd w:val="0"/>
              <w:jc w:val="center"/>
              <w:rPr>
                <w:b/>
                <w:color w:val="000000"/>
                <w:sz w:val="22"/>
                <w:szCs w:val="22"/>
              </w:rPr>
            </w:pPr>
            <w:r w:rsidRPr="00993B55">
              <w:rPr>
                <w:b/>
                <w:color w:val="000000"/>
                <w:sz w:val="22"/>
                <w:szCs w:val="22"/>
              </w:rPr>
              <w:t>PM</w:t>
            </w:r>
            <w:r w:rsidR="00B650AE">
              <w:rPr>
                <w:b/>
                <w:color w:val="000000"/>
                <w:sz w:val="22"/>
                <w:szCs w:val="22"/>
              </w:rPr>
              <w:t>10</w:t>
            </w:r>
            <w:r w:rsidRPr="00993B55">
              <w:rPr>
                <w:b/>
                <w:color w:val="000000"/>
                <w:sz w:val="22"/>
                <w:szCs w:val="22"/>
              </w:rPr>
              <w:t xml:space="preserve"> (lb/qtr)</w:t>
            </w:r>
          </w:p>
        </w:tc>
        <w:tc>
          <w:tcPr>
            <w:tcW w:w="1512" w:type="dxa"/>
            <w:shd w:val="clear" w:color="auto" w:fill="D9D9D9" w:themeFill="background1" w:themeFillShade="D9"/>
            <w:vAlign w:val="center"/>
          </w:tcPr>
          <w:p w14:paraId="69AD1D26" w14:textId="77777777" w:rsidR="000177D5" w:rsidRPr="00993B55" w:rsidRDefault="000177D5" w:rsidP="007A60F3">
            <w:pPr>
              <w:widowControl w:val="0"/>
              <w:autoSpaceDE w:val="0"/>
              <w:autoSpaceDN w:val="0"/>
              <w:adjustRightInd w:val="0"/>
              <w:jc w:val="center"/>
              <w:rPr>
                <w:b/>
                <w:color w:val="000000"/>
                <w:sz w:val="22"/>
                <w:szCs w:val="22"/>
              </w:rPr>
            </w:pPr>
            <w:r w:rsidRPr="00993B55">
              <w:rPr>
                <w:b/>
                <w:color w:val="000000"/>
                <w:sz w:val="22"/>
                <w:szCs w:val="22"/>
              </w:rPr>
              <w:t>CO (lb/qtr)</w:t>
            </w:r>
          </w:p>
        </w:tc>
        <w:tc>
          <w:tcPr>
            <w:tcW w:w="1512" w:type="dxa"/>
            <w:shd w:val="clear" w:color="auto" w:fill="D9D9D9" w:themeFill="background1" w:themeFillShade="D9"/>
            <w:vAlign w:val="center"/>
          </w:tcPr>
          <w:p w14:paraId="31442581" w14:textId="77777777" w:rsidR="000177D5" w:rsidRPr="00993B55" w:rsidRDefault="000177D5" w:rsidP="007A60F3">
            <w:pPr>
              <w:widowControl w:val="0"/>
              <w:autoSpaceDE w:val="0"/>
              <w:autoSpaceDN w:val="0"/>
              <w:adjustRightInd w:val="0"/>
              <w:jc w:val="center"/>
              <w:rPr>
                <w:b/>
                <w:color w:val="000000"/>
                <w:sz w:val="22"/>
                <w:szCs w:val="22"/>
              </w:rPr>
            </w:pPr>
            <w:r w:rsidRPr="00993B55">
              <w:rPr>
                <w:b/>
                <w:color w:val="000000"/>
                <w:sz w:val="22"/>
                <w:szCs w:val="22"/>
              </w:rPr>
              <w:t>VOC (lb/qtr)</w:t>
            </w:r>
          </w:p>
        </w:tc>
      </w:tr>
      <w:tr w:rsidR="00226F12" w:rsidRPr="00993B55" w14:paraId="5B905A98" w14:textId="77777777" w:rsidTr="00474FE9">
        <w:trPr>
          <w:trHeight w:val="50"/>
        </w:trPr>
        <w:tc>
          <w:tcPr>
            <w:tcW w:w="1440" w:type="dxa"/>
            <w:shd w:val="clear" w:color="auto" w:fill="auto"/>
            <w:vAlign w:val="center"/>
          </w:tcPr>
          <w:p w14:paraId="5384A4D3" w14:textId="77777777" w:rsidR="00226F12" w:rsidRPr="00993B55" w:rsidRDefault="00226F12" w:rsidP="00226F12">
            <w:pPr>
              <w:widowControl w:val="0"/>
              <w:autoSpaceDE w:val="0"/>
              <w:autoSpaceDN w:val="0"/>
              <w:adjustRightInd w:val="0"/>
              <w:jc w:val="center"/>
              <w:rPr>
                <w:color w:val="000000"/>
                <w:sz w:val="22"/>
                <w:szCs w:val="22"/>
                <w:vertAlign w:val="subscript"/>
              </w:rPr>
            </w:pPr>
            <w:r w:rsidRPr="00993B55">
              <w:rPr>
                <w:color w:val="000000"/>
                <w:sz w:val="22"/>
                <w:szCs w:val="22"/>
              </w:rPr>
              <w:t>PE2</w:t>
            </w:r>
          </w:p>
        </w:tc>
        <w:tc>
          <w:tcPr>
            <w:tcW w:w="1512" w:type="dxa"/>
            <w:shd w:val="clear" w:color="auto" w:fill="auto"/>
          </w:tcPr>
          <w:p w14:paraId="22B40873" w14:textId="07016AC5" w:rsidR="00226F12" w:rsidRPr="00993B55" w:rsidRDefault="00226F12" w:rsidP="00226F12">
            <w:pPr>
              <w:widowControl w:val="0"/>
              <w:autoSpaceDE w:val="0"/>
              <w:autoSpaceDN w:val="0"/>
              <w:adjustRightInd w:val="0"/>
              <w:jc w:val="center"/>
              <w:rPr>
                <w:color w:val="000000"/>
                <w:sz w:val="22"/>
                <w:szCs w:val="22"/>
              </w:rPr>
            </w:pPr>
            <w:r w:rsidRPr="00A70838">
              <w:rPr>
                <w:color w:val="0000FF"/>
              </w:rPr>
              <w:t xml:space="preserve">X,XXX </w:t>
            </w:r>
          </w:p>
        </w:tc>
        <w:tc>
          <w:tcPr>
            <w:tcW w:w="1512" w:type="dxa"/>
            <w:shd w:val="clear" w:color="auto" w:fill="auto"/>
          </w:tcPr>
          <w:p w14:paraId="6FB4D66D" w14:textId="1A350BC0" w:rsidR="00226F12" w:rsidRPr="00993B55" w:rsidRDefault="00226F12" w:rsidP="00226F12">
            <w:pPr>
              <w:widowControl w:val="0"/>
              <w:autoSpaceDE w:val="0"/>
              <w:autoSpaceDN w:val="0"/>
              <w:adjustRightInd w:val="0"/>
              <w:jc w:val="center"/>
              <w:rPr>
                <w:color w:val="000000"/>
                <w:sz w:val="22"/>
                <w:szCs w:val="22"/>
              </w:rPr>
            </w:pPr>
            <w:r w:rsidRPr="00A70838">
              <w:rPr>
                <w:color w:val="0000FF"/>
              </w:rPr>
              <w:t xml:space="preserve">X,XXX </w:t>
            </w:r>
          </w:p>
        </w:tc>
        <w:tc>
          <w:tcPr>
            <w:tcW w:w="1656" w:type="dxa"/>
            <w:shd w:val="clear" w:color="auto" w:fill="auto"/>
          </w:tcPr>
          <w:p w14:paraId="07930BB6" w14:textId="730653FF" w:rsidR="00226F12" w:rsidRPr="00993B55" w:rsidRDefault="00226F12" w:rsidP="00226F12">
            <w:pPr>
              <w:widowControl w:val="0"/>
              <w:autoSpaceDE w:val="0"/>
              <w:autoSpaceDN w:val="0"/>
              <w:adjustRightInd w:val="0"/>
              <w:jc w:val="center"/>
              <w:rPr>
                <w:color w:val="000000"/>
                <w:sz w:val="22"/>
                <w:szCs w:val="22"/>
              </w:rPr>
            </w:pPr>
            <w:r w:rsidRPr="00A70838">
              <w:rPr>
                <w:color w:val="0000FF"/>
              </w:rPr>
              <w:t xml:space="preserve">X,XXX </w:t>
            </w:r>
          </w:p>
        </w:tc>
        <w:tc>
          <w:tcPr>
            <w:tcW w:w="1512" w:type="dxa"/>
            <w:shd w:val="clear" w:color="auto" w:fill="auto"/>
          </w:tcPr>
          <w:p w14:paraId="2F34FF30" w14:textId="7B2EF982" w:rsidR="00226F12" w:rsidRPr="00993B55" w:rsidRDefault="00226F12" w:rsidP="00226F12">
            <w:pPr>
              <w:widowControl w:val="0"/>
              <w:autoSpaceDE w:val="0"/>
              <w:autoSpaceDN w:val="0"/>
              <w:adjustRightInd w:val="0"/>
              <w:jc w:val="center"/>
              <w:rPr>
                <w:color w:val="000000"/>
                <w:sz w:val="22"/>
                <w:szCs w:val="22"/>
              </w:rPr>
            </w:pPr>
            <w:r w:rsidRPr="00A70838">
              <w:rPr>
                <w:color w:val="0000FF"/>
              </w:rPr>
              <w:t xml:space="preserve">X,XXX </w:t>
            </w:r>
          </w:p>
        </w:tc>
        <w:tc>
          <w:tcPr>
            <w:tcW w:w="1512" w:type="dxa"/>
            <w:shd w:val="clear" w:color="auto" w:fill="auto"/>
          </w:tcPr>
          <w:p w14:paraId="1F2EA583" w14:textId="5D11FBC9" w:rsidR="00226F12" w:rsidRPr="00993B55" w:rsidRDefault="00226F12" w:rsidP="00226F12">
            <w:pPr>
              <w:widowControl w:val="0"/>
              <w:autoSpaceDE w:val="0"/>
              <w:autoSpaceDN w:val="0"/>
              <w:adjustRightInd w:val="0"/>
              <w:jc w:val="center"/>
              <w:rPr>
                <w:color w:val="000000"/>
                <w:sz w:val="22"/>
                <w:szCs w:val="22"/>
              </w:rPr>
            </w:pPr>
            <w:r w:rsidRPr="00A70838">
              <w:rPr>
                <w:color w:val="0000FF"/>
              </w:rPr>
              <w:t xml:space="preserve">X,XXX </w:t>
            </w:r>
          </w:p>
        </w:tc>
      </w:tr>
      <w:tr w:rsidR="00226F12" w:rsidRPr="00993B55" w14:paraId="7AAC40BA" w14:textId="77777777" w:rsidTr="00474FE9">
        <w:trPr>
          <w:trHeight w:val="276"/>
        </w:trPr>
        <w:tc>
          <w:tcPr>
            <w:tcW w:w="1440" w:type="dxa"/>
            <w:shd w:val="clear" w:color="auto" w:fill="auto"/>
            <w:vAlign w:val="center"/>
          </w:tcPr>
          <w:p w14:paraId="4BF06869" w14:textId="77777777" w:rsidR="00226F12" w:rsidRPr="00993B55" w:rsidRDefault="00226F12" w:rsidP="00226F12">
            <w:pPr>
              <w:widowControl w:val="0"/>
              <w:autoSpaceDE w:val="0"/>
              <w:autoSpaceDN w:val="0"/>
              <w:adjustRightInd w:val="0"/>
              <w:jc w:val="center"/>
              <w:rPr>
                <w:color w:val="000000"/>
                <w:sz w:val="22"/>
                <w:szCs w:val="22"/>
              </w:rPr>
            </w:pPr>
            <w:r w:rsidRPr="00993B55">
              <w:rPr>
                <w:color w:val="000000"/>
                <w:sz w:val="22"/>
                <w:szCs w:val="22"/>
              </w:rPr>
              <w:t>PE1</w:t>
            </w:r>
          </w:p>
        </w:tc>
        <w:tc>
          <w:tcPr>
            <w:tcW w:w="1512" w:type="dxa"/>
            <w:shd w:val="clear" w:color="auto" w:fill="auto"/>
          </w:tcPr>
          <w:p w14:paraId="60E27343" w14:textId="60B7B577" w:rsidR="00226F12" w:rsidRPr="00993B55" w:rsidRDefault="00226F12" w:rsidP="00226F12">
            <w:pPr>
              <w:widowControl w:val="0"/>
              <w:autoSpaceDE w:val="0"/>
              <w:autoSpaceDN w:val="0"/>
              <w:adjustRightInd w:val="0"/>
              <w:jc w:val="center"/>
              <w:rPr>
                <w:color w:val="000000"/>
                <w:sz w:val="22"/>
                <w:szCs w:val="22"/>
              </w:rPr>
            </w:pPr>
            <w:r w:rsidRPr="00A70838">
              <w:rPr>
                <w:color w:val="0000FF"/>
              </w:rPr>
              <w:t xml:space="preserve">X,XXX </w:t>
            </w:r>
          </w:p>
        </w:tc>
        <w:tc>
          <w:tcPr>
            <w:tcW w:w="1512" w:type="dxa"/>
            <w:shd w:val="clear" w:color="auto" w:fill="auto"/>
          </w:tcPr>
          <w:p w14:paraId="6A6CB97D" w14:textId="15707D42" w:rsidR="00226F12" w:rsidRPr="00993B55" w:rsidRDefault="00226F12" w:rsidP="00226F12">
            <w:pPr>
              <w:widowControl w:val="0"/>
              <w:autoSpaceDE w:val="0"/>
              <w:autoSpaceDN w:val="0"/>
              <w:adjustRightInd w:val="0"/>
              <w:jc w:val="center"/>
              <w:rPr>
                <w:color w:val="000000"/>
                <w:sz w:val="22"/>
                <w:szCs w:val="22"/>
              </w:rPr>
            </w:pPr>
            <w:r w:rsidRPr="00A70838">
              <w:rPr>
                <w:color w:val="0000FF"/>
              </w:rPr>
              <w:t xml:space="preserve">X,XXX </w:t>
            </w:r>
          </w:p>
        </w:tc>
        <w:tc>
          <w:tcPr>
            <w:tcW w:w="1656" w:type="dxa"/>
            <w:shd w:val="clear" w:color="auto" w:fill="auto"/>
          </w:tcPr>
          <w:p w14:paraId="6814DCAE" w14:textId="7C101532" w:rsidR="00226F12" w:rsidRPr="00993B55" w:rsidRDefault="00226F12" w:rsidP="00226F12">
            <w:pPr>
              <w:widowControl w:val="0"/>
              <w:autoSpaceDE w:val="0"/>
              <w:autoSpaceDN w:val="0"/>
              <w:adjustRightInd w:val="0"/>
              <w:jc w:val="center"/>
              <w:rPr>
                <w:color w:val="000000"/>
                <w:sz w:val="22"/>
                <w:szCs w:val="22"/>
              </w:rPr>
            </w:pPr>
            <w:r w:rsidRPr="00A70838">
              <w:rPr>
                <w:color w:val="0000FF"/>
              </w:rPr>
              <w:t xml:space="preserve">X,XXX </w:t>
            </w:r>
          </w:p>
        </w:tc>
        <w:tc>
          <w:tcPr>
            <w:tcW w:w="1512" w:type="dxa"/>
            <w:shd w:val="clear" w:color="auto" w:fill="auto"/>
          </w:tcPr>
          <w:p w14:paraId="0362EB1D" w14:textId="72503B65" w:rsidR="00226F12" w:rsidRPr="00993B55" w:rsidRDefault="00226F12" w:rsidP="00226F12">
            <w:pPr>
              <w:widowControl w:val="0"/>
              <w:autoSpaceDE w:val="0"/>
              <w:autoSpaceDN w:val="0"/>
              <w:adjustRightInd w:val="0"/>
              <w:jc w:val="center"/>
              <w:rPr>
                <w:color w:val="000000"/>
                <w:sz w:val="22"/>
                <w:szCs w:val="22"/>
              </w:rPr>
            </w:pPr>
            <w:r w:rsidRPr="00A70838">
              <w:rPr>
                <w:color w:val="0000FF"/>
              </w:rPr>
              <w:t xml:space="preserve">X,XXX </w:t>
            </w:r>
          </w:p>
        </w:tc>
        <w:tc>
          <w:tcPr>
            <w:tcW w:w="1512" w:type="dxa"/>
            <w:shd w:val="clear" w:color="auto" w:fill="auto"/>
          </w:tcPr>
          <w:p w14:paraId="04E25A3B" w14:textId="78B95815" w:rsidR="00226F12" w:rsidRPr="00993B55" w:rsidRDefault="00226F12" w:rsidP="00226F12">
            <w:pPr>
              <w:widowControl w:val="0"/>
              <w:autoSpaceDE w:val="0"/>
              <w:autoSpaceDN w:val="0"/>
              <w:adjustRightInd w:val="0"/>
              <w:jc w:val="center"/>
              <w:rPr>
                <w:color w:val="000000"/>
                <w:sz w:val="22"/>
                <w:szCs w:val="22"/>
              </w:rPr>
            </w:pPr>
            <w:r w:rsidRPr="00A70838">
              <w:rPr>
                <w:color w:val="0000FF"/>
              </w:rPr>
              <w:t xml:space="preserve">X,XXX </w:t>
            </w:r>
          </w:p>
        </w:tc>
      </w:tr>
      <w:tr w:rsidR="00226F12" w:rsidRPr="00993B55" w14:paraId="12E2C982" w14:textId="77777777" w:rsidTr="00474FE9">
        <w:trPr>
          <w:trHeight w:val="276"/>
        </w:trPr>
        <w:tc>
          <w:tcPr>
            <w:tcW w:w="1440" w:type="dxa"/>
            <w:shd w:val="clear" w:color="auto" w:fill="auto"/>
            <w:vAlign w:val="center"/>
          </w:tcPr>
          <w:p w14:paraId="3D3C21B9" w14:textId="77777777" w:rsidR="00226F12" w:rsidRPr="00993B55" w:rsidRDefault="00226F12" w:rsidP="00226F12">
            <w:pPr>
              <w:widowControl w:val="0"/>
              <w:autoSpaceDE w:val="0"/>
              <w:autoSpaceDN w:val="0"/>
              <w:adjustRightInd w:val="0"/>
              <w:jc w:val="center"/>
              <w:rPr>
                <w:color w:val="000000"/>
                <w:sz w:val="22"/>
                <w:szCs w:val="22"/>
              </w:rPr>
            </w:pPr>
            <w:r w:rsidRPr="00993B55">
              <w:rPr>
                <w:color w:val="000000"/>
                <w:sz w:val="22"/>
                <w:szCs w:val="22"/>
              </w:rPr>
              <w:t>1</w:t>
            </w:r>
            <w:r w:rsidRPr="00993B55">
              <w:rPr>
                <w:color w:val="000000"/>
                <w:sz w:val="22"/>
                <w:szCs w:val="22"/>
                <w:vertAlign w:val="superscript"/>
              </w:rPr>
              <w:t>st</w:t>
            </w:r>
            <w:r w:rsidRPr="00993B55">
              <w:rPr>
                <w:color w:val="000000"/>
                <w:sz w:val="22"/>
                <w:szCs w:val="22"/>
              </w:rPr>
              <w:t xml:space="preserve"> Quarter</w:t>
            </w:r>
          </w:p>
        </w:tc>
        <w:tc>
          <w:tcPr>
            <w:tcW w:w="1512" w:type="dxa"/>
            <w:shd w:val="clear" w:color="auto" w:fill="auto"/>
          </w:tcPr>
          <w:p w14:paraId="46E67D50" w14:textId="231525C9" w:rsidR="00226F12" w:rsidRPr="00993B55" w:rsidRDefault="00226F12" w:rsidP="00226F12">
            <w:pPr>
              <w:widowControl w:val="0"/>
              <w:autoSpaceDE w:val="0"/>
              <w:autoSpaceDN w:val="0"/>
              <w:adjustRightInd w:val="0"/>
              <w:jc w:val="center"/>
              <w:rPr>
                <w:color w:val="000000"/>
                <w:sz w:val="22"/>
                <w:szCs w:val="22"/>
              </w:rPr>
            </w:pPr>
            <w:r w:rsidRPr="00A70838">
              <w:rPr>
                <w:color w:val="0000FF"/>
              </w:rPr>
              <w:t xml:space="preserve">X,XXX </w:t>
            </w:r>
          </w:p>
        </w:tc>
        <w:tc>
          <w:tcPr>
            <w:tcW w:w="1512" w:type="dxa"/>
            <w:shd w:val="clear" w:color="auto" w:fill="auto"/>
          </w:tcPr>
          <w:p w14:paraId="13624E5E" w14:textId="7432609E" w:rsidR="00226F12" w:rsidRPr="00993B55" w:rsidRDefault="00226F12" w:rsidP="00226F12">
            <w:pPr>
              <w:widowControl w:val="0"/>
              <w:autoSpaceDE w:val="0"/>
              <w:autoSpaceDN w:val="0"/>
              <w:adjustRightInd w:val="0"/>
              <w:jc w:val="center"/>
              <w:rPr>
                <w:color w:val="000000"/>
                <w:sz w:val="22"/>
                <w:szCs w:val="22"/>
              </w:rPr>
            </w:pPr>
            <w:r w:rsidRPr="00A70838">
              <w:rPr>
                <w:color w:val="0000FF"/>
              </w:rPr>
              <w:t xml:space="preserve">X,XXX </w:t>
            </w:r>
          </w:p>
        </w:tc>
        <w:tc>
          <w:tcPr>
            <w:tcW w:w="1656" w:type="dxa"/>
            <w:shd w:val="clear" w:color="auto" w:fill="auto"/>
          </w:tcPr>
          <w:p w14:paraId="3D6519A1" w14:textId="6E56D6FF" w:rsidR="00226F12" w:rsidRPr="00993B55" w:rsidRDefault="00226F12" w:rsidP="00226F12">
            <w:pPr>
              <w:widowControl w:val="0"/>
              <w:autoSpaceDE w:val="0"/>
              <w:autoSpaceDN w:val="0"/>
              <w:adjustRightInd w:val="0"/>
              <w:jc w:val="center"/>
              <w:rPr>
                <w:color w:val="000000"/>
                <w:sz w:val="22"/>
                <w:szCs w:val="22"/>
              </w:rPr>
            </w:pPr>
            <w:r w:rsidRPr="00A70838">
              <w:rPr>
                <w:color w:val="0000FF"/>
              </w:rPr>
              <w:t xml:space="preserve">X,XXX </w:t>
            </w:r>
          </w:p>
        </w:tc>
        <w:tc>
          <w:tcPr>
            <w:tcW w:w="1512" w:type="dxa"/>
            <w:shd w:val="clear" w:color="auto" w:fill="auto"/>
          </w:tcPr>
          <w:p w14:paraId="6A951924" w14:textId="22B8F340" w:rsidR="00226F12" w:rsidRPr="00993B55" w:rsidRDefault="00226F12" w:rsidP="00226F12">
            <w:pPr>
              <w:widowControl w:val="0"/>
              <w:autoSpaceDE w:val="0"/>
              <w:autoSpaceDN w:val="0"/>
              <w:adjustRightInd w:val="0"/>
              <w:jc w:val="center"/>
              <w:rPr>
                <w:color w:val="000000"/>
                <w:sz w:val="22"/>
                <w:szCs w:val="22"/>
              </w:rPr>
            </w:pPr>
            <w:r w:rsidRPr="00A70838">
              <w:rPr>
                <w:color w:val="0000FF"/>
              </w:rPr>
              <w:t xml:space="preserve">X,XXX </w:t>
            </w:r>
          </w:p>
        </w:tc>
        <w:tc>
          <w:tcPr>
            <w:tcW w:w="1512" w:type="dxa"/>
            <w:shd w:val="clear" w:color="auto" w:fill="auto"/>
          </w:tcPr>
          <w:p w14:paraId="74F26A3E" w14:textId="1C626D93" w:rsidR="00226F12" w:rsidRPr="00993B55" w:rsidRDefault="00226F12" w:rsidP="00226F12">
            <w:pPr>
              <w:widowControl w:val="0"/>
              <w:autoSpaceDE w:val="0"/>
              <w:autoSpaceDN w:val="0"/>
              <w:adjustRightInd w:val="0"/>
              <w:jc w:val="center"/>
              <w:rPr>
                <w:color w:val="000000"/>
                <w:sz w:val="22"/>
                <w:szCs w:val="22"/>
              </w:rPr>
            </w:pPr>
            <w:r w:rsidRPr="00A70838">
              <w:rPr>
                <w:color w:val="0000FF"/>
              </w:rPr>
              <w:t xml:space="preserve">X,XXX </w:t>
            </w:r>
          </w:p>
        </w:tc>
      </w:tr>
      <w:tr w:rsidR="000177D5" w:rsidRPr="00993B55" w14:paraId="75FED39D" w14:textId="77777777" w:rsidTr="007F25BF">
        <w:trPr>
          <w:cantSplit/>
          <w:trHeight w:val="276"/>
        </w:trPr>
        <w:tc>
          <w:tcPr>
            <w:tcW w:w="9144" w:type="dxa"/>
            <w:gridSpan w:val="6"/>
            <w:shd w:val="clear" w:color="auto" w:fill="auto"/>
            <w:vAlign w:val="center"/>
          </w:tcPr>
          <w:p w14:paraId="215932CE" w14:textId="77777777" w:rsidR="000177D5" w:rsidRPr="00993B55" w:rsidRDefault="000177D5" w:rsidP="007A60F3">
            <w:pPr>
              <w:widowControl w:val="0"/>
              <w:autoSpaceDE w:val="0"/>
              <w:autoSpaceDN w:val="0"/>
              <w:adjustRightInd w:val="0"/>
              <w:jc w:val="center"/>
              <w:rPr>
                <w:color w:val="000000"/>
                <w:sz w:val="22"/>
                <w:szCs w:val="22"/>
              </w:rPr>
            </w:pPr>
          </w:p>
        </w:tc>
      </w:tr>
      <w:tr w:rsidR="00226F12" w:rsidRPr="00993B55" w14:paraId="1463A60A" w14:textId="77777777" w:rsidTr="00DD3409">
        <w:trPr>
          <w:trHeight w:val="276"/>
        </w:trPr>
        <w:tc>
          <w:tcPr>
            <w:tcW w:w="1440" w:type="dxa"/>
            <w:shd w:val="clear" w:color="auto" w:fill="auto"/>
            <w:vAlign w:val="center"/>
          </w:tcPr>
          <w:p w14:paraId="4C091283" w14:textId="77777777" w:rsidR="00226F12" w:rsidRPr="00993B55" w:rsidRDefault="00226F12" w:rsidP="00226F12">
            <w:pPr>
              <w:widowControl w:val="0"/>
              <w:autoSpaceDE w:val="0"/>
              <w:autoSpaceDN w:val="0"/>
              <w:adjustRightInd w:val="0"/>
              <w:jc w:val="center"/>
              <w:rPr>
                <w:color w:val="000000"/>
                <w:sz w:val="22"/>
                <w:szCs w:val="22"/>
                <w:vertAlign w:val="subscript"/>
              </w:rPr>
            </w:pPr>
            <w:r w:rsidRPr="00993B55">
              <w:rPr>
                <w:color w:val="000000"/>
                <w:sz w:val="22"/>
                <w:szCs w:val="22"/>
              </w:rPr>
              <w:t>PE2</w:t>
            </w:r>
          </w:p>
        </w:tc>
        <w:tc>
          <w:tcPr>
            <w:tcW w:w="1512" w:type="dxa"/>
            <w:shd w:val="clear" w:color="auto" w:fill="auto"/>
          </w:tcPr>
          <w:p w14:paraId="13181BC3" w14:textId="28BA2DB6" w:rsidR="00226F12" w:rsidRPr="00993B55" w:rsidRDefault="00226F12" w:rsidP="00226F12">
            <w:pPr>
              <w:widowControl w:val="0"/>
              <w:autoSpaceDE w:val="0"/>
              <w:autoSpaceDN w:val="0"/>
              <w:adjustRightInd w:val="0"/>
              <w:jc w:val="center"/>
              <w:rPr>
                <w:color w:val="000000"/>
                <w:sz w:val="22"/>
                <w:szCs w:val="22"/>
              </w:rPr>
            </w:pPr>
            <w:r w:rsidRPr="00211E3F">
              <w:rPr>
                <w:color w:val="0000FF"/>
              </w:rPr>
              <w:t xml:space="preserve">X,XXX </w:t>
            </w:r>
          </w:p>
        </w:tc>
        <w:tc>
          <w:tcPr>
            <w:tcW w:w="1512" w:type="dxa"/>
            <w:shd w:val="clear" w:color="auto" w:fill="auto"/>
          </w:tcPr>
          <w:p w14:paraId="1EEDB819" w14:textId="4622DD14" w:rsidR="00226F12" w:rsidRPr="00993B55" w:rsidRDefault="00226F12" w:rsidP="00226F12">
            <w:pPr>
              <w:widowControl w:val="0"/>
              <w:autoSpaceDE w:val="0"/>
              <w:autoSpaceDN w:val="0"/>
              <w:adjustRightInd w:val="0"/>
              <w:jc w:val="center"/>
              <w:rPr>
                <w:color w:val="000000"/>
                <w:sz w:val="22"/>
                <w:szCs w:val="22"/>
              </w:rPr>
            </w:pPr>
            <w:r w:rsidRPr="00211E3F">
              <w:rPr>
                <w:color w:val="0000FF"/>
              </w:rPr>
              <w:t xml:space="preserve">X,XXX </w:t>
            </w:r>
          </w:p>
        </w:tc>
        <w:tc>
          <w:tcPr>
            <w:tcW w:w="1656" w:type="dxa"/>
            <w:shd w:val="clear" w:color="auto" w:fill="auto"/>
          </w:tcPr>
          <w:p w14:paraId="20BC49A9" w14:textId="3F8A50EF" w:rsidR="00226F12" w:rsidRPr="00993B55" w:rsidRDefault="00226F12" w:rsidP="00226F12">
            <w:pPr>
              <w:widowControl w:val="0"/>
              <w:autoSpaceDE w:val="0"/>
              <w:autoSpaceDN w:val="0"/>
              <w:adjustRightInd w:val="0"/>
              <w:jc w:val="center"/>
              <w:rPr>
                <w:color w:val="000000"/>
                <w:sz w:val="22"/>
                <w:szCs w:val="22"/>
              </w:rPr>
            </w:pPr>
            <w:r w:rsidRPr="00211E3F">
              <w:rPr>
                <w:color w:val="0000FF"/>
              </w:rPr>
              <w:t xml:space="preserve">X,XXX </w:t>
            </w:r>
          </w:p>
        </w:tc>
        <w:tc>
          <w:tcPr>
            <w:tcW w:w="1512" w:type="dxa"/>
            <w:shd w:val="clear" w:color="auto" w:fill="auto"/>
          </w:tcPr>
          <w:p w14:paraId="7262A32C" w14:textId="08901F1F" w:rsidR="00226F12" w:rsidRPr="00993B55" w:rsidRDefault="00226F12" w:rsidP="00226F12">
            <w:pPr>
              <w:widowControl w:val="0"/>
              <w:autoSpaceDE w:val="0"/>
              <w:autoSpaceDN w:val="0"/>
              <w:adjustRightInd w:val="0"/>
              <w:jc w:val="center"/>
              <w:rPr>
                <w:color w:val="000000"/>
                <w:sz w:val="22"/>
                <w:szCs w:val="22"/>
              </w:rPr>
            </w:pPr>
            <w:r w:rsidRPr="00211E3F">
              <w:rPr>
                <w:color w:val="0000FF"/>
              </w:rPr>
              <w:t xml:space="preserve">X,XXX </w:t>
            </w:r>
          </w:p>
        </w:tc>
        <w:tc>
          <w:tcPr>
            <w:tcW w:w="1512" w:type="dxa"/>
            <w:shd w:val="clear" w:color="auto" w:fill="auto"/>
          </w:tcPr>
          <w:p w14:paraId="4D1AB376" w14:textId="6664B40C" w:rsidR="00226F12" w:rsidRPr="00993B55" w:rsidRDefault="00226F12" w:rsidP="00226F12">
            <w:pPr>
              <w:widowControl w:val="0"/>
              <w:autoSpaceDE w:val="0"/>
              <w:autoSpaceDN w:val="0"/>
              <w:adjustRightInd w:val="0"/>
              <w:jc w:val="center"/>
              <w:rPr>
                <w:color w:val="000000"/>
                <w:sz w:val="22"/>
                <w:szCs w:val="22"/>
              </w:rPr>
            </w:pPr>
            <w:r w:rsidRPr="00211E3F">
              <w:rPr>
                <w:color w:val="0000FF"/>
              </w:rPr>
              <w:t xml:space="preserve">X,XXX </w:t>
            </w:r>
          </w:p>
        </w:tc>
      </w:tr>
      <w:tr w:rsidR="00226F12" w:rsidRPr="00993B55" w14:paraId="7DCBBDBE" w14:textId="77777777" w:rsidTr="00DD3409">
        <w:trPr>
          <w:trHeight w:val="276"/>
        </w:trPr>
        <w:tc>
          <w:tcPr>
            <w:tcW w:w="1440" w:type="dxa"/>
            <w:shd w:val="clear" w:color="auto" w:fill="auto"/>
            <w:vAlign w:val="center"/>
          </w:tcPr>
          <w:p w14:paraId="4DE57DE3" w14:textId="77777777" w:rsidR="00226F12" w:rsidRPr="00993B55" w:rsidRDefault="00226F12" w:rsidP="00226F12">
            <w:pPr>
              <w:widowControl w:val="0"/>
              <w:autoSpaceDE w:val="0"/>
              <w:autoSpaceDN w:val="0"/>
              <w:adjustRightInd w:val="0"/>
              <w:jc w:val="center"/>
              <w:rPr>
                <w:color w:val="000000"/>
                <w:sz w:val="22"/>
                <w:szCs w:val="22"/>
                <w:vertAlign w:val="subscript"/>
              </w:rPr>
            </w:pPr>
            <w:r w:rsidRPr="00993B55">
              <w:rPr>
                <w:color w:val="000000"/>
                <w:sz w:val="22"/>
                <w:szCs w:val="22"/>
              </w:rPr>
              <w:t>PE1</w:t>
            </w:r>
          </w:p>
        </w:tc>
        <w:tc>
          <w:tcPr>
            <w:tcW w:w="1512" w:type="dxa"/>
            <w:shd w:val="clear" w:color="auto" w:fill="auto"/>
          </w:tcPr>
          <w:p w14:paraId="781B4667" w14:textId="6D5DA554" w:rsidR="00226F12" w:rsidRPr="00993B55" w:rsidRDefault="00226F12" w:rsidP="00226F12">
            <w:pPr>
              <w:widowControl w:val="0"/>
              <w:autoSpaceDE w:val="0"/>
              <w:autoSpaceDN w:val="0"/>
              <w:adjustRightInd w:val="0"/>
              <w:jc w:val="center"/>
              <w:rPr>
                <w:color w:val="000000"/>
                <w:sz w:val="22"/>
                <w:szCs w:val="22"/>
              </w:rPr>
            </w:pPr>
            <w:r w:rsidRPr="00211E3F">
              <w:rPr>
                <w:color w:val="0000FF"/>
              </w:rPr>
              <w:t xml:space="preserve">X,XXX </w:t>
            </w:r>
          </w:p>
        </w:tc>
        <w:tc>
          <w:tcPr>
            <w:tcW w:w="1512" w:type="dxa"/>
            <w:shd w:val="clear" w:color="auto" w:fill="auto"/>
          </w:tcPr>
          <w:p w14:paraId="4968CE8F" w14:textId="7E151A82" w:rsidR="00226F12" w:rsidRPr="00993B55" w:rsidRDefault="00226F12" w:rsidP="00226F12">
            <w:pPr>
              <w:widowControl w:val="0"/>
              <w:autoSpaceDE w:val="0"/>
              <w:autoSpaceDN w:val="0"/>
              <w:adjustRightInd w:val="0"/>
              <w:jc w:val="center"/>
              <w:rPr>
                <w:color w:val="000000"/>
                <w:sz w:val="22"/>
                <w:szCs w:val="22"/>
              </w:rPr>
            </w:pPr>
            <w:r w:rsidRPr="00211E3F">
              <w:rPr>
                <w:color w:val="0000FF"/>
              </w:rPr>
              <w:t xml:space="preserve">X,XXX </w:t>
            </w:r>
          </w:p>
        </w:tc>
        <w:tc>
          <w:tcPr>
            <w:tcW w:w="1656" w:type="dxa"/>
            <w:shd w:val="clear" w:color="auto" w:fill="auto"/>
          </w:tcPr>
          <w:p w14:paraId="54C92894" w14:textId="667974C3" w:rsidR="00226F12" w:rsidRPr="00993B55" w:rsidRDefault="00226F12" w:rsidP="00226F12">
            <w:pPr>
              <w:widowControl w:val="0"/>
              <w:autoSpaceDE w:val="0"/>
              <w:autoSpaceDN w:val="0"/>
              <w:adjustRightInd w:val="0"/>
              <w:jc w:val="center"/>
              <w:rPr>
                <w:color w:val="000000"/>
                <w:sz w:val="22"/>
                <w:szCs w:val="22"/>
              </w:rPr>
            </w:pPr>
            <w:r w:rsidRPr="00211E3F">
              <w:rPr>
                <w:color w:val="0000FF"/>
              </w:rPr>
              <w:t xml:space="preserve">X,XXX </w:t>
            </w:r>
          </w:p>
        </w:tc>
        <w:tc>
          <w:tcPr>
            <w:tcW w:w="1512" w:type="dxa"/>
            <w:shd w:val="clear" w:color="auto" w:fill="auto"/>
          </w:tcPr>
          <w:p w14:paraId="44268D6F" w14:textId="472F3533" w:rsidR="00226F12" w:rsidRPr="00993B55" w:rsidRDefault="00226F12" w:rsidP="00226F12">
            <w:pPr>
              <w:widowControl w:val="0"/>
              <w:autoSpaceDE w:val="0"/>
              <w:autoSpaceDN w:val="0"/>
              <w:adjustRightInd w:val="0"/>
              <w:jc w:val="center"/>
              <w:rPr>
                <w:color w:val="000000"/>
                <w:sz w:val="22"/>
                <w:szCs w:val="22"/>
              </w:rPr>
            </w:pPr>
            <w:r w:rsidRPr="00211E3F">
              <w:rPr>
                <w:color w:val="0000FF"/>
              </w:rPr>
              <w:t xml:space="preserve">X,XXX </w:t>
            </w:r>
          </w:p>
        </w:tc>
        <w:tc>
          <w:tcPr>
            <w:tcW w:w="1512" w:type="dxa"/>
            <w:shd w:val="clear" w:color="auto" w:fill="auto"/>
          </w:tcPr>
          <w:p w14:paraId="160CA2BC" w14:textId="289AFA33" w:rsidR="00226F12" w:rsidRPr="00993B55" w:rsidRDefault="00226F12" w:rsidP="00226F12">
            <w:pPr>
              <w:widowControl w:val="0"/>
              <w:autoSpaceDE w:val="0"/>
              <w:autoSpaceDN w:val="0"/>
              <w:adjustRightInd w:val="0"/>
              <w:jc w:val="center"/>
              <w:rPr>
                <w:color w:val="000000"/>
                <w:sz w:val="22"/>
                <w:szCs w:val="22"/>
              </w:rPr>
            </w:pPr>
            <w:r w:rsidRPr="00211E3F">
              <w:rPr>
                <w:color w:val="0000FF"/>
              </w:rPr>
              <w:t xml:space="preserve">X,XXX </w:t>
            </w:r>
          </w:p>
        </w:tc>
      </w:tr>
      <w:tr w:rsidR="00226F12" w:rsidRPr="00993B55" w14:paraId="759F948D" w14:textId="77777777" w:rsidTr="00DD3409">
        <w:trPr>
          <w:trHeight w:val="276"/>
        </w:trPr>
        <w:tc>
          <w:tcPr>
            <w:tcW w:w="1440" w:type="dxa"/>
            <w:shd w:val="clear" w:color="auto" w:fill="auto"/>
            <w:vAlign w:val="center"/>
          </w:tcPr>
          <w:p w14:paraId="0C3B0BC0" w14:textId="77777777" w:rsidR="00226F12" w:rsidRPr="00993B55" w:rsidRDefault="00226F12" w:rsidP="00226F12">
            <w:pPr>
              <w:widowControl w:val="0"/>
              <w:autoSpaceDE w:val="0"/>
              <w:autoSpaceDN w:val="0"/>
              <w:adjustRightInd w:val="0"/>
              <w:jc w:val="center"/>
              <w:rPr>
                <w:color w:val="000000"/>
                <w:sz w:val="22"/>
                <w:szCs w:val="22"/>
              </w:rPr>
            </w:pPr>
            <w:r w:rsidRPr="00993B55">
              <w:rPr>
                <w:color w:val="000000"/>
                <w:sz w:val="22"/>
                <w:szCs w:val="22"/>
              </w:rPr>
              <w:t>2</w:t>
            </w:r>
            <w:r w:rsidRPr="00993B55">
              <w:rPr>
                <w:color w:val="000000"/>
                <w:sz w:val="22"/>
                <w:szCs w:val="22"/>
                <w:vertAlign w:val="superscript"/>
              </w:rPr>
              <w:t>nd</w:t>
            </w:r>
            <w:r w:rsidRPr="00993B55">
              <w:rPr>
                <w:color w:val="000000"/>
                <w:sz w:val="22"/>
                <w:szCs w:val="22"/>
              </w:rPr>
              <w:t xml:space="preserve"> Quarter</w:t>
            </w:r>
          </w:p>
        </w:tc>
        <w:tc>
          <w:tcPr>
            <w:tcW w:w="1512" w:type="dxa"/>
            <w:shd w:val="clear" w:color="auto" w:fill="auto"/>
          </w:tcPr>
          <w:p w14:paraId="503E839D" w14:textId="5B3AB929" w:rsidR="00226F12" w:rsidRPr="00993B55" w:rsidRDefault="00226F12" w:rsidP="00226F12">
            <w:pPr>
              <w:widowControl w:val="0"/>
              <w:autoSpaceDE w:val="0"/>
              <w:autoSpaceDN w:val="0"/>
              <w:adjustRightInd w:val="0"/>
              <w:jc w:val="center"/>
              <w:rPr>
                <w:color w:val="000000"/>
                <w:sz w:val="22"/>
                <w:szCs w:val="22"/>
              </w:rPr>
            </w:pPr>
            <w:r w:rsidRPr="00211E3F">
              <w:rPr>
                <w:color w:val="0000FF"/>
              </w:rPr>
              <w:t xml:space="preserve">X,XXX </w:t>
            </w:r>
          </w:p>
        </w:tc>
        <w:tc>
          <w:tcPr>
            <w:tcW w:w="1512" w:type="dxa"/>
            <w:shd w:val="clear" w:color="auto" w:fill="auto"/>
          </w:tcPr>
          <w:p w14:paraId="094C0717" w14:textId="40822B9F" w:rsidR="00226F12" w:rsidRPr="00993B55" w:rsidRDefault="00226F12" w:rsidP="00226F12">
            <w:pPr>
              <w:widowControl w:val="0"/>
              <w:autoSpaceDE w:val="0"/>
              <w:autoSpaceDN w:val="0"/>
              <w:adjustRightInd w:val="0"/>
              <w:jc w:val="center"/>
              <w:rPr>
                <w:color w:val="000000"/>
                <w:sz w:val="22"/>
                <w:szCs w:val="22"/>
              </w:rPr>
            </w:pPr>
            <w:r w:rsidRPr="00211E3F">
              <w:rPr>
                <w:color w:val="0000FF"/>
              </w:rPr>
              <w:t xml:space="preserve">X,XXX </w:t>
            </w:r>
          </w:p>
        </w:tc>
        <w:tc>
          <w:tcPr>
            <w:tcW w:w="1656" w:type="dxa"/>
            <w:shd w:val="clear" w:color="auto" w:fill="auto"/>
          </w:tcPr>
          <w:p w14:paraId="44B8A3CB" w14:textId="68A7AE81" w:rsidR="00226F12" w:rsidRPr="00993B55" w:rsidRDefault="00226F12" w:rsidP="00226F12">
            <w:pPr>
              <w:widowControl w:val="0"/>
              <w:autoSpaceDE w:val="0"/>
              <w:autoSpaceDN w:val="0"/>
              <w:adjustRightInd w:val="0"/>
              <w:jc w:val="center"/>
              <w:rPr>
                <w:color w:val="000000"/>
                <w:sz w:val="22"/>
                <w:szCs w:val="22"/>
              </w:rPr>
            </w:pPr>
            <w:r w:rsidRPr="00211E3F">
              <w:rPr>
                <w:color w:val="0000FF"/>
              </w:rPr>
              <w:t xml:space="preserve">X,XXX </w:t>
            </w:r>
          </w:p>
        </w:tc>
        <w:tc>
          <w:tcPr>
            <w:tcW w:w="1512" w:type="dxa"/>
            <w:shd w:val="clear" w:color="auto" w:fill="auto"/>
          </w:tcPr>
          <w:p w14:paraId="7A70838D" w14:textId="4535ED89" w:rsidR="00226F12" w:rsidRPr="00993B55" w:rsidRDefault="00226F12" w:rsidP="00226F12">
            <w:pPr>
              <w:widowControl w:val="0"/>
              <w:autoSpaceDE w:val="0"/>
              <w:autoSpaceDN w:val="0"/>
              <w:adjustRightInd w:val="0"/>
              <w:jc w:val="center"/>
              <w:rPr>
                <w:color w:val="000000"/>
                <w:sz w:val="22"/>
                <w:szCs w:val="22"/>
              </w:rPr>
            </w:pPr>
            <w:r w:rsidRPr="00211E3F">
              <w:rPr>
                <w:color w:val="0000FF"/>
              </w:rPr>
              <w:t xml:space="preserve">X,XXX </w:t>
            </w:r>
          </w:p>
        </w:tc>
        <w:tc>
          <w:tcPr>
            <w:tcW w:w="1512" w:type="dxa"/>
            <w:shd w:val="clear" w:color="auto" w:fill="auto"/>
          </w:tcPr>
          <w:p w14:paraId="4973AC23" w14:textId="4922F5A3" w:rsidR="00226F12" w:rsidRPr="00993B55" w:rsidRDefault="00226F12" w:rsidP="00226F12">
            <w:pPr>
              <w:widowControl w:val="0"/>
              <w:autoSpaceDE w:val="0"/>
              <w:autoSpaceDN w:val="0"/>
              <w:adjustRightInd w:val="0"/>
              <w:jc w:val="center"/>
              <w:rPr>
                <w:color w:val="000000"/>
                <w:sz w:val="22"/>
                <w:szCs w:val="22"/>
              </w:rPr>
            </w:pPr>
            <w:r w:rsidRPr="00211E3F">
              <w:rPr>
                <w:color w:val="0000FF"/>
              </w:rPr>
              <w:t xml:space="preserve">X,XXX </w:t>
            </w:r>
          </w:p>
        </w:tc>
      </w:tr>
      <w:tr w:rsidR="000177D5" w:rsidRPr="00993B55" w14:paraId="1CBF0685" w14:textId="77777777" w:rsidTr="007F25BF">
        <w:trPr>
          <w:cantSplit/>
          <w:trHeight w:val="276"/>
        </w:trPr>
        <w:tc>
          <w:tcPr>
            <w:tcW w:w="9144" w:type="dxa"/>
            <w:gridSpan w:val="6"/>
            <w:shd w:val="clear" w:color="auto" w:fill="auto"/>
            <w:vAlign w:val="center"/>
          </w:tcPr>
          <w:p w14:paraId="0612DD43" w14:textId="77777777" w:rsidR="000177D5" w:rsidRPr="00993B55" w:rsidRDefault="000177D5" w:rsidP="007A60F3">
            <w:pPr>
              <w:widowControl w:val="0"/>
              <w:autoSpaceDE w:val="0"/>
              <w:autoSpaceDN w:val="0"/>
              <w:adjustRightInd w:val="0"/>
              <w:jc w:val="center"/>
              <w:rPr>
                <w:color w:val="000000"/>
                <w:sz w:val="22"/>
                <w:szCs w:val="22"/>
              </w:rPr>
            </w:pPr>
          </w:p>
        </w:tc>
      </w:tr>
      <w:tr w:rsidR="00226F12" w:rsidRPr="00993B55" w14:paraId="601F6F07" w14:textId="77777777" w:rsidTr="00FF1818">
        <w:trPr>
          <w:trHeight w:val="276"/>
        </w:trPr>
        <w:tc>
          <w:tcPr>
            <w:tcW w:w="1440" w:type="dxa"/>
            <w:shd w:val="clear" w:color="auto" w:fill="auto"/>
            <w:vAlign w:val="center"/>
          </w:tcPr>
          <w:p w14:paraId="6769D21D" w14:textId="77777777" w:rsidR="00226F12" w:rsidRPr="00993B55" w:rsidRDefault="00226F12" w:rsidP="00226F12">
            <w:pPr>
              <w:widowControl w:val="0"/>
              <w:autoSpaceDE w:val="0"/>
              <w:autoSpaceDN w:val="0"/>
              <w:adjustRightInd w:val="0"/>
              <w:jc w:val="center"/>
              <w:rPr>
                <w:color w:val="000000"/>
                <w:sz w:val="22"/>
                <w:szCs w:val="22"/>
                <w:vertAlign w:val="subscript"/>
              </w:rPr>
            </w:pPr>
            <w:r w:rsidRPr="00993B55">
              <w:rPr>
                <w:color w:val="000000"/>
                <w:sz w:val="22"/>
                <w:szCs w:val="22"/>
              </w:rPr>
              <w:t>PE2</w:t>
            </w:r>
          </w:p>
        </w:tc>
        <w:tc>
          <w:tcPr>
            <w:tcW w:w="1512" w:type="dxa"/>
            <w:shd w:val="clear" w:color="auto" w:fill="auto"/>
          </w:tcPr>
          <w:p w14:paraId="61AE8C68" w14:textId="6B07372C" w:rsidR="00226F12" w:rsidRPr="00993B55" w:rsidRDefault="00226F12" w:rsidP="00226F12">
            <w:pPr>
              <w:widowControl w:val="0"/>
              <w:autoSpaceDE w:val="0"/>
              <w:autoSpaceDN w:val="0"/>
              <w:adjustRightInd w:val="0"/>
              <w:jc w:val="center"/>
              <w:rPr>
                <w:color w:val="000000"/>
                <w:sz w:val="22"/>
                <w:szCs w:val="22"/>
              </w:rPr>
            </w:pPr>
            <w:r w:rsidRPr="00665356">
              <w:rPr>
                <w:color w:val="0000FF"/>
              </w:rPr>
              <w:t xml:space="preserve">X,XXX </w:t>
            </w:r>
          </w:p>
        </w:tc>
        <w:tc>
          <w:tcPr>
            <w:tcW w:w="1512" w:type="dxa"/>
            <w:shd w:val="clear" w:color="auto" w:fill="auto"/>
          </w:tcPr>
          <w:p w14:paraId="004D64E0" w14:textId="7854A454" w:rsidR="00226F12" w:rsidRPr="00993B55" w:rsidRDefault="00226F12" w:rsidP="00226F12">
            <w:pPr>
              <w:widowControl w:val="0"/>
              <w:autoSpaceDE w:val="0"/>
              <w:autoSpaceDN w:val="0"/>
              <w:adjustRightInd w:val="0"/>
              <w:jc w:val="center"/>
              <w:rPr>
                <w:color w:val="000000"/>
                <w:sz w:val="22"/>
                <w:szCs w:val="22"/>
              </w:rPr>
            </w:pPr>
            <w:r w:rsidRPr="00665356">
              <w:rPr>
                <w:color w:val="0000FF"/>
              </w:rPr>
              <w:t xml:space="preserve">X,XXX </w:t>
            </w:r>
          </w:p>
        </w:tc>
        <w:tc>
          <w:tcPr>
            <w:tcW w:w="1656" w:type="dxa"/>
            <w:shd w:val="clear" w:color="auto" w:fill="auto"/>
          </w:tcPr>
          <w:p w14:paraId="342398DA" w14:textId="497E6AE3" w:rsidR="00226F12" w:rsidRPr="00993B55" w:rsidRDefault="00226F12" w:rsidP="00226F12">
            <w:pPr>
              <w:widowControl w:val="0"/>
              <w:autoSpaceDE w:val="0"/>
              <w:autoSpaceDN w:val="0"/>
              <w:adjustRightInd w:val="0"/>
              <w:jc w:val="center"/>
              <w:rPr>
                <w:color w:val="000000"/>
                <w:sz w:val="22"/>
                <w:szCs w:val="22"/>
              </w:rPr>
            </w:pPr>
            <w:r w:rsidRPr="00665356">
              <w:rPr>
                <w:color w:val="0000FF"/>
              </w:rPr>
              <w:t xml:space="preserve">X,XXX </w:t>
            </w:r>
          </w:p>
        </w:tc>
        <w:tc>
          <w:tcPr>
            <w:tcW w:w="1512" w:type="dxa"/>
            <w:shd w:val="clear" w:color="auto" w:fill="auto"/>
          </w:tcPr>
          <w:p w14:paraId="54ABB4DE" w14:textId="10C39709" w:rsidR="00226F12" w:rsidRPr="00993B55" w:rsidRDefault="00226F12" w:rsidP="00226F12">
            <w:pPr>
              <w:widowControl w:val="0"/>
              <w:autoSpaceDE w:val="0"/>
              <w:autoSpaceDN w:val="0"/>
              <w:adjustRightInd w:val="0"/>
              <w:jc w:val="center"/>
              <w:rPr>
                <w:color w:val="000000"/>
                <w:sz w:val="22"/>
                <w:szCs w:val="22"/>
              </w:rPr>
            </w:pPr>
            <w:r w:rsidRPr="00665356">
              <w:rPr>
                <w:color w:val="0000FF"/>
              </w:rPr>
              <w:t xml:space="preserve">X,XXX </w:t>
            </w:r>
          </w:p>
        </w:tc>
        <w:tc>
          <w:tcPr>
            <w:tcW w:w="1512" w:type="dxa"/>
            <w:shd w:val="clear" w:color="auto" w:fill="auto"/>
          </w:tcPr>
          <w:p w14:paraId="5A46906C" w14:textId="7165E428" w:rsidR="00226F12" w:rsidRPr="00993B55" w:rsidRDefault="00226F12" w:rsidP="00226F12">
            <w:pPr>
              <w:widowControl w:val="0"/>
              <w:autoSpaceDE w:val="0"/>
              <w:autoSpaceDN w:val="0"/>
              <w:adjustRightInd w:val="0"/>
              <w:jc w:val="center"/>
              <w:rPr>
                <w:color w:val="000000"/>
                <w:sz w:val="22"/>
                <w:szCs w:val="22"/>
              </w:rPr>
            </w:pPr>
            <w:r w:rsidRPr="00665356">
              <w:rPr>
                <w:color w:val="0000FF"/>
              </w:rPr>
              <w:t xml:space="preserve">X,XXX </w:t>
            </w:r>
          </w:p>
        </w:tc>
      </w:tr>
      <w:tr w:rsidR="00226F12" w:rsidRPr="00993B55" w14:paraId="69BC93A2" w14:textId="77777777" w:rsidTr="00FF1818">
        <w:trPr>
          <w:trHeight w:val="276"/>
        </w:trPr>
        <w:tc>
          <w:tcPr>
            <w:tcW w:w="1440" w:type="dxa"/>
            <w:shd w:val="clear" w:color="auto" w:fill="auto"/>
            <w:vAlign w:val="center"/>
          </w:tcPr>
          <w:p w14:paraId="30F339AF" w14:textId="77777777" w:rsidR="00226F12" w:rsidRPr="00993B55" w:rsidRDefault="00226F12" w:rsidP="00226F12">
            <w:pPr>
              <w:widowControl w:val="0"/>
              <w:autoSpaceDE w:val="0"/>
              <w:autoSpaceDN w:val="0"/>
              <w:adjustRightInd w:val="0"/>
              <w:jc w:val="center"/>
              <w:rPr>
                <w:color w:val="000000"/>
                <w:sz w:val="22"/>
                <w:szCs w:val="22"/>
                <w:vertAlign w:val="subscript"/>
              </w:rPr>
            </w:pPr>
            <w:r w:rsidRPr="00993B55">
              <w:rPr>
                <w:color w:val="000000"/>
                <w:sz w:val="22"/>
                <w:szCs w:val="22"/>
              </w:rPr>
              <w:t>PE1</w:t>
            </w:r>
          </w:p>
        </w:tc>
        <w:tc>
          <w:tcPr>
            <w:tcW w:w="1512" w:type="dxa"/>
            <w:shd w:val="clear" w:color="auto" w:fill="auto"/>
          </w:tcPr>
          <w:p w14:paraId="7DF8B5C1" w14:textId="3DF65665" w:rsidR="00226F12" w:rsidRPr="00993B55" w:rsidRDefault="00226F12" w:rsidP="00226F12">
            <w:pPr>
              <w:widowControl w:val="0"/>
              <w:autoSpaceDE w:val="0"/>
              <w:autoSpaceDN w:val="0"/>
              <w:adjustRightInd w:val="0"/>
              <w:jc w:val="center"/>
              <w:rPr>
                <w:color w:val="000000"/>
                <w:sz w:val="22"/>
                <w:szCs w:val="22"/>
              </w:rPr>
            </w:pPr>
            <w:r w:rsidRPr="00665356">
              <w:rPr>
                <w:color w:val="0000FF"/>
              </w:rPr>
              <w:t xml:space="preserve">X,XXX </w:t>
            </w:r>
          </w:p>
        </w:tc>
        <w:tc>
          <w:tcPr>
            <w:tcW w:w="1512" w:type="dxa"/>
            <w:shd w:val="clear" w:color="auto" w:fill="auto"/>
          </w:tcPr>
          <w:p w14:paraId="49619C62" w14:textId="10A2E4CD" w:rsidR="00226F12" w:rsidRPr="00993B55" w:rsidRDefault="00226F12" w:rsidP="00226F12">
            <w:pPr>
              <w:widowControl w:val="0"/>
              <w:autoSpaceDE w:val="0"/>
              <w:autoSpaceDN w:val="0"/>
              <w:adjustRightInd w:val="0"/>
              <w:jc w:val="center"/>
              <w:rPr>
                <w:color w:val="000000"/>
                <w:sz w:val="22"/>
                <w:szCs w:val="22"/>
              </w:rPr>
            </w:pPr>
            <w:r w:rsidRPr="00665356">
              <w:rPr>
                <w:color w:val="0000FF"/>
              </w:rPr>
              <w:t xml:space="preserve">X,XXX </w:t>
            </w:r>
          </w:p>
        </w:tc>
        <w:tc>
          <w:tcPr>
            <w:tcW w:w="1656" w:type="dxa"/>
            <w:shd w:val="clear" w:color="auto" w:fill="auto"/>
          </w:tcPr>
          <w:p w14:paraId="40B92B67" w14:textId="0D0C93BB" w:rsidR="00226F12" w:rsidRPr="00993B55" w:rsidRDefault="00226F12" w:rsidP="00226F12">
            <w:pPr>
              <w:widowControl w:val="0"/>
              <w:autoSpaceDE w:val="0"/>
              <w:autoSpaceDN w:val="0"/>
              <w:adjustRightInd w:val="0"/>
              <w:jc w:val="center"/>
              <w:rPr>
                <w:color w:val="000000"/>
                <w:sz w:val="22"/>
                <w:szCs w:val="22"/>
              </w:rPr>
            </w:pPr>
            <w:r w:rsidRPr="00665356">
              <w:rPr>
                <w:color w:val="0000FF"/>
              </w:rPr>
              <w:t xml:space="preserve">X,XXX </w:t>
            </w:r>
          </w:p>
        </w:tc>
        <w:tc>
          <w:tcPr>
            <w:tcW w:w="1512" w:type="dxa"/>
            <w:shd w:val="clear" w:color="auto" w:fill="auto"/>
          </w:tcPr>
          <w:p w14:paraId="1AC2D30E" w14:textId="40EF9B57" w:rsidR="00226F12" w:rsidRPr="00993B55" w:rsidRDefault="00226F12" w:rsidP="00226F12">
            <w:pPr>
              <w:widowControl w:val="0"/>
              <w:autoSpaceDE w:val="0"/>
              <w:autoSpaceDN w:val="0"/>
              <w:adjustRightInd w:val="0"/>
              <w:jc w:val="center"/>
              <w:rPr>
                <w:color w:val="000000"/>
                <w:sz w:val="22"/>
                <w:szCs w:val="22"/>
              </w:rPr>
            </w:pPr>
            <w:r w:rsidRPr="00665356">
              <w:rPr>
                <w:color w:val="0000FF"/>
              </w:rPr>
              <w:t xml:space="preserve">X,XXX </w:t>
            </w:r>
          </w:p>
        </w:tc>
        <w:tc>
          <w:tcPr>
            <w:tcW w:w="1512" w:type="dxa"/>
            <w:shd w:val="clear" w:color="auto" w:fill="auto"/>
          </w:tcPr>
          <w:p w14:paraId="3F27823F" w14:textId="1E6E06C5" w:rsidR="00226F12" w:rsidRPr="00993B55" w:rsidRDefault="00226F12" w:rsidP="00226F12">
            <w:pPr>
              <w:widowControl w:val="0"/>
              <w:autoSpaceDE w:val="0"/>
              <w:autoSpaceDN w:val="0"/>
              <w:adjustRightInd w:val="0"/>
              <w:jc w:val="center"/>
              <w:rPr>
                <w:color w:val="000000"/>
                <w:sz w:val="22"/>
                <w:szCs w:val="22"/>
              </w:rPr>
            </w:pPr>
            <w:r w:rsidRPr="00665356">
              <w:rPr>
                <w:color w:val="0000FF"/>
              </w:rPr>
              <w:t xml:space="preserve">X,XXX </w:t>
            </w:r>
          </w:p>
        </w:tc>
      </w:tr>
      <w:tr w:rsidR="00226F12" w:rsidRPr="00993B55" w14:paraId="281010B0" w14:textId="77777777" w:rsidTr="00FF1818">
        <w:trPr>
          <w:trHeight w:val="276"/>
        </w:trPr>
        <w:tc>
          <w:tcPr>
            <w:tcW w:w="1440" w:type="dxa"/>
            <w:shd w:val="clear" w:color="auto" w:fill="auto"/>
            <w:vAlign w:val="center"/>
          </w:tcPr>
          <w:p w14:paraId="0278AB83" w14:textId="77777777" w:rsidR="00226F12" w:rsidRPr="00993B55" w:rsidRDefault="00226F12" w:rsidP="00226F12">
            <w:pPr>
              <w:widowControl w:val="0"/>
              <w:autoSpaceDE w:val="0"/>
              <w:autoSpaceDN w:val="0"/>
              <w:adjustRightInd w:val="0"/>
              <w:jc w:val="center"/>
              <w:rPr>
                <w:color w:val="000000"/>
                <w:sz w:val="22"/>
                <w:szCs w:val="22"/>
              </w:rPr>
            </w:pPr>
            <w:r w:rsidRPr="00993B55">
              <w:rPr>
                <w:color w:val="000000"/>
                <w:sz w:val="22"/>
                <w:szCs w:val="22"/>
              </w:rPr>
              <w:t>3</w:t>
            </w:r>
            <w:r w:rsidRPr="00993B55">
              <w:rPr>
                <w:color w:val="000000"/>
                <w:sz w:val="22"/>
                <w:szCs w:val="22"/>
                <w:vertAlign w:val="superscript"/>
              </w:rPr>
              <w:t>rd</w:t>
            </w:r>
            <w:r w:rsidRPr="00993B55">
              <w:rPr>
                <w:color w:val="000000"/>
                <w:sz w:val="22"/>
                <w:szCs w:val="22"/>
              </w:rPr>
              <w:t xml:space="preserve"> Quarter</w:t>
            </w:r>
          </w:p>
        </w:tc>
        <w:tc>
          <w:tcPr>
            <w:tcW w:w="1512" w:type="dxa"/>
            <w:shd w:val="clear" w:color="auto" w:fill="auto"/>
          </w:tcPr>
          <w:p w14:paraId="6A586527" w14:textId="4AB7D846" w:rsidR="00226F12" w:rsidRPr="00993B55" w:rsidRDefault="00226F12" w:rsidP="00226F12">
            <w:pPr>
              <w:widowControl w:val="0"/>
              <w:autoSpaceDE w:val="0"/>
              <w:autoSpaceDN w:val="0"/>
              <w:adjustRightInd w:val="0"/>
              <w:jc w:val="center"/>
              <w:rPr>
                <w:color w:val="000000"/>
                <w:sz w:val="22"/>
                <w:szCs w:val="22"/>
              </w:rPr>
            </w:pPr>
            <w:r w:rsidRPr="00665356">
              <w:rPr>
                <w:color w:val="0000FF"/>
              </w:rPr>
              <w:t xml:space="preserve">X,XXX </w:t>
            </w:r>
          </w:p>
        </w:tc>
        <w:tc>
          <w:tcPr>
            <w:tcW w:w="1512" w:type="dxa"/>
            <w:shd w:val="clear" w:color="auto" w:fill="auto"/>
          </w:tcPr>
          <w:p w14:paraId="5C2D7B96" w14:textId="5C42A5BB" w:rsidR="00226F12" w:rsidRPr="00993B55" w:rsidRDefault="00226F12" w:rsidP="00226F12">
            <w:pPr>
              <w:widowControl w:val="0"/>
              <w:autoSpaceDE w:val="0"/>
              <w:autoSpaceDN w:val="0"/>
              <w:adjustRightInd w:val="0"/>
              <w:jc w:val="center"/>
              <w:rPr>
                <w:color w:val="000000"/>
                <w:sz w:val="22"/>
                <w:szCs w:val="22"/>
              </w:rPr>
            </w:pPr>
            <w:r w:rsidRPr="00665356">
              <w:rPr>
                <w:color w:val="0000FF"/>
              </w:rPr>
              <w:t xml:space="preserve">X,XXX </w:t>
            </w:r>
          </w:p>
        </w:tc>
        <w:tc>
          <w:tcPr>
            <w:tcW w:w="1656" w:type="dxa"/>
            <w:shd w:val="clear" w:color="auto" w:fill="auto"/>
          </w:tcPr>
          <w:p w14:paraId="57EB01FB" w14:textId="37122158" w:rsidR="00226F12" w:rsidRPr="00993B55" w:rsidRDefault="00226F12" w:rsidP="00226F12">
            <w:pPr>
              <w:widowControl w:val="0"/>
              <w:autoSpaceDE w:val="0"/>
              <w:autoSpaceDN w:val="0"/>
              <w:adjustRightInd w:val="0"/>
              <w:jc w:val="center"/>
              <w:rPr>
                <w:color w:val="000000"/>
                <w:sz w:val="22"/>
                <w:szCs w:val="22"/>
              </w:rPr>
            </w:pPr>
            <w:r w:rsidRPr="00665356">
              <w:rPr>
                <w:color w:val="0000FF"/>
              </w:rPr>
              <w:t xml:space="preserve">X,XXX </w:t>
            </w:r>
          </w:p>
        </w:tc>
        <w:tc>
          <w:tcPr>
            <w:tcW w:w="1512" w:type="dxa"/>
            <w:shd w:val="clear" w:color="auto" w:fill="auto"/>
          </w:tcPr>
          <w:p w14:paraId="6DB7E7E0" w14:textId="50B03DA1" w:rsidR="00226F12" w:rsidRPr="00993B55" w:rsidRDefault="00226F12" w:rsidP="00226F12">
            <w:pPr>
              <w:widowControl w:val="0"/>
              <w:autoSpaceDE w:val="0"/>
              <w:autoSpaceDN w:val="0"/>
              <w:adjustRightInd w:val="0"/>
              <w:jc w:val="center"/>
              <w:rPr>
                <w:color w:val="000000"/>
                <w:sz w:val="22"/>
                <w:szCs w:val="22"/>
              </w:rPr>
            </w:pPr>
            <w:r w:rsidRPr="00665356">
              <w:rPr>
                <w:color w:val="0000FF"/>
              </w:rPr>
              <w:t xml:space="preserve">X,XXX </w:t>
            </w:r>
          </w:p>
        </w:tc>
        <w:tc>
          <w:tcPr>
            <w:tcW w:w="1512" w:type="dxa"/>
            <w:shd w:val="clear" w:color="auto" w:fill="auto"/>
          </w:tcPr>
          <w:p w14:paraId="43477995" w14:textId="5B57ACDE" w:rsidR="00226F12" w:rsidRPr="00993B55" w:rsidRDefault="00226F12" w:rsidP="00226F12">
            <w:pPr>
              <w:widowControl w:val="0"/>
              <w:autoSpaceDE w:val="0"/>
              <w:autoSpaceDN w:val="0"/>
              <w:adjustRightInd w:val="0"/>
              <w:jc w:val="center"/>
              <w:rPr>
                <w:color w:val="000000"/>
                <w:sz w:val="22"/>
                <w:szCs w:val="22"/>
              </w:rPr>
            </w:pPr>
            <w:r w:rsidRPr="00665356">
              <w:rPr>
                <w:color w:val="0000FF"/>
              </w:rPr>
              <w:t xml:space="preserve">X,XXX </w:t>
            </w:r>
          </w:p>
        </w:tc>
      </w:tr>
      <w:tr w:rsidR="000177D5" w:rsidRPr="00993B55" w14:paraId="083C2C46" w14:textId="77777777" w:rsidTr="007F25BF">
        <w:trPr>
          <w:cantSplit/>
          <w:trHeight w:val="276"/>
        </w:trPr>
        <w:tc>
          <w:tcPr>
            <w:tcW w:w="9144" w:type="dxa"/>
            <w:gridSpan w:val="6"/>
            <w:shd w:val="clear" w:color="auto" w:fill="auto"/>
            <w:vAlign w:val="center"/>
          </w:tcPr>
          <w:p w14:paraId="0B5CF553" w14:textId="77777777" w:rsidR="000177D5" w:rsidRPr="00993B55" w:rsidRDefault="000177D5" w:rsidP="007A60F3">
            <w:pPr>
              <w:widowControl w:val="0"/>
              <w:autoSpaceDE w:val="0"/>
              <w:autoSpaceDN w:val="0"/>
              <w:adjustRightInd w:val="0"/>
              <w:jc w:val="center"/>
              <w:rPr>
                <w:color w:val="000000"/>
                <w:sz w:val="22"/>
                <w:szCs w:val="22"/>
              </w:rPr>
            </w:pPr>
          </w:p>
        </w:tc>
      </w:tr>
      <w:tr w:rsidR="00226F12" w:rsidRPr="00993B55" w14:paraId="17EBC3C6" w14:textId="77777777" w:rsidTr="00826832">
        <w:trPr>
          <w:trHeight w:val="276"/>
        </w:trPr>
        <w:tc>
          <w:tcPr>
            <w:tcW w:w="1440" w:type="dxa"/>
            <w:shd w:val="clear" w:color="auto" w:fill="auto"/>
            <w:vAlign w:val="center"/>
          </w:tcPr>
          <w:p w14:paraId="077B38F9" w14:textId="77777777" w:rsidR="00226F12" w:rsidRPr="00993B55" w:rsidRDefault="00226F12" w:rsidP="00226F12">
            <w:pPr>
              <w:widowControl w:val="0"/>
              <w:autoSpaceDE w:val="0"/>
              <w:autoSpaceDN w:val="0"/>
              <w:adjustRightInd w:val="0"/>
              <w:jc w:val="center"/>
              <w:rPr>
                <w:color w:val="000000"/>
                <w:sz w:val="22"/>
                <w:szCs w:val="22"/>
                <w:vertAlign w:val="subscript"/>
              </w:rPr>
            </w:pPr>
            <w:r w:rsidRPr="00993B55">
              <w:rPr>
                <w:color w:val="000000"/>
                <w:sz w:val="22"/>
                <w:szCs w:val="22"/>
              </w:rPr>
              <w:t>PE2</w:t>
            </w:r>
          </w:p>
        </w:tc>
        <w:tc>
          <w:tcPr>
            <w:tcW w:w="1512" w:type="dxa"/>
            <w:shd w:val="clear" w:color="auto" w:fill="auto"/>
          </w:tcPr>
          <w:p w14:paraId="1D455D22" w14:textId="07426A79" w:rsidR="00226F12" w:rsidRPr="00993B55" w:rsidRDefault="00226F12" w:rsidP="00226F12">
            <w:pPr>
              <w:widowControl w:val="0"/>
              <w:autoSpaceDE w:val="0"/>
              <w:autoSpaceDN w:val="0"/>
              <w:adjustRightInd w:val="0"/>
              <w:jc w:val="center"/>
              <w:rPr>
                <w:color w:val="000000"/>
                <w:sz w:val="22"/>
                <w:szCs w:val="22"/>
              </w:rPr>
            </w:pPr>
            <w:r w:rsidRPr="00CE3E34">
              <w:rPr>
                <w:color w:val="0000FF"/>
              </w:rPr>
              <w:t xml:space="preserve">X,XXX </w:t>
            </w:r>
          </w:p>
        </w:tc>
        <w:tc>
          <w:tcPr>
            <w:tcW w:w="1512" w:type="dxa"/>
            <w:shd w:val="clear" w:color="auto" w:fill="auto"/>
          </w:tcPr>
          <w:p w14:paraId="0912AF6E" w14:textId="20E7966C" w:rsidR="00226F12" w:rsidRPr="00993B55" w:rsidRDefault="00226F12" w:rsidP="00226F12">
            <w:pPr>
              <w:widowControl w:val="0"/>
              <w:autoSpaceDE w:val="0"/>
              <w:autoSpaceDN w:val="0"/>
              <w:adjustRightInd w:val="0"/>
              <w:jc w:val="center"/>
              <w:rPr>
                <w:color w:val="000000"/>
                <w:sz w:val="22"/>
                <w:szCs w:val="22"/>
              </w:rPr>
            </w:pPr>
            <w:r w:rsidRPr="00CE3E34">
              <w:rPr>
                <w:color w:val="0000FF"/>
              </w:rPr>
              <w:t xml:space="preserve">X,XXX </w:t>
            </w:r>
          </w:p>
        </w:tc>
        <w:tc>
          <w:tcPr>
            <w:tcW w:w="1656" w:type="dxa"/>
            <w:shd w:val="clear" w:color="auto" w:fill="auto"/>
          </w:tcPr>
          <w:p w14:paraId="2CE0CCC7" w14:textId="1F869B46" w:rsidR="00226F12" w:rsidRPr="00993B55" w:rsidRDefault="00226F12" w:rsidP="00226F12">
            <w:pPr>
              <w:widowControl w:val="0"/>
              <w:autoSpaceDE w:val="0"/>
              <w:autoSpaceDN w:val="0"/>
              <w:adjustRightInd w:val="0"/>
              <w:jc w:val="center"/>
              <w:rPr>
                <w:color w:val="000000"/>
                <w:sz w:val="22"/>
                <w:szCs w:val="22"/>
              </w:rPr>
            </w:pPr>
            <w:r w:rsidRPr="00CE3E34">
              <w:rPr>
                <w:color w:val="0000FF"/>
              </w:rPr>
              <w:t xml:space="preserve">X,XXX </w:t>
            </w:r>
          </w:p>
        </w:tc>
        <w:tc>
          <w:tcPr>
            <w:tcW w:w="1512" w:type="dxa"/>
            <w:shd w:val="clear" w:color="auto" w:fill="auto"/>
          </w:tcPr>
          <w:p w14:paraId="471CC283" w14:textId="162978D5" w:rsidR="00226F12" w:rsidRPr="00993B55" w:rsidRDefault="00226F12" w:rsidP="00226F12">
            <w:pPr>
              <w:widowControl w:val="0"/>
              <w:autoSpaceDE w:val="0"/>
              <w:autoSpaceDN w:val="0"/>
              <w:adjustRightInd w:val="0"/>
              <w:jc w:val="center"/>
              <w:rPr>
                <w:color w:val="000000"/>
                <w:sz w:val="22"/>
                <w:szCs w:val="22"/>
              </w:rPr>
            </w:pPr>
            <w:r w:rsidRPr="00CE3E34">
              <w:rPr>
                <w:color w:val="0000FF"/>
              </w:rPr>
              <w:t xml:space="preserve">X,XXX </w:t>
            </w:r>
          </w:p>
        </w:tc>
        <w:tc>
          <w:tcPr>
            <w:tcW w:w="1512" w:type="dxa"/>
            <w:shd w:val="clear" w:color="auto" w:fill="auto"/>
          </w:tcPr>
          <w:p w14:paraId="355EFBB9" w14:textId="35874536" w:rsidR="00226F12" w:rsidRPr="00993B55" w:rsidRDefault="00226F12" w:rsidP="00226F12">
            <w:pPr>
              <w:widowControl w:val="0"/>
              <w:autoSpaceDE w:val="0"/>
              <w:autoSpaceDN w:val="0"/>
              <w:adjustRightInd w:val="0"/>
              <w:jc w:val="center"/>
              <w:rPr>
                <w:color w:val="000000"/>
                <w:sz w:val="22"/>
                <w:szCs w:val="22"/>
              </w:rPr>
            </w:pPr>
            <w:r w:rsidRPr="00CE3E34">
              <w:rPr>
                <w:color w:val="0000FF"/>
              </w:rPr>
              <w:t xml:space="preserve">X,XXX </w:t>
            </w:r>
          </w:p>
        </w:tc>
      </w:tr>
      <w:tr w:rsidR="00226F12" w:rsidRPr="00993B55" w14:paraId="41916CA0" w14:textId="77777777" w:rsidTr="00826832">
        <w:trPr>
          <w:trHeight w:val="276"/>
        </w:trPr>
        <w:tc>
          <w:tcPr>
            <w:tcW w:w="1440" w:type="dxa"/>
            <w:shd w:val="clear" w:color="auto" w:fill="auto"/>
            <w:vAlign w:val="center"/>
          </w:tcPr>
          <w:p w14:paraId="4AC2350E" w14:textId="77777777" w:rsidR="00226F12" w:rsidRPr="00993B55" w:rsidRDefault="00226F12" w:rsidP="00226F12">
            <w:pPr>
              <w:widowControl w:val="0"/>
              <w:autoSpaceDE w:val="0"/>
              <w:autoSpaceDN w:val="0"/>
              <w:adjustRightInd w:val="0"/>
              <w:jc w:val="center"/>
              <w:rPr>
                <w:color w:val="000000"/>
                <w:sz w:val="22"/>
                <w:szCs w:val="22"/>
                <w:vertAlign w:val="subscript"/>
              </w:rPr>
            </w:pPr>
            <w:r w:rsidRPr="00993B55">
              <w:rPr>
                <w:color w:val="000000"/>
                <w:sz w:val="22"/>
                <w:szCs w:val="22"/>
              </w:rPr>
              <w:t>PE1</w:t>
            </w:r>
          </w:p>
        </w:tc>
        <w:tc>
          <w:tcPr>
            <w:tcW w:w="1512" w:type="dxa"/>
            <w:shd w:val="clear" w:color="auto" w:fill="auto"/>
          </w:tcPr>
          <w:p w14:paraId="177A47C9" w14:textId="5A41EFE6" w:rsidR="00226F12" w:rsidRPr="00993B55" w:rsidRDefault="00226F12" w:rsidP="00226F12">
            <w:pPr>
              <w:widowControl w:val="0"/>
              <w:autoSpaceDE w:val="0"/>
              <w:autoSpaceDN w:val="0"/>
              <w:adjustRightInd w:val="0"/>
              <w:jc w:val="center"/>
              <w:rPr>
                <w:color w:val="000000"/>
                <w:sz w:val="22"/>
                <w:szCs w:val="22"/>
              </w:rPr>
            </w:pPr>
            <w:r w:rsidRPr="00CE3E34">
              <w:rPr>
                <w:color w:val="0000FF"/>
              </w:rPr>
              <w:t xml:space="preserve">X,XXX </w:t>
            </w:r>
          </w:p>
        </w:tc>
        <w:tc>
          <w:tcPr>
            <w:tcW w:w="1512" w:type="dxa"/>
            <w:shd w:val="clear" w:color="auto" w:fill="auto"/>
          </w:tcPr>
          <w:p w14:paraId="49209A7F" w14:textId="7C9BE00C" w:rsidR="00226F12" w:rsidRPr="00993B55" w:rsidRDefault="00226F12" w:rsidP="00226F12">
            <w:pPr>
              <w:widowControl w:val="0"/>
              <w:autoSpaceDE w:val="0"/>
              <w:autoSpaceDN w:val="0"/>
              <w:adjustRightInd w:val="0"/>
              <w:jc w:val="center"/>
              <w:rPr>
                <w:color w:val="000000"/>
                <w:sz w:val="22"/>
                <w:szCs w:val="22"/>
              </w:rPr>
            </w:pPr>
            <w:r w:rsidRPr="00CE3E34">
              <w:rPr>
                <w:color w:val="0000FF"/>
              </w:rPr>
              <w:t xml:space="preserve">X,XXX </w:t>
            </w:r>
          </w:p>
        </w:tc>
        <w:tc>
          <w:tcPr>
            <w:tcW w:w="1656" w:type="dxa"/>
            <w:shd w:val="clear" w:color="auto" w:fill="auto"/>
          </w:tcPr>
          <w:p w14:paraId="02D3E7FC" w14:textId="29567EE7" w:rsidR="00226F12" w:rsidRPr="00993B55" w:rsidRDefault="00226F12" w:rsidP="00226F12">
            <w:pPr>
              <w:widowControl w:val="0"/>
              <w:autoSpaceDE w:val="0"/>
              <w:autoSpaceDN w:val="0"/>
              <w:adjustRightInd w:val="0"/>
              <w:jc w:val="center"/>
              <w:rPr>
                <w:color w:val="000000"/>
                <w:sz w:val="22"/>
                <w:szCs w:val="22"/>
              </w:rPr>
            </w:pPr>
            <w:r w:rsidRPr="00CE3E34">
              <w:rPr>
                <w:color w:val="0000FF"/>
              </w:rPr>
              <w:t xml:space="preserve">X,XXX </w:t>
            </w:r>
          </w:p>
        </w:tc>
        <w:tc>
          <w:tcPr>
            <w:tcW w:w="1512" w:type="dxa"/>
            <w:shd w:val="clear" w:color="auto" w:fill="auto"/>
          </w:tcPr>
          <w:p w14:paraId="16776CF7" w14:textId="2A25D162" w:rsidR="00226F12" w:rsidRPr="00993B55" w:rsidRDefault="00226F12" w:rsidP="00226F12">
            <w:pPr>
              <w:widowControl w:val="0"/>
              <w:autoSpaceDE w:val="0"/>
              <w:autoSpaceDN w:val="0"/>
              <w:adjustRightInd w:val="0"/>
              <w:jc w:val="center"/>
              <w:rPr>
                <w:color w:val="000000"/>
                <w:sz w:val="22"/>
                <w:szCs w:val="22"/>
              </w:rPr>
            </w:pPr>
            <w:r w:rsidRPr="00CE3E34">
              <w:rPr>
                <w:color w:val="0000FF"/>
              </w:rPr>
              <w:t xml:space="preserve">X,XXX </w:t>
            </w:r>
          </w:p>
        </w:tc>
        <w:tc>
          <w:tcPr>
            <w:tcW w:w="1512" w:type="dxa"/>
            <w:shd w:val="clear" w:color="auto" w:fill="auto"/>
          </w:tcPr>
          <w:p w14:paraId="7E9BFEF8" w14:textId="6A6199CF" w:rsidR="00226F12" w:rsidRPr="00993B55" w:rsidRDefault="00226F12" w:rsidP="00226F12">
            <w:pPr>
              <w:widowControl w:val="0"/>
              <w:autoSpaceDE w:val="0"/>
              <w:autoSpaceDN w:val="0"/>
              <w:adjustRightInd w:val="0"/>
              <w:jc w:val="center"/>
              <w:rPr>
                <w:color w:val="000000"/>
                <w:sz w:val="22"/>
                <w:szCs w:val="22"/>
              </w:rPr>
            </w:pPr>
            <w:r w:rsidRPr="00CE3E34">
              <w:rPr>
                <w:color w:val="0000FF"/>
              </w:rPr>
              <w:t xml:space="preserve">X,XXX </w:t>
            </w:r>
          </w:p>
        </w:tc>
      </w:tr>
      <w:tr w:rsidR="00226F12" w:rsidRPr="00993B55" w14:paraId="7B336CF7" w14:textId="77777777" w:rsidTr="00826832">
        <w:trPr>
          <w:trHeight w:val="276"/>
        </w:trPr>
        <w:tc>
          <w:tcPr>
            <w:tcW w:w="1440" w:type="dxa"/>
            <w:shd w:val="clear" w:color="auto" w:fill="auto"/>
            <w:vAlign w:val="center"/>
          </w:tcPr>
          <w:p w14:paraId="03010BC6" w14:textId="77777777" w:rsidR="00226F12" w:rsidRPr="00993B55" w:rsidRDefault="00226F12" w:rsidP="00226F12">
            <w:pPr>
              <w:widowControl w:val="0"/>
              <w:autoSpaceDE w:val="0"/>
              <w:autoSpaceDN w:val="0"/>
              <w:adjustRightInd w:val="0"/>
              <w:jc w:val="center"/>
              <w:rPr>
                <w:color w:val="000000"/>
                <w:sz w:val="22"/>
                <w:szCs w:val="22"/>
              </w:rPr>
            </w:pPr>
            <w:r w:rsidRPr="00993B55">
              <w:rPr>
                <w:color w:val="000000"/>
                <w:sz w:val="22"/>
                <w:szCs w:val="22"/>
              </w:rPr>
              <w:t>4</w:t>
            </w:r>
            <w:r w:rsidRPr="00993B55">
              <w:rPr>
                <w:color w:val="000000"/>
                <w:sz w:val="22"/>
                <w:szCs w:val="22"/>
                <w:vertAlign w:val="superscript"/>
              </w:rPr>
              <w:t>th</w:t>
            </w:r>
            <w:r w:rsidRPr="00993B55">
              <w:rPr>
                <w:color w:val="000000"/>
                <w:sz w:val="22"/>
                <w:szCs w:val="22"/>
              </w:rPr>
              <w:t xml:space="preserve"> Quarter</w:t>
            </w:r>
          </w:p>
        </w:tc>
        <w:tc>
          <w:tcPr>
            <w:tcW w:w="1512" w:type="dxa"/>
            <w:shd w:val="clear" w:color="auto" w:fill="auto"/>
          </w:tcPr>
          <w:p w14:paraId="5A2D4FA5" w14:textId="61CB7759" w:rsidR="00226F12" w:rsidRPr="00993B55" w:rsidRDefault="00226F12" w:rsidP="00226F12">
            <w:pPr>
              <w:widowControl w:val="0"/>
              <w:autoSpaceDE w:val="0"/>
              <w:autoSpaceDN w:val="0"/>
              <w:adjustRightInd w:val="0"/>
              <w:jc w:val="center"/>
              <w:rPr>
                <w:color w:val="000000"/>
                <w:sz w:val="22"/>
                <w:szCs w:val="22"/>
              </w:rPr>
            </w:pPr>
            <w:r w:rsidRPr="00CE3E34">
              <w:rPr>
                <w:color w:val="0000FF"/>
              </w:rPr>
              <w:t xml:space="preserve">X,XXX </w:t>
            </w:r>
          </w:p>
        </w:tc>
        <w:tc>
          <w:tcPr>
            <w:tcW w:w="1512" w:type="dxa"/>
            <w:shd w:val="clear" w:color="auto" w:fill="auto"/>
          </w:tcPr>
          <w:p w14:paraId="175546EF" w14:textId="2AC7367F" w:rsidR="00226F12" w:rsidRPr="00993B55" w:rsidRDefault="00226F12" w:rsidP="00226F12">
            <w:pPr>
              <w:widowControl w:val="0"/>
              <w:autoSpaceDE w:val="0"/>
              <w:autoSpaceDN w:val="0"/>
              <w:adjustRightInd w:val="0"/>
              <w:jc w:val="center"/>
              <w:rPr>
                <w:color w:val="000000"/>
                <w:sz w:val="22"/>
                <w:szCs w:val="22"/>
              </w:rPr>
            </w:pPr>
            <w:r w:rsidRPr="00CE3E34">
              <w:rPr>
                <w:color w:val="0000FF"/>
              </w:rPr>
              <w:t xml:space="preserve">X,XXX </w:t>
            </w:r>
          </w:p>
        </w:tc>
        <w:tc>
          <w:tcPr>
            <w:tcW w:w="1656" w:type="dxa"/>
            <w:shd w:val="clear" w:color="auto" w:fill="auto"/>
          </w:tcPr>
          <w:p w14:paraId="3D8F0F13" w14:textId="589991CE" w:rsidR="00226F12" w:rsidRPr="00993B55" w:rsidRDefault="00226F12" w:rsidP="00226F12">
            <w:pPr>
              <w:widowControl w:val="0"/>
              <w:autoSpaceDE w:val="0"/>
              <w:autoSpaceDN w:val="0"/>
              <w:adjustRightInd w:val="0"/>
              <w:jc w:val="center"/>
              <w:rPr>
                <w:color w:val="000000"/>
                <w:sz w:val="22"/>
                <w:szCs w:val="22"/>
              </w:rPr>
            </w:pPr>
            <w:r w:rsidRPr="00CE3E34">
              <w:rPr>
                <w:color w:val="0000FF"/>
              </w:rPr>
              <w:t xml:space="preserve">X,XXX </w:t>
            </w:r>
          </w:p>
        </w:tc>
        <w:tc>
          <w:tcPr>
            <w:tcW w:w="1512" w:type="dxa"/>
            <w:shd w:val="clear" w:color="auto" w:fill="auto"/>
          </w:tcPr>
          <w:p w14:paraId="344213FC" w14:textId="781750E6" w:rsidR="00226F12" w:rsidRPr="00993B55" w:rsidRDefault="00226F12" w:rsidP="00226F12">
            <w:pPr>
              <w:widowControl w:val="0"/>
              <w:autoSpaceDE w:val="0"/>
              <w:autoSpaceDN w:val="0"/>
              <w:adjustRightInd w:val="0"/>
              <w:jc w:val="center"/>
              <w:rPr>
                <w:color w:val="000000"/>
                <w:sz w:val="22"/>
                <w:szCs w:val="22"/>
              </w:rPr>
            </w:pPr>
            <w:r w:rsidRPr="00CE3E34">
              <w:rPr>
                <w:color w:val="0000FF"/>
              </w:rPr>
              <w:t xml:space="preserve">X,XXX </w:t>
            </w:r>
          </w:p>
        </w:tc>
        <w:tc>
          <w:tcPr>
            <w:tcW w:w="1512" w:type="dxa"/>
            <w:shd w:val="clear" w:color="auto" w:fill="auto"/>
          </w:tcPr>
          <w:p w14:paraId="66057A58" w14:textId="3A1B84E2" w:rsidR="00226F12" w:rsidRPr="00993B55" w:rsidRDefault="00226F12" w:rsidP="00226F12">
            <w:pPr>
              <w:widowControl w:val="0"/>
              <w:autoSpaceDE w:val="0"/>
              <w:autoSpaceDN w:val="0"/>
              <w:adjustRightInd w:val="0"/>
              <w:jc w:val="center"/>
              <w:rPr>
                <w:color w:val="000000"/>
                <w:sz w:val="22"/>
                <w:szCs w:val="22"/>
              </w:rPr>
            </w:pPr>
            <w:r w:rsidRPr="00CE3E34">
              <w:rPr>
                <w:color w:val="0000FF"/>
              </w:rPr>
              <w:t xml:space="preserve">X,XXX </w:t>
            </w:r>
          </w:p>
        </w:tc>
      </w:tr>
    </w:tbl>
    <w:p w14:paraId="7EE82840" w14:textId="77777777" w:rsidR="000177D5" w:rsidRPr="00993B55" w:rsidRDefault="000177D5" w:rsidP="007A60F3">
      <w:pPr>
        <w:widowControl w:val="0"/>
        <w:autoSpaceDE w:val="0"/>
        <w:autoSpaceDN w:val="0"/>
        <w:adjustRightInd w:val="0"/>
        <w:ind w:left="720"/>
        <w:rPr>
          <w:color w:val="000000"/>
        </w:rPr>
      </w:pPr>
    </w:p>
    <w:p w14:paraId="2B5D2E71" w14:textId="77777777" w:rsidR="000177D5" w:rsidRPr="00993B55" w:rsidRDefault="000177D5" w:rsidP="007A60F3">
      <w:pPr>
        <w:widowControl w:val="0"/>
        <w:autoSpaceDE w:val="0"/>
        <w:autoSpaceDN w:val="0"/>
        <w:adjustRightInd w:val="0"/>
        <w:rPr>
          <w:i/>
          <w:iCs/>
          <w:color w:val="FF0000"/>
        </w:rPr>
      </w:pPr>
      <w:r w:rsidRPr="00993B55">
        <w:rPr>
          <w:i/>
          <w:iCs/>
          <w:color w:val="FF0000"/>
        </w:rPr>
        <w:t>(</w:t>
      </w:r>
      <w:r w:rsidRPr="00993B55">
        <w:rPr>
          <w:i/>
          <w:iCs/>
          <w:color w:val="FF0000"/>
          <w:u w:val="single"/>
        </w:rPr>
        <w:t>Note</w:t>
      </w:r>
      <w:r w:rsidRPr="00993B55">
        <w:rPr>
          <w:i/>
          <w:iCs/>
          <w:color w:val="FF0000"/>
        </w:rPr>
        <w:t>: For emissions units covered by a Specific Limiting Condition (SLC) use the following:)</w:t>
      </w:r>
    </w:p>
    <w:p w14:paraId="30CB5D06" w14:textId="77777777" w:rsidR="000177D5" w:rsidRPr="00993B55" w:rsidRDefault="000177D5" w:rsidP="007A60F3">
      <w:pPr>
        <w:widowControl w:val="0"/>
      </w:pPr>
    </w:p>
    <w:p w14:paraId="04BC7CF6" w14:textId="77777777" w:rsidR="000177D5" w:rsidRPr="00993B55" w:rsidRDefault="000177D5" w:rsidP="007A60F3">
      <w:pPr>
        <w:widowControl w:val="0"/>
        <w:tabs>
          <w:tab w:val="left" w:pos="1170"/>
        </w:tabs>
        <w:rPr>
          <w:snapToGrid w:val="0"/>
        </w:rPr>
      </w:pPr>
      <w:r w:rsidRPr="00993B55">
        <w:t>NEC</w:t>
      </w:r>
      <w:r w:rsidRPr="00993B55">
        <w:rPr>
          <w:vertAlign w:val="subscript"/>
        </w:rPr>
        <w:t>SLC</w:t>
      </w:r>
      <w:r w:rsidRPr="00993B55">
        <w:t xml:space="preserve"> =</w:t>
      </w:r>
      <w:r w:rsidRPr="00993B55">
        <w:tab/>
        <w:t>PE2</w:t>
      </w:r>
      <w:r w:rsidRPr="00993B55">
        <w:rPr>
          <w:vertAlign w:val="subscript"/>
        </w:rPr>
        <w:t>SLC</w:t>
      </w:r>
      <w:r w:rsidRPr="00993B55">
        <w:t xml:space="preserve"> - PE1</w:t>
      </w:r>
      <w:r w:rsidRPr="00993B55">
        <w:rPr>
          <w:vertAlign w:val="subscript"/>
        </w:rPr>
        <w:t>SLC</w:t>
      </w:r>
      <w:r w:rsidRPr="00993B55">
        <w:t xml:space="preserve">, </w:t>
      </w:r>
      <w:r w:rsidRPr="00993B55">
        <w:rPr>
          <w:snapToGrid w:val="0"/>
        </w:rPr>
        <w:t>where:</w:t>
      </w:r>
    </w:p>
    <w:p w14:paraId="4E128B4F" w14:textId="77777777" w:rsidR="000177D5" w:rsidRPr="00993B55" w:rsidRDefault="000177D5" w:rsidP="007A60F3">
      <w:pPr>
        <w:widowControl w:val="0"/>
        <w:rPr>
          <w:snapToGrid w:val="0"/>
          <w:color w:val="000000"/>
          <w:szCs w:val="18"/>
        </w:rPr>
      </w:pPr>
    </w:p>
    <w:p w14:paraId="38773A67" w14:textId="77777777" w:rsidR="000177D5" w:rsidRPr="00993B55" w:rsidRDefault="000177D5" w:rsidP="007A60F3">
      <w:pPr>
        <w:widowControl w:val="0"/>
        <w:tabs>
          <w:tab w:val="left" w:pos="1260"/>
          <w:tab w:val="left" w:pos="1530"/>
        </w:tabs>
        <w:ind w:left="360"/>
        <w:rPr>
          <w:rFonts w:cs="Arial"/>
          <w:spacing w:val="-3"/>
        </w:rPr>
      </w:pPr>
      <w:r w:rsidRPr="00993B55">
        <w:rPr>
          <w:rFonts w:cs="Arial"/>
          <w:spacing w:val="-3"/>
        </w:rPr>
        <w:t>NEC</w:t>
      </w:r>
      <w:r w:rsidRPr="00993B55">
        <w:rPr>
          <w:rFonts w:cs="Arial"/>
          <w:spacing w:val="-3"/>
          <w:vertAlign w:val="subscript"/>
        </w:rPr>
        <w:t>SLC</w:t>
      </w:r>
      <w:r w:rsidRPr="00993B55">
        <w:rPr>
          <w:rFonts w:cs="Arial"/>
          <w:spacing w:val="-3"/>
        </w:rPr>
        <w:tab/>
        <w:t>=</w:t>
      </w:r>
      <w:r w:rsidRPr="00993B55">
        <w:rPr>
          <w:rFonts w:cs="Arial"/>
          <w:spacing w:val="-3"/>
        </w:rPr>
        <w:tab/>
        <w:t>Quarterly Net Emissions Change for units covered by the SLC.</w:t>
      </w:r>
    </w:p>
    <w:p w14:paraId="5108600D" w14:textId="77777777" w:rsidR="000177D5" w:rsidRPr="00993B55" w:rsidRDefault="000177D5" w:rsidP="007A60F3">
      <w:pPr>
        <w:widowControl w:val="0"/>
        <w:tabs>
          <w:tab w:val="left" w:pos="1260"/>
          <w:tab w:val="left" w:pos="1530"/>
        </w:tabs>
        <w:ind w:left="360"/>
        <w:rPr>
          <w:rFonts w:cs="Arial"/>
          <w:spacing w:val="-3"/>
        </w:rPr>
      </w:pPr>
      <w:r w:rsidRPr="00993B55">
        <w:rPr>
          <w:rFonts w:cs="Arial"/>
          <w:spacing w:val="-3"/>
        </w:rPr>
        <w:t>PE2</w:t>
      </w:r>
      <w:r w:rsidRPr="00993B55">
        <w:rPr>
          <w:rFonts w:cs="Arial"/>
          <w:spacing w:val="-3"/>
          <w:vertAlign w:val="subscript"/>
        </w:rPr>
        <w:t>SLC</w:t>
      </w:r>
      <w:r w:rsidRPr="00993B55">
        <w:rPr>
          <w:rFonts w:cs="Arial"/>
          <w:spacing w:val="-3"/>
        </w:rPr>
        <w:tab/>
        <w:t>=</w:t>
      </w:r>
      <w:r w:rsidRPr="00993B55">
        <w:rPr>
          <w:rFonts w:cs="Arial"/>
          <w:spacing w:val="-3"/>
        </w:rPr>
        <w:tab/>
        <w:t>PE2 for all units covered by the SLC.</w:t>
      </w:r>
    </w:p>
    <w:p w14:paraId="4959BC5F" w14:textId="77777777" w:rsidR="000177D5" w:rsidRPr="00993B55" w:rsidRDefault="000177D5" w:rsidP="007A60F3">
      <w:pPr>
        <w:widowControl w:val="0"/>
        <w:tabs>
          <w:tab w:val="left" w:pos="1260"/>
          <w:tab w:val="left" w:pos="1530"/>
        </w:tabs>
        <w:autoSpaceDE w:val="0"/>
        <w:autoSpaceDN w:val="0"/>
        <w:adjustRightInd w:val="0"/>
        <w:ind w:left="360"/>
        <w:rPr>
          <w:snapToGrid w:val="0"/>
        </w:rPr>
      </w:pPr>
      <w:r w:rsidRPr="00993B55">
        <w:rPr>
          <w:rFonts w:cs="Arial"/>
          <w:spacing w:val="-3"/>
        </w:rPr>
        <w:t>PE1</w:t>
      </w:r>
      <w:r w:rsidRPr="00993B55">
        <w:rPr>
          <w:rFonts w:cs="Arial"/>
          <w:spacing w:val="-3"/>
          <w:vertAlign w:val="subscript"/>
        </w:rPr>
        <w:t>SLC</w:t>
      </w:r>
      <w:r w:rsidRPr="00993B55">
        <w:rPr>
          <w:rFonts w:cs="Arial"/>
          <w:spacing w:val="-3"/>
        </w:rPr>
        <w:t xml:space="preserve"> </w:t>
      </w:r>
      <w:r w:rsidRPr="00993B55">
        <w:rPr>
          <w:rFonts w:cs="Arial"/>
          <w:spacing w:val="-3"/>
        </w:rPr>
        <w:tab/>
        <w:t>=</w:t>
      </w:r>
      <w:r w:rsidRPr="00993B55">
        <w:rPr>
          <w:rFonts w:cs="Arial"/>
          <w:spacing w:val="-3"/>
        </w:rPr>
        <w:tab/>
      </w:r>
      <w:r w:rsidRPr="00993B55">
        <w:rPr>
          <w:snapToGrid w:val="0"/>
        </w:rPr>
        <w:t xml:space="preserve">PE1 </w:t>
      </w:r>
      <w:r w:rsidRPr="00993B55">
        <w:rPr>
          <w:rFonts w:cs="Arial"/>
          <w:spacing w:val="-3"/>
        </w:rPr>
        <w:t>for all units covered by the SLC</w:t>
      </w:r>
      <w:r w:rsidRPr="00993B55">
        <w:rPr>
          <w:snapToGrid w:val="0"/>
        </w:rPr>
        <w:t>.</w:t>
      </w:r>
    </w:p>
    <w:p w14:paraId="129C66B3" w14:textId="77777777" w:rsidR="000177D5" w:rsidRPr="00993B55" w:rsidRDefault="000177D5" w:rsidP="007A60F3">
      <w:pPr>
        <w:widowControl w:val="0"/>
        <w:tabs>
          <w:tab w:val="left" w:pos="1260"/>
          <w:tab w:val="left" w:pos="1530"/>
        </w:tabs>
        <w:autoSpaceDE w:val="0"/>
        <w:autoSpaceDN w:val="0"/>
        <w:adjustRightInd w:val="0"/>
        <w:ind w:left="360"/>
        <w:rPr>
          <w:bCs/>
          <w:snapToGrid w:val="0"/>
          <w:color w:val="000000"/>
        </w:rPr>
      </w:pPr>
    </w:p>
    <w:p w14:paraId="151CA0DF" w14:textId="77777777" w:rsidR="000177D5" w:rsidRPr="00993B55" w:rsidRDefault="000177D5" w:rsidP="007A60F3">
      <w:pPr>
        <w:widowControl w:val="0"/>
        <w:jc w:val="left"/>
        <w:rPr>
          <w:bCs/>
          <w:snapToGrid w:val="0"/>
          <w:color w:val="000000"/>
        </w:rPr>
      </w:pPr>
      <w:r w:rsidRPr="00993B55">
        <w:rPr>
          <w:bCs/>
          <w:snapToGrid w:val="0"/>
          <w:color w:val="000000"/>
        </w:rPr>
        <w:br w:type="page"/>
      </w:r>
    </w:p>
    <w:p w14:paraId="06543533" w14:textId="77777777" w:rsidR="000177D5" w:rsidRPr="00993B55" w:rsidRDefault="000177D5" w:rsidP="007A60F3">
      <w:pPr>
        <w:widowControl w:val="0"/>
        <w:rPr>
          <w:bCs/>
          <w:color w:val="000000"/>
        </w:rPr>
      </w:pPr>
    </w:p>
    <w:p w14:paraId="6789A31E" w14:textId="77777777" w:rsidR="000177D5" w:rsidRPr="00993B55" w:rsidRDefault="000177D5" w:rsidP="007A60F3">
      <w:pPr>
        <w:widowControl w:val="0"/>
        <w:rPr>
          <w:color w:val="000000"/>
        </w:rPr>
      </w:pPr>
    </w:p>
    <w:p w14:paraId="26439B94" w14:textId="77777777" w:rsidR="000177D5" w:rsidRPr="00993B55" w:rsidRDefault="000177D5" w:rsidP="007A60F3">
      <w:pPr>
        <w:widowControl w:val="0"/>
        <w:rPr>
          <w:color w:val="000000"/>
        </w:rPr>
      </w:pPr>
    </w:p>
    <w:p w14:paraId="0AB442E7" w14:textId="77777777" w:rsidR="000177D5" w:rsidRPr="00993B55" w:rsidRDefault="000177D5" w:rsidP="007A60F3">
      <w:pPr>
        <w:widowControl w:val="0"/>
        <w:rPr>
          <w:color w:val="000000"/>
        </w:rPr>
      </w:pPr>
    </w:p>
    <w:p w14:paraId="40774BFE" w14:textId="77777777" w:rsidR="000177D5" w:rsidRPr="00993B55" w:rsidRDefault="000177D5" w:rsidP="007A60F3">
      <w:pPr>
        <w:widowControl w:val="0"/>
        <w:rPr>
          <w:color w:val="000000"/>
        </w:rPr>
      </w:pPr>
    </w:p>
    <w:p w14:paraId="3BAB3254" w14:textId="77777777" w:rsidR="000177D5" w:rsidRPr="00993B55" w:rsidRDefault="000177D5" w:rsidP="007A60F3">
      <w:pPr>
        <w:widowControl w:val="0"/>
        <w:rPr>
          <w:color w:val="000000"/>
        </w:rPr>
      </w:pPr>
    </w:p>
    <w:p w14:paraId="31B69F4D" w14:textId="77777777" w:rsidR="000177D5" w:rsidRPr="00993B55" w:rsidRDefault="000177D5" w:rsidP="007A60F3">
      <w:pPr>
        <w:widowControl w:val="0"/>
        <w:rPr>
          <w:color w:val="000000"/>
        </w:rPr>
      </w:pPr>
    </w:p>
    <w:p w14:paraId="460A1E32" w14:textId="77777777" w:rsidR="000177D5" w:rsidRPr="00993B55" w:rsidRDefault="000177D5" w:rsidP="007A60F3">
      <w:pPr>
        <w:widowControl w:val="0"/>
        <w:rPr>
          <w:color w:val="000000"/>
        </w:rPr>
      </w:pPr>
    </w:p>
    <w:p w14:paraId="0D353A1C" w14:textId="77777777" w:rsidR="000177D5" w:rsidRPr="00993B55" w:rsidRDefault="000177D5" w:rsidP="007A60F3">
      <w:pPr>
        <w:widowControl w:val="0"/>
        <w:rPr>
          <w:color w:val="000000"/>
        </w:rPr>
      </w:pPr>
    </w:p>
    <w:p w14:paraId="4E0304C2" w14:textId="77777777" w:rsidR="000177D5" w:rsidRPr="00993B55" w:rsidRDefault="000177D5" w:rsidP="007A60F3">
      <w:pPr>
        <w:widowControl w:val="0"/>
        <w:rPr>
          <w:color w:val="000000"/>
        </w:rPr>
      </w:pPr>
    </w:p>
    <w:p w14:paraId="64DA7658" w14:textId="77777777" w:rsidR="000177D5" w:rsidRPr="00993B55" w:rsidRDefault="000177D5" w:rsidP="007A60F3">
      <w:pPr>
        <w:widowControl w:val="0"/>
        <w:rPr>
          <w:color w:val="000000"/>
        </w:rPr>
      </w:pPr>
    </w:p>
    <w:p w14:paraId="2BFAEF14" w14:textId="69C0D149" w:rsidR="000177D5" w:rsidRPr="00993B55" w:rsidRDefault="000177D5" w:rsidP="007A60F3">
      <w:pPr>
        <w:widowControl w:val="0"/>
        <w:jc w:val="center"/>
        <w:rPr>
          <w:b/>
          <w:bCs/>
          <w:sz w:val="32"/>
        </w:rPr>
      </w:pPr>
      <w:r w:rsidRPr="00993B55">
        <w:rPr>
          <w:b/>
          <w:bCs/>
          <w:sz w:val="32"/>
        </w:rPr>
        <w:t xml:space="preserve">APPENDIX </w:t>
      </w:r>
      <w:r w:rsidR="00163B71" w:rsidRPr="006118C3">
        <w:rPr>
          <w:b/>
          <w:bCs/>
          <w:color w:val="0000FF"/>
          <w:sz w:val="32"/>
        </w:rPr>
        <w:t>D</w:t>
      </w:r>
    </w:p>
    <w:p w14:paraId="54B29553" w14:textId="77777777" w:rsidR="000177D5" w:rsidRPr="00993B55" w:rsidRDefault="000177D5" w:rsidP="007A60F3">
      <w:pPr>
        <w:widowControl w:val="0"/>
        <w:jc w:val="center"/>
        <w:rPr>
          <w:b/>
          <w:bCs/>
          <w:sz w:val="28"/>
        </w:rPr>
      </w:pPr>
      <w:r w:rsidRPr="00993B55">
        <w:rPr>
          <w:b/>
          <w:bCs/>
          <w:sz w:val="28"/>
        </w:rPr>
        <w:t>ERC Withdrawal Calculations</w:t>
      </w:r>
    </w:p>
    <w:p w14:paraId="621780CB" w14:textId="77777777" w:rsidR="000177D5" w:rsidRPr="00993B55" w:rsidRDefault="000177D5" w:rsidP="007A60F3">
      <w:pPr>
        <w:widowControl w:val="0"/>
        <w:tabs>
          <w:tab w:val="left" w:pos="1260"/>
          <w:tab w:val="left" w:pos="1530"/>
        </w:tabs>
        <w:autoSpaceDE w:val="0"/>
        <w:autoSpaceDN w:val="0"/>
        <w:adjustRightInd w:val="0"/>
        <w:ind w:left="360"/>
        <w:rPr>
          <w:bCs/>
          <w:i/>
          <w:color w:val="FF0000"/>
        </w:rPr>
      </w:pPr>
      <w:r w:rsidRPr="00993B55">
        <w:rPr>
          <w:bCs/>
        </w:rPr>
        <w:br w:type="page"/>
      </w:r>
      <w:r w:rsidRPr="00993B55">
        <w:rPr>
          <w:bCs/>
          <w:i/>
          <w:color w:val="FF0000"/>
        </w:rPr>
        <w:lastRenderedPageBreak/>
        <w:t>The purpose of this Appendix is to have the ATC permitting engineer perform the ERC withdrawal calculations under the ATC engineering evaluation. In order to streamline the ERC withdrawal process, this Appendix will be included as an attachment to the ERC Withdrawal application review.</w:t>
      </w:r>
    </w:p>
    <w:p w14:paraId="3AB4DE50" w14:textId="77777777" w:rsidR="000177D5" w:rsidRPr="00993B55" w:rsidRDefault="000177D5" w:rsidP="007A60F3">
      <w:pPr>
        <w:widowControl w:val="0"/>
        <w:tabs>
          <w:tab w:val="left" w:pos="1260"/>
          <w:tab w:val="left" w:pos="1530"/>
        </w:tabs>
        <w:autoSpaceDE w:val="0"/>
        <w:autoSpaceDN w:val="0"/>
        <w:adjustRightInd w:val="0"/>
        <w:ind w:left="360"/>
        <w:rPr>
          <w:bCs/>
          <w:i/>
          <w:color w:val="FF0000"/>
        </w:rPr>
      </w:pPr>
    </w:p>
    <w:p w14:paraId="47C1727D" w14:textId="4724CB08" w:rsidR="000177D5" w:rsidRPr="00993B55" w:rsidRDefault="000177D5" w:rsidP="007A60F3">
      <w:pPr>
        <w:widowControl w:val="0"/>
        <w:tabs>
          <w:tab w:val="left" w:pos="1260"/>
          <w:tab w:val="left" w:pos="1530"/>
        </w:tabs>
        <w:autoSpaceDE w:val="0"/>
        <w:autoSpaceDN w:val="0"/>
        <w:adjustRightInd w:val="0"/>
        <w:ind w:left="360"/>
        <w:rPr>
          <w:bCs/>
          <w:i/>
          <w:color w:val="FF0000"/>
        </w:rPr>
      </w:pPr>
      <w:r w:rsidRPr="00993B55">
        <w:rPr>
          <w:bCs/>
          <w:i/>
          <w:color w:val="FF0000"/>
        </w:rPr>
        <w:t>Note: See Section 4.</w:t>
      </w:r>
      <w:r w:rsidR="00646948">
        <w:rPr>
          <w:bCs/>
          <w:i/>
          <w:color w:val="FF0000"/>
        </w:rPr>
        <w:t>9</w:t>
      </w:r>
      <w:r w:rsidRPr="00993B55">
        <w:rPr>
          <w:bCs/>
          <w:i/>
          <w:color w:val="FF0000"/>
        </w:rPr>
        <w:t xml:space="preserve"> of Rule 2201 for the appropriate Distance Offset Ratio for the project.</w:t>
      </w:r>
    </w:p>
    <w:p w14:paraId="6351ED90" w14:textId="77777777" w:rsidR="000177D5" w:rsidRPr="00993B55" w:rsidRDefault="000177D5" w:rsidP="007A60F3">
      <w:pPr>
        <w:widowControl w:val="0"/>
        <w:ind w:left="360"/>
        <w:rPr>
          <w:i/>
          <w:iCs/>
          <w:color w:val="FF0000"/>
        </w:rPr>
      </w:pPr>
    </w:p>
    <w:p w14:paraId="5913AA71" w14:textId="002BB6EC" w:rsidR="000177D5" w:rsidRPr="00993B55" w:rsidRDefault="000177D5" w:rsidP="007A60F3">
      <w:pPr>
        <w:widowControl w:val="0"/>
        <w:ind w:left="360"/>
        <w:rPr>
          <w:i/>
          <w:iCs/>
          <w:color w:val="FF0000"/>
        </w:rPr>
      </w:pPr>
      <w:r w:rsidRPr="00993B55">
        <w:rPr>
          <w:i/>
          <w:iCs/>
          <w:color w:val="FF0000"/>
        </w:rPr>
        <w:t>The examples shown below are for simple ERC withdrawals where the proposed certificate has enough credits available in each quarter to fully satisfy the offset requirements of the project.  Please refer to Section 4.1</w:t>
      </w:r>
      <w:r w:rsidR="006552FA">
        <w:rPr>
          <w:i/>
          <w:iCs/>
          <w:color w:val="FF0000"/>
        </w:rPr>
        <w:t>4.</w:t>
      </w:r>
      <w:r w:rsidRPr="00993B55">
        <w:rPr>
          <w:i/>
          <w:iCs/>
          <w:color w:val="FF0000"/>
        </w:rPr>
        <w:t>3 of Rule 2201 for any facility proposing to utilize inter-pollutant offsets or transfer credits from one quarter to another.  Adjust presentation accordingly based on the project.</w:t>
      </w:r>
    </w:p>
    <w:p w14:paraId="627E97ED" w14:textId="77777777" w:rsidR="000177D5" w:rsidRPr="00993B55" w:rsidRDefault="000177D5" w:rsidP="007A60F3">
      <w:pPr>
        <w:widowControl w:val="0"/>
        <w:ind w:left="360"/>
      </w:pPr>
    </w:p>
    <w:p w14:paraId="2D974800" w14:textId="77777777" w:rsidR="000177D5" w:rsidRPr="00993B55" w:rsidRDefault="000177D5" w:rsidP="007A60F3">
      <w:pPr>
        <w:widowControl w:val="0"/>
        <w:ind w:left="360"/>
      </w:pPr>
      <w:r w:rsidRPr="00993B55">
        <w:rPr>
          <w:bCs/>
          <w:i/>
          <w:snapToGrid w:val="0"/>
          <w:color w:val="FF0000"/>
        </w:rPr>
        <w:t xml:space="preserve">If project requires offsets for other pollutants, add additional tables as appropriate.  Otherwise, delete unnecessary tables.  </w:t>
      </w:r>
    </w:p>
    <w:p w14:paraId="1FB1E6DE" w14:textId="77777777" w:rsidR="000177D5" w:rsidRPr="00993B55" w:rsidRDefault="000177D5" w:rsidP="007A60F3">
      <w:pPr>
        <w:widowControl w:val="0"/>
        <w:ind w:left="720"/>
      </w:pPr>
    </w:p>
    <w:tbl>
      <w:tblPr>
        <w:tblW w:w="1009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3"/>
        <w:gridCol w:w="1620"/>
        <w:gridCol w:w="1620"/>
        <w:gridCol w:w="1710"/>
        <w:gridCol w:w="1603"/>
      </w:tblGrid>
      <w:tr w:rsidR="000177D5" w:rsidRPr="00993B55" w14:paraId="193B8E83" w14:textId="77777777" w:rsidTr="00B06795">
        <w:trPr>
          <w:trHeight w:val="197"/>
        </w:trPr>
        <w:tc>
          <w:tcPr>
            <w:tcW w:w="3543" w:type="dxa"/>
            <w:shd w:val="clear" w:color="auto" w:fill="D9D9D9" w:themeFill="background1" w:themeFillShade="D9"/>
            <w:vAlign w:val="center"/>
          </w:tcPr>
          <w:p w14:paraId="06F29557" w14:textId="13902E50" w:rsidR="000177D5" w:rsidRPr="00993B55" w:rsidRDefault="000177D5" w:rsidP="007A60F3">
            <w:pPr>
              <w:widowControl w:val="0"/>
              <w:jc w:val="center"/>
              <w:rPr>
                <w:b/>
                <w:sz w:val="22"/>
              </w:rPr>
            </w:pPr>
            <w:r w:rsidRPr="00993B55">
              <w:rPr>
                <w:b/>
                <w:sz w:val="22"/>
              </w:rPr>
              <w:t>NO</w:t>
            </w:r>
            <w:r w:rsidR="00B650AE">
              <w:rPr>
                <w:b/>
                <w:sz w:val="22"/>
              </w:rPr>
              <w:t>x</w:t>
            </w:r>
          </w:p>
        </w:tc>
        <w:tc>
          <w:tcPr>
            <w:tcW w:w="1620" w:type="dxa"/>
            <w:shd w:val="clear" w:color="auto" w:fill="D9D9D9" w:themeFill="background1" w:themeFillShade="D9"/>
            <w:vAlign w:val="center"/>
          </w:tcPr>
          <w:p w14:paraId="2357D10C" w14:textId="77777777" w:rsidR="000177D5" w:rsidRPr="00993B55" w:rsidRDefault="000177D5" w:rsidP="007A60F3">
            <w:pPr>
              <w:widowControl w:val="0"/>
              <w:jc w:val="center"/>
              <w:rPr>
                <w:b/>
                <w:sz w:val="22"/>
              </w:rPr>
            </w:pPr>
            <w:r w:rsidRPr="00993B55">
              <w:rPr>
                <w:b/>
                <w:sz w:val="22"/>
              </w:rPr>
              <w:t>1</w:t>
            </w:r>
            <w:r w:rsidRPr="00993B55">
              <w:rPr>
                <w:b/>
                <w:sz w:val="22"/>
                <w:vertAlign w:val="superscript"/>
              </w:rPr>
              <w:t>st</w:t>
            </w:r>
            <w:r w:rsidRPr="00993B55">
              <w:rPr>
                <w:b/>
                <w:sz w:val="22"/>
              </w:rPr>
              <w:t xml:space="preserve"> Quarter (lb)</w:t>
            </w:r>
          </w:p>
        </w:tc>
        <w:tc>
          <w:tcPr>
            <w:tcW w:w="1620" w:type="dxa"/>
            <w:shd w:val="clear" w:color="auto" w:fill="D9D9D9" w:themeFill="background1" w:themeFillShade="D9"/>
            <w:vAlign w:val="center"/>
          </w:tcPr>
          <w:p w14:paraId="7AFB73CD" w14:textId="77777777" w:rsidR="000177D5" w:rsidRPr="00993B55" w:rsidRDefault="000177D5" w:rsidP="007A60F3">
            <w:pPr>
              <w:widowControl w:val="0"/>
              <w:jc w:val="center"/>
              <w:rPr>
                <w:b/>
                <w:sz w:val="22"/>
              </w:rPr>
            </w:pPr>
            <w:r w:rsidRPr="00993B55">
              <w:rPr>
                <w:b/>
                <w:sz w:val="22"/>
              </w:rPr>
              <w:t>2</w:t>
            </w:r>
            <w:r w:rsidRPr="00993B55">
              <w:rPr>
                <w:b/>
                <w:sz w:val="22"/>
                <w:vertAlign w:val="superscript"/>
              </w:rPr>
              <w:t>nd</w:t>
            </w:r>
            <w:r w:rsidRPr="00993B55">
              <w:rPr>
                <w:b/>
                <w:sz w:val="22"/>
              </w:rPr>
              <w:t xml:space="preserve"> Quarter (lb)</w:t>
            </w:r>
          </w:p>
        </w:tc>
        <w:tc>
          <w:tcPr>
            <w:tcW w:w="1710" w:type="dxa"/>
            <w:shd w:val="clear" w:color="auto" w:fill="D9D9D9" w:themeFill="background1" w:themeFillShade="D9"/>
            <w:vAlign w:val="center"/>
          </w:tcPr>
          <w:p w14:paraId="1B967364" w14:textId="77777777" w:rsidR="000177D5" w:rsidRPr="00993B55" w:rsidRDefault="000177D5" w:rsidP="007A60F3">
            <w:pPr>
              <w:widowControl w:val="0"/>
              <w:jc w:val="center"/>
              <w:rPr>
                <w:b/>
                <w:sz w:val="22"/>
              </w:rPr>
            </w:pPr>
            <w:r w:rsidRPr="00993B55">
              <w:rPr>
                <w:b/>
                <w:sz w:val="22"/>
              </w:rPr>
              <w:t>3</w:t>
            </w:r>
            <w:r w:rsidRPr="00993B55">
              <w:rPr>
                <w:b/>
                <w:sz w:val="22"/>
                <w:vertAlign w:val="superscript"/>
              </w:rPr>
              <w:t>rd</w:t>
            </w:r>
            <w:r w:rsidRPr="00993B55">
              <w:rPr>
                <w:b/>
                <w:sz w:val="22"/>
              </w:rPr>
              <w:t xml:space="preserve"> Quarter (lb)</w:t>
            </w:r>
          </w:p>
        </w:tc>
        <w:tc>
          <w:tcPr>
            <w:tcW w:w="1603" w:type="dxa"/>
            <w:shd w:val="clear" w:color="auto" w:fill="D9D9D9" w:themeFill="background1" w:themeFillShade="D9"/>
            <w:vAlign w:val="center"/>
          </w:tcPr>
          <w:p w14:paraId="75D576CD" w14:textId="77777777" w:rsidR="000177D5" w:rsidRPr="00993B55" w:rsidRDefault="000177D5" w:rsidP="007A60F3">
            <w:pPr>
              <w:widowControl w:val="0"/>
              <w:jc w:val="center"/>
              <w:rPr>
                <w:b/>
                <w:sz w:val="22"/>
              </w:rPr>
            </w:pPr>
            <w:r w:rsidRPr="00993B55">
              <w:rPr>
                <w:b/>
                <w:sz w:val="22"/>
              </w:rPr>
              <w:t>4</w:t>
            </w:r>
            <w:r w:rsidRPr="00993B55">
              <w:rPr>
                <w:b/>
                <w:sz w:val="22"/>
                <w:vertAlign w:val="superscript"/>
              </w:rPr>
              <w:t>th</w:t>
            </w:r>
            <w:r w:rsidRPr="00993B55">
              <w:rPr>
                <w:b/>
                <w:sz w:val="22"/>
              </w:rPr>
              <w:t xml:space="preserve"> Quarter (lb)</w:t>
            </w:r>
          </w:p>
        </w:tc>
      </w:tr>
      <w:tr w:rsidR="0071607F" w:rsidRPr="00993B55" w14:paraId="482F6E02" w14:textId="77777777" w:rsidTr="0071607F">
        <w:trPr>
          <w:trHeight w:val="135"/>
        </w:trPr>
        <w:tc>
          <w:tcPr>
            <w:tcW w:w="3543" w:type="dxa"/>
            <w:vAlign w:val="center"/>
          </w:tcPr>
          <w:p w14:paraId="1CD6EAC5" w14:textId="529F198C" w:rsidR="0071607F" w:rsidRPr="00993B55" w:rsidRDefault="0071607F" w:rsidP="0071607F">
            <w:pPr>
              <w:widowControl w:val="0"/>
              <w:jc w:val="center"/>
              <w:rPr>
                <w:sz w:val="22"/>
              </w:rPr>
            </w:pPr>
            <w:r w:rsidRPr="00993B55">
              <w:rPr>
                <w:sz w:val="22"/>
              </w:rPr>
              <w:t xml:space="preserve">ERC </w:t>
            </w:r>
            <w:r w:rsidRPr="0071607F">
              <w:rPr>
                <w:color w:val="0000FF"/>
                <w:sz w:val="22"/>
              </w:rPr>
              <w:t>X-XXXX</w:t>
            </w:r>
            <w:r w:rsidRPr="00993B55">
              <w:rPr>
                <w:sz w:val="22"/>
              </w:rPr>
              <w:t>-2</w:t>
            </w:r>
          </w:p>
        </w:tc>
        <w:tc>
          <w:tcPr>
            <w:tcW w:w="1620" w:type="dxa"/>
            <w:shd w:val="clear" w:color="auto" w:fill="auto"/>
            <w:vAlign w:val="center"/>
          </w:tcPr>
          <w:p w14:paraId="7BF93D5D" w14:textId="318F0CCB" w:rsidR="0071607F" w:rsidRPr="00993B55" w:rsidRDefault="0071607F" w:rsidP="0071607F">
            <w:pPr>
              <w:widowControl w:val="0"/>
              <w:jc w:val="center"/>
              <w:rPr>
                <w:sz w:val="22"/>
              </w:rPr>
            </w:pPr>
            <w:r w:rsidRPr="004126FE">
              <w:rPr>
                <w:color w:val="0000FF"/>
              </w:rPr>
              <w:t>X,XXX</w:t>
            </w:r>
          </w:p>
        </w:tc>
        <w:tc>
          <w:tcPr>
            <w:tcW w:w="1620" w:type="dxa"/>
            <w:shd w:val="clear" w:color="auto" w:fill="auto"/>
            <w:vAlign w:val="center"/>
          </w:tcPr>
          <w:p w14:paraId="23B402A9" w14:textId="57EA8C01" w:rsidR="0071607F" w:rsidRPr="00993B55" w:rsidRDefault="0071607F" w:rsidP="0071607F">
            <w:pPr>
              <w:widowControl w:val="0"/>
              <w:jc w:val="center"/>
              <w:rPr>
                <w:sz w:val="22"/>
              </w:rPr>
            </w:pPr>
            <w:r w:rsidRPr="004126FE">
              <w:rPr>
                <w:color w:val="0000FF"/>
              </w:rPr>
              <w:t>X,XXX</w:t>
            </w:r>
          </w:p>
        </w:tc>
        <w:tc>
          <w:tcPr>
            <w:tcW w:w="1710" w:type="dxa"/>
            <w:shd w:val="clear" w:color="auto" w:fill="auto"/>
            <w:vAlign w:val="center"/>
          </w:tcPr>
          <w:p w14:paraId="4BD6DA32" w14:textId="5C09EE69" w:rsidR="0071607F" w:rsidRPr="00993B55" w:rsidRDefault="0071607F" w:rsidP="0071607F">
            <w:pPr>
              <w:widowControl w:val="0"/>
              <w:jc w:val="center"/>
              <w:rPr>
                <w:sz w:val="22"/>
              </w:rPr>
            </w:pPr>
            <w:r w:rsidRPr="004126FE">
              <w:rPr>
                <w:color w:val="0000FF"/>
              </w:rPr>
              <w:t>X,XXX</w:t>
            </w:r>
          </w:p>
        </w:tc>
        <w:tc>
          <w:tcPr>
            <w:tcW w:w="1603" w:type="dxa"/>
            <w:shd w:val="clear" w:color="auto" w:fill="auto"/>
            <w:vAlign w:val="center"/>
          </w:tcPr>
          <w:p w14:paraId="0C7D90FA" w14:textId="040C0924" w:rsidR="0071607F" w:rsidRPr="00993B55" w:rsidRDefault="0071607F" w:rsidP="0071607F">
            <w:pPr>
              <w:widowControl w:val="0"/>
              <w:jc w:val="center"/>
              <w:rPr>
                <w:sz w:val="22"/>
              </w:rPr>
            </w:pPr>
            <w:r w:rsidRPr="004126FE">
              <w:rPr>
                <w:color w:val="0000FF"/>
              </w:rPr>
              <w:t>X,XXX</w:t>
            </w:r>
          </w:p>
        </w:tc>
      </w:tr>
      <w:tr w:rsidR="0071607F" w:rsidRPr="00993B55" w14:paraId="288DA1FF" w14:textId="77777777" w:rsidTr="0071607F">
        <w:trPr>
          <w:trHeight w:val="135"/>
        </w:trPr>
        <w:tc>
          <w:tcPr>
            <w:tcW w:w="3543" w:type="dxa"/>
            <w:vAlign w:val="center"/>
          </w:tcPr>
          <w:p w14:paraId="5E9C1C7D" w14:textId="77777777" w:rsidR="0071607F" w:rsidRPr="00993B55" w:rsidRDefault="0071607F" w:rsidP="0071607F">
            <w:pPr>
              <w:widowControl w:val="0"/>
              <w:jc w:val="center"/>
              <w:rPr>
                <w:sz w:val="22"/>
              </w:rPr>
            </w:pPr>
            <w:r w:rsidRPr="00993B55">
              <w:rPr>
                <w:sz w:val="22"/>
              </w:rPr>
              <w:t>Offsets Required</w:t>
            </w:r>
          </w:p>
          <w:p w14:paraId="25FDD87B" w14:textId="77777777" w:rsidR="0071607F" w:rsidRPr="00993B55" w:rsidRDefault="0071607F" w:rsidP="0071607F">
            <w:pPr>
              <w:widowControl w:val="0"/>
              <w:jc w:val="center"/>
              <w:rPr>
                <w:sz w:val="22"/>
              </w:rPr>
            </w:pPr>
            <w:r w:rsidRPr="00993B55">
              <w:rPr>
                <w:sz w:val="22"/>
              </w:rPr>
              <w:t>(Includes distance offset ratio)</w:t>
            </w:r>
          </w:p>
        </w:tc>
        <w:tc>
          <w:tcPr>
            <w:tcW w:w="1620" w:type="dxa"/>
            <w:shd w:val="clear" w:color="auto" w:fill="auto"/>
            <w:vAlign w:val="center"/>
          </w:tcPr>
          <w:p w14:paraId="16669DD5" w14:textId="5CC75922" w:rsidR="0071607F" w:rsidRPr="00993B55" w:rsidRDefault="0071607F" w:rsidP="0071607F">
            <w:pPr>
              <w:widowControl w:val="0"/>
              <w:jc w:val="center"/>
              <w:rPr>
                <w:sz w:val="22"/>
              </w:rPr>
            </w:pPr>
            <w:r w:rsidRPr="004126FE">
              <w:rPr>
                <w:color w:val="0000FF"/>
              </w:rPr>
              <w:t>X,XXX</w:t>
            </w:r>
          </w:p>
        </w:tc>
        <w:tc>
          <w:tcPr>
            <w:tcW w:w="1620" w:type="dxa"/>
            <w:shd w:val="clear" w:color="auto" w:fill="auto"/>
            <w:vAlign w:val="center"/>
          </w:tcPr>
          <w:p w14:paraId="79C1C23A" w14:textId="66B349E3" w:rsidR="0071607F" w:rsidRPr="00993B55" w:rsidRDefault="0071607F" w:rsidP="0071607F">
            <w:pPr>
              <w:widowControl w:val="0"/>
              <w:jc w:val="center"/>
              <w:rPr>
                <w:sz w:val="22"/>
              </w:rPr>
            </w:pPr>
            <w:r w:rsidRPr="004126FE">
              <w:rPr>
                <w:color w:val="0000FF"/>
              </w:rPr>
              <w:t>X,XXX</w:t>
            </w:r>
          </w:p>
        </w:tc>
        <w:tc>
          <w:tcPr>
            <w:tcW w:w="1710" w:type="dxa"/>
            <w:shd w:val="clear" w:color="auto" w:fill="auto"/>
            <w:vAlign w:val="center"/>
          </w:tcPr>
          <w:p w14:paraId="194520B6" w14:textId="07266FD2" w:rsidR="0071607F" w:rsidRPr="00993B55" w:rsidRDefault="0071607F" w:rsidP="0071607F">
            <w:pPr>
              <w:widowControl w:val="0"/>
              <w:jc w:val="center"/>
              <w:rPr>
                <w:sz w:val="22"/>
              </w:rPr>
            </w:pPr>
            <w:r w:rsidRPr="004126FE">
              <w:rPr>
                <w:color w:val="0000FF"/>
              </w:rPr>
              <w:t>X,XXX</w:t>
            </w:r>
          </w:p>
        </w:tc>
        <w:tc>
          <w:tcPr>
            <w:tcW w:w="1603" w:type="dxa"/>
            <w:shd w:val="clear" w:color="auto" w:fill="auto"/>
            <w:vAlign w:val="center"/>
          </w:tcPr>
          <w:p w14:paraId="0C04A07D" w14:textId="689C8369" w:rsidR="0071607F" w:rsidRPr="00993B55" w:rsidRDefault="0071607F" w:rsidP="0071607F">
            <w:pPr>
              <w:widowControl w:val="0"/>
              <w:jc w:val="center"/>
              <w:rPr>
                <w:sz w:val="22"/>
              </w:rPr>
            </w:pPr>
            <w:r w:rsidRPr="004126FE">
              <w:rPr>
                <w:color w:val="0000FF"/>
              </w:rPr>
              <w:t>X,XXX</w:t>
            </w:r>
          </w:p>
        </w:tc>
      </w:tr>
      <w:tr w:rsidR="0071607F" w:rsidRPr="00993B55" w14:paraId="5F58D3CC" w14:textId="77777777" w:rsidTr="0071607F">
        <w:trPr>
          <w:trHeight w:val="138"/>
        </w:trPr>
        <w:tc>
          <w:tcPr>
            <w:tcW w:w="3543" w:type="dxa"/>
            <w:vAlign w:val="center"/>
          </w:tcPr>
          <w:p w14:paraId="5C8C6B28" w14:textId="77777777" w:rsidR="0071607F" w:rsidRPr="00993B55" w:rsidRDefault="0071607F" w:rsidP="0071607F">
            <w:pPr>
              <w:widowControl w:val="0"/>
              <w:jc w:val="center"/>
              <w:rPr>
                <w:sz w:val="22"/>
              </w:rPr>
            </w:pPr>
            <w:r w:rsidRPr="00993B55">
              <w:rPr>
                <w:sz w:val="22"/>
              </w:rPr>
              <w:t xml:space="preserve">Amount Remaining </w:t>
            </w:r>
          </w:p>
        </w:tc>
        <w:tc>
          <w:tcPr>
            <w:tcW w:w="1620" w:type="dxa"/>
            <w:shd w:val="clear" w:color="auto" w:fill="auto"/>
            <w:vAlign w:val="center"/>
          </w:tcPr>
          <w:p w14:paraId="11F7CE3A" w14:textId="576A2EDB" w:rsidR="0071607F" w:rsidRPr="00993B55" w:rsidRDefault="0071607F" w:rsidP="0071607F">
            <w:pPr>
              <w:widowControl w:val="0"/>
              <w:jc w:val="center"/>
              <w:rPr>
                <w:sz w:val="22"/>
              </w:rPr>
            </w:pPr>
            <w:r w:rsidRPr="004126FE">
              <w:rPr>
                <w:color w:val="0000FF"/>
              </w:rPr>
              <w:t>X,XXX</w:t>
            </w:r>
          </w:p>
        </w:tc>
        <w:tc>
          <w:tcPr>
            <w:tcW w:w="1620" w:type="dxa"/>
            <w:shd w:val="clear" w:color="auto" w:fill="auto"/>
            <w:vAlign w:val="center"/>
          </w:tcPr>
          <w:p w14:paraId="6AAF41BD" w14:textId="1F946DFD" w:rsidR="0071607F" w:rsidRPr="00993B55" w:rsidRDefault="0071607F" w:rsidP="0071607F">
            <w:pPr>
              <w:widowControl w:val="0"/>
              <w:jc w:val="center"/>
              <w:rPr>
                <w:sz w:val="22"/>
              </w:rPr>
            </w:pPr>
            <w:r w:rsidRPr="004126FE">
              <w:rPr>
                <w:color w:val="0000FF"/>
              </w:rPr>
              <w:t>X,XXX</w:t>
            </w:r>
          </w:p>
        </w:tc>
        <w:tc>
          <w:tcPr>
            <w:tcW w:w="1710" w:type="dxa"/>
            <w:shd w:val="clear" w:color="auto" w:fill="auto"/>
            <w:vAlign w:val="center"/>
          </w:tcPr>
          <w:p w14:paraId="6079D21D" w14:textId="1C4C4201" w:rsidR="0071607F" w:rsidRPr="00993B55" w:rsidRDefault="0071607F" w:rsidP="0071607F">
            <w:pPr>
              <w:widowControl w:val="0"/>
              <w:jc w:val="center"/>
              <w:rPr>
                <w:sz w:val="22"/>
              </w:rPr>
            </w:pPr>
            <w:r w:rsidRPr="004126FE">
              <w:rPr>
                <w:color w:val="0000FF"/>
              </w:rPr>
              <w:t>X,XXX</w:t>
            </w:r>
          </w:p>
        </w:tc>
        <w:tc>
          <w:tcPr>
            <w:tcW w:w="1603" w:type="dxa"/>
            <w:shd w:val="clear" w:color="auto" w:fill="auto"/>
            <w:vAlign w:val="center"/>
          </w:tcPr>
          <w:p w14:paraId="3C7E964D" w14:textId="348CD198" w:rsidR="0071607F" w:rsidRPr="00993B55" w:rsidRDefault="0071607F" w:rsidP="0071607F">
            <w:pPr>
              <w:widowControl w:val="0"/>
              <w:jc w:val="center"/>
              <w:rPr>
                <w:sz w:val="22"/>
              </w:rPr>
            </w:pPr>
            <w:r w:rsidRPr="004126FE">
              <w:rPr>
                <w:color w:val="0000FF"/>
              </w:rPr>
              <w:t>X,XXX</w:t>
            </w:r>
          </w:p>
        </w:tc>
      </w:tr>
      <w:tr w:rsidR="0071607F" w:rsidRPr="00993B55" w14:paraId="0AB84197" w14:textId="77777777" w:rsidTr="0071607F">
        <w:trPr>
          <w:trHeight w:val="138"/>
        </w:trPr>
        <w:tc>
          <w:tcPr>
            <w:tcW w:w="3543" w:type="dxa"/>
            <w:vAlign w:val="center"/>
          </w:tcPr>
          <w:p w14:paraId="6DC2326A" w14:textId="77777777" w:rsidR="0071607F" w:rsidRPr="00993B55" w:rsidRDefault="0071607F" w:rsidP="0071607F">
            <w:pPr>
              <w:widowControl w:val="0"/>
              <w:jc w:val="center"/>
              <w:rPr>
                <w:sz w:val="22"/>
              </w:rPr>
            </w:pPr>
            <w:r w:rsidRPr="00993B55">
              <w:rPr>
                <w:sz w:val="22"/>
              </w:rPr>
              <w:t xml:space="preserve">Credits reissued under </w:t>
            </w:r>
          </w:p>
          <w:p w14:paraId="4E150FA2" w14:textId="7723EB61" w:rsidR="0071607F" w:rsidRPr="00993B55" w:rsidRDefault="0071607F" w:rsidP="0071607F">
            <w:pPr>
              <w:widowControl w:val="0"/>
              <w:jc w:val="center"/>
              <w:rPr>
                <w:sz w:val="22"/>
              </w:rPr>
            </w:pPr>
            <w:r w:rsidRPr="00993B55">
              <w:rPr>
                <w:sz w:val="22"/>
              </w:rPr>
              <w:t xml:space="preserve">ERC </w:t>
            </w:r>
            <w:r w:rsidRPr="0071607F">
              <w:rPr>
                <w:color w:val="0000FF"/>
                <w:sz w:val="22"/>
              </w:rPr>
              <w:t>X-YYYY</w:t>
            </w:r>
            <w:r w:rsidRPr="00993B55">
              <w:rPr>
                <w:sz w:val="22"/>
              </w:rPr>
              <w:t>-2</w:t>
            </w:r>
          </w:p>
        </w:tc>
        <w:tc>
          <w:tcPr>
            <w:tcW w:w="1620" w:type="dxa"/>
            <w:shd w:val="clear" w:color="auto" w:fill="auto"/>
            <w:vAlign w:val="center"/>
          </w:tcPr>
          <w:p w14:paraId="19058EE6" w14:textId="195174A9" w:rsidR="0071607F" w:rsidRPr="00993B55" w:rsidRDefault="0071607F" w:rsidP="0071607F">
            <w:pPr>
              <w:widowControl w:val="0"/>
              <w:jc w:val="center"/>
              <w:rPr>
                <w:sz w:val="22"/>
              </w:rPr>
            </w:pPr>
            <w:r w:rsidRPr="004126FE">
              <w:rPr>
                <w:color w:val="0000FF"/>
              </w:rPr>
              <w:t>X,XXX</w:t>
            </w:r>
          </w:p>
        </w:tc>
        <w:tc>
          <w:tcPr>
            <w:tcW w:w="1620" w:type="dxa"/>
            <w:shd w:val="clear" w:color="auto" w:fill="auto"/>
            <w:vAlign w:val="center"/>
          </w:tcPr>
          <w:p w14:paraId="0547C741" w14:textId="64F532F6" w:rsidR="0071607F" w:rsidRPr="00993B55" w:rsidRDefault="0071607F" w:rsidP="0071607F">
            <w:pPr>
              <w:widowControl w:val="0"/>
              <w:jc w:val="center"/>
              <w:rPr>
                <w:sz w:val="22"/>
              </w:rPr>
            </w:pPr>
            <w:r w:rsidRPr="004126FE">
              <w:rPr>
                <w:color w:val="0000FF"/>
              </w:rPr>
              <w:t>X,XXX</w:t>
            </w:r>
          </w:p>
        </w:tc>
        <w:tc>
          <w:tcPr>
            <w:tcW w:w="1710" w:type="dxa"/>
            <w:shd w:val="clear" w:color="auto" w:fill="auto"/>
            <w:vAlign w:val="center"/>
          </w:tcPr>
          <w:p w14:paraId="2DB3B6D8" w14:textId="2DB0F0B8" w:rsidR="0071607F" w:rsidRPr="00993B55" w:rsidRDefault="0071607F" w:rsidP="0071607F">
            <w:pPr>
              <w:widowControl w:val="0"/>
              <w:jc w:val="center"/>
              <w:rPr>
                <w:sz w:val="22"/>
              </w:rPr>
            </w:pPr>
            <w:r w:rsidRPr="004126FE">
              <w:rPr>
                <w:color w:val="0000FF"/>
              </w:rPr>
              <w:t>X,XXX</w:t>
            </w:r>
          </w:p>
        </w:tc>
        <w:tc>
          <w:tcPr>
            <w:tcW w:w="1603" w:type="dxa"/>
            <w:shd w:val="clear" w:color="auto" w:fill="auto"/>
            <w:vAlign w:val="center"/>
          </w:tcPr>
          <w:p w14:paraId="627A5914" w14:textId="780F8527" w:rsidR="0071607F" w:rsidRPr="00993B55" w:rsidRDefault="0071607F" w:rsidP="0071607F">
            <w:pPr>
              <w:widowControl w:val="0"/>
              <w:jc w:val="center"/>
              <w:rPr>
                <w:sz w:val="22"/>
              </w:rPr>
            </w:pPr>
            <w:r w:rsidRPr="004126FE">
              <w:rPr>
                <w:color w:val="0000FF"/>
              </w:rPr>
              <w:t>X,XXX</w:t>
            </w:r>
          </w:p>
        </w:tc>
      </w:tr>
    </w:tbl>
    <w:p w14:paraId="59B8F1DB" w14:textId="77777777" w:rsidR="000177D5" w:rsidRPr="00993B55" w:rsidRDefault="000177D5" w:rsidP="007A60F3">
      <w:pPr>
        <w:widowControl w:val="0"/>
        <w:tabs>
          <w:tab w:val="left" w:pos="1260"/>
          <w:tab w:val="left" w:pos="1530"/>
        </w:tabs>
        <w:autoSpaceDE w:val="0"/>
        <w:autoSpaceDN w:val="0"/>
        <w:adjustRightInd w:val="0"/>
        <w:rPr>
          <w:bCs/>
          <w:snapToGrid w:val="0"/>
          <w:color w:val="000000"/>
        </w:rPr>
      </w:pPr>
    </w:p>
    <w:tbl>
      <w:tblPr>
        <w:tblW w:w="1009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3"/>
        <w:gridCol w:w="1620"/>
        <w:gridCol w:w="1620"/>
        <w:gridCol w:w="1710"/>
        <w:gridCol w:w="1603"/>
      </w:tblGrid>
      <w:tr w:rsidR="000177D5" w:rsidRPr="00993B55" w14:paraId="2DB1EAA1" w14:textId="77777777" w:rsidTr="00B06795">
        <w:trPr>
          <w:trHeight w:val="197"/>
        </w:trPr>
        <w:tc>
          <w:tcPr>
            <w:tcW w:w="3543" w:type="dxa"/>
            <w:shd w:val="clear" w:color="auto" w:fill="D9D9D9" w:themeFill="background1" w:themeFillShade="D9"/>
            <w:vAlign w:val="center"/>
          </w:tcPr>
          <w:p w14:paraId="27233AA6" w14:textId="77777777" w:rsidR="000177D5" w:rsidRPr="00993B55" w:rsidRDefault="000177D5" w:rsidP="007A60F3">
            <w:pPr>
              <w:widowControl w:val="0"/>
              <w:jc w:val="center"/>
              <w:rPr>
                <w:b/>
                <w:sz w:val="22"/>
              </w:rPr>
            </w:pPr>
            <w:r w:rsidRPr="00993B55">
              <w:rPr>
                <w:b/>
                <w:sz w:val="22"/>
              </w:rPr>
              <w:t>VOC</w:t>
            </w:r>
          </w:p>
        </w:tc>
        <w:tc>
          <w:tcPr>
            <w:tcW w:w="1620" w:type="dxa"/>
            <w:shd w:val="clear" w:color="auto" w:fill="D9D9D9" w:themeFill="background1" w:themeFillShade="D9"/>
            <w:vAlign w:val="center"/>
          </w:tcPr>
          <w:p w14:paraId="0D8DAEDA" w14:textId="77777777" w:rsidR="000177D5" w:rsidRPr="00993B55" w:rsidRDefault="000177D5" w:rsidP="007A60F3">
            <w:pPr>
              <w:widowControl w:val="0"/>
              <w:jc w:val="center"/>
              <w:rPr>
                <w:b/>
                <w:sz w:val="22"/>
              </w:rPr>
            </w:pPr>
            <w:r w:rsidRPr="00993B55">
              <w:rPr>
                <w:b/>
                <w:sz w:val="22"/>
              </w:rPr>
              <w:t>1</w:t>
            </w:r>
            <w:r w:rsidRPr="00993B55">
              <w:rPr>
                <w:b/>
                <w:sz w:val="22"/>
                <w:vertAlign w:val="superscript"/>
              </w:rPr>
              <w:t>st</w:t>
            </w:r>
            <w:r w:rsidRPr="00993B55">
              <w:rPr>
                <w:b/>
                <w:sz w:val="22"/>
              </w:rPr>
              <w:t xml:space="preserve"> Quarter (lb)</w:t>
            </w:r>
          </w:p>
        </w:tc>
        <w:tc>
          <w:tcPr>
            <w:tcW w:w="1620" w:type="dxa"/>
            <w:shd w:val="clear" w:color="auto" w:fill="D9D9D9" w:themeFill="background1" w:themeFillShade="D9"/>
            <w:vAlign w:val="center"/>
          </w:tcPr>
          <w:p w14:paraId="0F798BAF" w14:textId="77777777" w:rsidR="000177D5" w:rsidRPr="00993B55" w:rsidRDefault="000177D5" w:rsidP="007A60F3">
            <w:pPr>
              <w:widowControl w:val="0"/>
              <w:jc w:val="center"/>
              <w:rPr>
                <w:b/>
                <w:sz w:val="22"/>
              </w:rPr>
            </w:pPr>
            <w:r w:rsidRPr="00993B55">
              <w:rPr>
                <w:b/>
                <w:sz w:val="22"/>
              </w:rPr>
              <w:t>2</w:t>
            </w:r>
            <w:r w:rsidRPr="00993B55">
              <w:rPr>
                <w:b/>
                <w:sz w:val="22"/>
                <w:vertAlign w:val="superscript"/>
              </w:rPr>
              <w:t>nd</w:t>
            </w:r>
            <w:r w:rsidRPr="00993B55">
              <w:rPr>
                <w:b/>
                <w:sz w:val="22"/>
              </w:rPr>
              <w:t xml:space="preserve"> Quarter (lb)</w:t>
            </w:r>
          </w:p>
        </w:tc>
        <w:tc>
          <w:tcPr>
            <w:tcW w:w="1710" w:type="dxa"/>
            <w:shd w:val="clear" w:color="auto" w:fill="D9D9D9" w:themeFill="background1" w:themeFillShade="D9"/>
            <w:vAlign w:val="center"/>
          </w:tcPr>
          <w:p w14:paraId="44F06BAD" w14:textId="77777777" w:rsidR="000177D5" w:rsidRPr="00993B55" w:rsidRDefault="000177D5" w:rsidP="007A60F3">
            <w:pPr>
              <w:widowControl w:val="0"/>
              <w:jc w:val="center"/>
              <w:rPr>
                <w:b/>
                <w:sz w:val="22"/>
              </w:rPr>
            </w:pPr>
            <w:r w:rsidRPr="00993B55">
              <w:rPr>
                <w:b/>
                <w:sz w:val="22"/>
              </w:rPr>
              <w:t>3</w:t>
            </w:r>
            <w:r w:rsidRPr="00993B55">
              <w:rPr>
                <w:b/>
                <w:sz w:val="22"/>
                <w:vertAlign w:val="superscript"/>
              </w:rPr>
              <w:t>rd</w:t>
            </w:r>
            <w:r w:rsidRPr="00993B55">
              <w:rPr>
                <w:b/>
                <w:sz w:val="22"/>
              </w:rPr>
              <w:t xml:space="preserve"> Quarter (lb)</w:t>
            </w:r>
          </w:p>
        </w:tc>
        <w:tc>
          <w:tcPr>
            <w:tcW w:w="1603" w:type="dxa"/>
            <w:shd w:val="clear" w:color="auto" w:fill="D9D9D9" w:themeFill="background1" w:themeFillShade="D9"/>
            <w:vAlign w:val="center"/>
          </w:tcPr>
          <w:p w14:paraId="565FA10A" w14:textId="77777777" w:rsidR="000177D5" w:rsidRPr="00993B55" w:rsidRDefault="000177D5" w:rsidP="007A60F3">
            <w:pPr>
              <w:widowControl w:val="0"/>
              <w:jc w:val="center"/>
              <w:rPr>
                <w:b/>
                <w:sz w:val="22"/>
              </w:rPr>
            </w:pPr>
            <w:r w:rsidRPr="00993B55">
              <w:rPr>
                <w:b/>
                <w:sz w:val="22"/>
              </w:rPr>
              <w:t>4</w:t>
            </w:r>
            <w:r w:rsidRPr="00993B55">
              <w:rPr>
                <w:b/>
                <w:sz w:val="22"/>
                <w:vertAlign w:val="superscript"/>
              </w:rPr>
              <w:t>th</w:t>
            </w:r>
            <w:r w:rsidRPr="00993B55">
              <w:rPr>
                <w:b/>
                <w:sz w:val="22"/>
              </w:rPr>
              <w:t xml:space="preserve"> Quarter (lb)</w:t>
            </w:r>
          </w:p>
        </w:tc>
      </w:tr>
      <w:tr w:rsidR="0071607F" w:rsidRPr="00993B55" w14:paraId="4E1E339C" w14:textId="77777777" w:rsidTr="0071607F">
        <w:trPr>
          <w:cantSplit/>
          <w:trHeight w:val="135"/>
        </w:trPr>
        <w:tc>
          <w:tcPr>
            <w:tcW w:w="3543" w:type="dxa"/>
            <w:vAlign w:val="center"/>
          </w:tcPr>
          <w:p w14:paraId="1D82EED8" w14:textId="6B9D9175" w:rsidR="0071607F" w:rsidRPr="00993B55" w:rsidRDefault="0071607F" w:rsidP="0071607F">
            <w:pPr>
              <w:widowControl w:val="0"/>
              <w:jc w:val="center"/>
              <w:rPr>
                <w:sz w:val="22"/>
              </w:rPr>
            </w:pPr>
            <w:r w:rsidRPr="00993B55">
              <w:rPr>
                <w:sz w:val="22"/>
              </w:rPr>
              <w:t xml:space="preserve">ERC </w:t>
            </w:r>
            <w:r w:rsidRPr="0071607F">
              <w:rPr>
                <w:color w:val="0000FF"/>
                <w:sz w:val="22"/>
              </w:rPr>
              <w:t>X-XXXX</w:t>
            </w:r>
            <w:r w:rsidRPr="00993B55">
              <w:rPr>
                <w:sz w:val="22"/>
              </w:rPr>
              <w:t>-1</w:t>
            </w:r>
          </w:p>
        </w:tc>
        <w:tc>
          <w:tcPr>
            <w:tcW w:w="1620" w:type="dxa"/>
            <w:shd w:val="clear" w:color="auto" w:fill="auto"/>
            <w:vAlign w:val="center"/>
          </w:tcPr>
          <w:p w14:paraId="43118B77" w14:textId="268050CA" w:rsidR="0071607F" w:rsidRPr="00993B55" w:rsidRDefault="0071607F" w:rsidP="0071607F">
            <w:pPr>
              <w:widowControl w:val="0"/>
              <w:jc w:val="center"/>
              <w:rPr>
                <w:sz w:val="22"/>
              </w:rPr>
            </w:pPr>
            <w:r w:rsidRPr="00AA0034">
              <w:rPr>
                <w:color w:val="0000FF"/>
              </w:rPr>
              <w:t>X,XXX</w:t>
            </w:r>
          </w:p>
        </w:tc>
        <w:tc>
          <w:tcPr>
            <w:tcW w:w="1620" w:type="dxa"/>
            <w:shd w:val="clear" w:color="auto" w:fill="auto"/>
            <w:vAlign w:val="center"/>
          </w:tcPr>
          <w:p w14:paraId="13203A83" w14:textId="23A8233C" w:rsidR="0071607F" w:rsidRPr="00993B55" w:rsidRDefault="0071607F" w:rsidP="0071607F">
            <w:pPr>
              <w:widowControl w:val="0"/>
              <w:jc w:val="center"/>
              <w:rPr>
                <w:sz w:val="22"/>
              </w:rPr>
            </w:pPr>
            <w:r w:rsidRPr="00AA0034">
              <w:rPr>
                <w:color w:val="0000FF"/>
              </w:rPr>
              <w:t>X,XXX</w:t>
            </w:r>
          </w:p>
        </w:tc>
        <w:tc>
          <w:tcPr>
            <w:tcW w:w="1710" w:type="dxa"/>
            <w:shd w:val="clear" w:color="auto" w:fill="auto"/>
            <w:vAlign w:val="center"/>
          </w:tcPr>
          <w:p w14:paraId="567164BE" w14:textId="045C8413" w:rsidR="0071607F" w:rsidRPr="00993B55" w:rsidRDefault="0071607F" w:rsidP="0071607F">
            <w:pPr>
              <w:widowControl w:val="0"/>
              <w:jc w:val="center"/>
              <w:rPr>
                <w:sz w:val="22"/>
              </w:rPr>
            </w:pPr>
            <w:r w:rsidRPr="00AA0034">
              <w:rPr>
                <w:color w:val="0000FF"/>
              </w:rPr>
              <w:t>X,XXX</w:t>
            </w:r>
          </w:p>
        </w:tc>
        <w:tc>
          <w:tcPr>
            <w:tcW w:w="1603" w:type="dxa"/>
            <w:shd w:val="clear" w:color="auto" w:fill="auto"/>
            <w:vAlign w:val="center"/>
          </w:tcPr>
          <w:p w14:paraId="5732ACDB" w14:textId="6C43871F" w:rsidR="0071607F" w:rsidRPr="00993B55" w:rsidRDefault="0071607F" w:rsidP="0071607F">
            <w:pPr>
              <w:widowControl w:val="0"/>
              <w:jc w:val="center"/>
              <w:rPr>
                <w:sz w:val="22"/>
              </w:rPr>
            </w:pPr>
            <w:r w:rsidRPr="00AA0034">
              <w:rPr>
                <w:color w:val="0000FF"/>
              </w:rPr>
              <w:t>X,XXX</w:t>
            </w:r>
          </w:p>
        </w:tc>
      </w:tr>
      <w:tr w:rsidR="0071607F" w:rsidRPr="00993B55" w14:paraId="648FDD1C" w14:textId="77777777" w:rsidTr="0071607F">
        <w:trPr>
          <w:cantSplit/>
          <w:trHeight w:val="135"/>
        </w:trPr>
        <w:tc>
          <w:tcPr>
            <w:tcW w:w="3543" w:type="dxa"/>
            <w:vAlign w:val="center"/>
          </w:tcPr>
          <w:p w14:paraId="77AED0A5" w14:textId="77777777" w:rsidR="0071607F" w:rsidRPr="00993B55" w:rsidRDefault="0071607F" w:rsidP="0071607F">
            <w:pPr>
              <w:widowControl w:val="0"/>
              <w:jc w:val="center"/>
              <w:rPr>
                <w:sz w:val="22"/>
              </w:rPr>
            </w:pPr>
            <w:r w:rsidRPr="00993B55">
              <w:rPr>
                <w:sz w:val="22"/>
              </w:rPr>
              <w:t>Offsets Required</w:t>
            </w:r>
          </w:p>
          <w:p w14:paraId="08873624" w14:textId="77777777" w:rsidR="0071607F" w:rsidRPr="00993B55" w:rsidRDefault="0071607F" w:rsidP="0071607F">
            <w:pPr>
              <w:widowControl w:val="0"/>
              <w:jc w:val="center"/>
              <w:rPr>
                <w:sz w:val="22"/>
              </w:rPr>
            </w:pPr>
            <w:r w:rsidRPr="00993B55">
              <w:rPr>
                <w:sz w:val="22"/>
              </w:rPr>
              <w:t>(Includes distance offset ratio)</w:t>
            </w:r>
          </w:p>
        </w:tc>
        <w:tc>
          <w:tcPr>
            <w:tcW w:w="1620" w:type="dxa"/>
            <w:shd w:val="clear" w:color="auto" w:fill="auto"/>
            <w:vAlign w:val="center"/>
          </w:tcPr>
          <w:p w14:paraId="4634C1A5" w14:textId="75A38F45" w:rsidR="0071607F" w:rsidRPr="00993B55" w:rsidRDefault="0071607F" w:rsidP="0071607F">
            <w:pPr>
              <w:widowControl w:val="0"/>
              <w:jc w:val="center"/>
              <w:rPr>
                <w:sz w:val="22"/>
              </w:rPr>
            </w:pPr>
            <w:r w:rsidRPr="00AA0034">
              <w:rPr>
                <w:color w:val="0000FF"/>
              </w:rPr>
              <w:t>X,XXX</w:t>
            </w:r>
          </w:p>
        </w:tc>
        <w:tc>
          <w:tcPr>
            <w:tcW w:w="1620" w:type="dxa"/>
            <w:shd w:val="clear" w:color="auto" w:fill="auto"/>
            <w:vAlign w:val="center"/>
          </w:tcPr>
          <w:p w14:paraId="70F5A41D" w14:textId="1EBC3032" w:rsidR="0071607F" w:rsidRPr="00993B55" w:rsidRDefault="0071607F" w:rsidP="0071607F">
            <w:pPr>
              <w:widowControl w:val="0"/>
              <w:jc w:val="center"/>
              <w:rPr>
                <w:sz w:val="22"/>
              </w:rPr>
            </w:pPr>
            <w:r w:rsidRPr="00AA0034">
              <w:rPr>
                <w:color w:val="0000FF"/>
              </w:rPr>
              <w:t>X,XXX</w:t>
            </w:r>
          </w:p>
        </w:tc>
        <w:tc>
          <w:tcPr>
            <w:tcW w:w="1710" w:type="dxa"/>
            <w:shd w:val="clear" w:color="auto" w:fill="auto"/>
            <w:vAlign w:val="center"/>
          </w:tcPr>
          <w:p w14:paraId="1AA5F030" w14:textId="3491B7D2" w:rsidR="0071607F" w:rsidRPr="00993B55" w:rsidRDefault="0071607F" w:rsidP="0071607F">
            <w:pPr>
              <w:widowControl w:val="0"/>
              <w:jc w:val="center"/>
              <w:rPr>
                <w:sz w:val="22"/>
              </w:rPr>
            </w:pPr>
            <w:r w:rsidRPr="00AA0034">
              <w:rPr>
                <w:color w:val="0000FF"/>
              </w:rPr>
              <w:t>X,XXX</w:t>
            </w:r>
          </w:p>
        </w:tc>
        <w:tc>
          <w:tcPr>
            <w:tcW w:w="1603" w:type="dxa"/>
            <w:shd w:val="clear" w:color="auto" w:fill="auto"/>
            <w:vAlign w:val="center"/>
          </w:tcPr>
          <w:p w14:paraId="6AFC1A75" w14:textId="5545BBF8" w:rsidR="0071607F" w:rsidRPr="00993B55" w:rsidRDefault="0071607F" w:rsidP="0071607F">
            <w:pPr>
              <w:widowControl w:val="0"/>
              <w:jc w:val="center"/>
              <w:rPr>
                <w:sz w:val="22"/>
              </w:rPr>
            </w:pPr>
            <w:r w:rsidRPr="00AA0034">
              <w:rPr>
                <w:color w:val="0000FF"/>
              </w:rPr>
              <w:t>X,XXX</w:t>
            </w:r>
          </w:p>
        </w:tc>
      </w:tr>
      <w:tr w:rsidR="0071607F" w:rsidRPr="00993B55" w14:paraId="1332B752" w14:textId="77777777" w:rsidTr="0071607F">
        <w:trPr>
          <w:cantSplit/>
          <w:trHeight w:val="138"/>
        </w:trPr>
        <w:tc>
          <w:tcPr>
            <w:tcW w:w="3543" w:type="dxa"/>
            <w:vAlign w:val="center"/>
          </w:tcPr>
          <w:p w14:paraId="7E225682" w14:textId="77777777" w:rsidR="0071607F" w:rsidRPr="00993B55" w:rsidRDefault="0071607F" w:rsidP="0071607F">
            <w:pPr>
              <w:widowControl w:val="0"/>
              <w:jc w:val="center"/>
              <w:rPr>
                <w:sz w:val="22"/>
              </w:rPr>
            </w:pPr>
            <w:r w:rsidRPr="00993B55">
              <w:rPr>
                <w:sz w:val="22"/>
              </w:rPr>
              <w:t xml:space="preserve">Amount Remaining </w:t>
            </w:r>
          </w:p>
        </w:tc>
        <w:tc>
          <w:tcPr>
            <w:tcW w:w="1620" w:type="dxa"/>
            <w:shd w:val="clear" w:color="auto" w:fill="auto"/>
            <w:vAlign w:val="center"/>
          </w:tcPr>
          <w:p w14:paraId="065DA32E" w14:textId="6F48FA46" w:rsidR="0071607F" w:rsidRPr="00993B55" w:rsidRDefault="0071607F" w:rsidP="0071607F">
            <w:pPr>
              <w:widowControl w:val="0"/>
              <w:jc w:val="center"/>
              <w:rPr>
                <w:sz w:val="22"/>
              </w:rPr>
            </w:pPr>
            <w:r w:rsidRPr="00AA0034">
              <w:rPr>
                <w:color w:val="0000FF"/>
              </w:rPr>
              <w:t>X,XXX</w:t>
            </w:r>
          </w:p>
        </w:tc>
        <w:tc>
          <w:tcPr>
            <w:tcW w:w="1620" w:type="dxa"/>
            <w:shd w:val="clear" w:color="auto" w:fill="auto"/>
            <w:vAlign w:val="center"/>
          </w:tcPr>
          <w:p w14:paraId="5149C931" w14:textId="5DB63FD2" w:rsidR="0071607F" w:rsidRPr="00993B55" w:rsidRDefault="0071607F" w:rsidP="0071607F">
            <w:pPr>
              <w:widowControl w:val="0"/>
              <w:jc w:val="center"/>
              <w:rPr>
                <w:sz w:val="22"/>
              </w:rPr>
            </w:pPr>
            <w:r w:rsidRPr="00AA0034">
              <w:rPr>
                <w:color w:val="0000FF"/>
              </w:rPr>
              <w:t>X,XXX</w:t>
            </w:r>
          </w:p>
        </w:tc>
        <w:tc>
          <w:tcPr>
            <w:tcW w:w="1710" w:type="dxa"/>
            <w:shd w:val="clear" w:color="auto" w:fill="auto"/>
            <w:vAlign w:val="center"/>
          </w:tcPr>
          <w:p w14:paraId="16B84075" w14:textId="33BB46D0" w:rsidR="0071607F" w:rsidRPr="00993B55" w:rsidRDefault="0071607F" w:rsidP="0071607F">
            <w:pPr>
              <w:widowControl w:val="0"/>
              <w:jc w:val="center"/>
              <w:rPr>
                <w:sz w:val="22"/>
              </w:rPr>
            </w:pPr>
            <w:r w:rsidRPr="00AA0034">
              <w:rPr>
                <w:color w:val="0000FF"/>
              </w:rPr>
              <w:t>X,XXX</w:t>
            </w:r>
          </w:p>
        </w:tc>
        <w:tc>
          <w:tcPr>
            <w:tcW w:w="1603" w:type="dxa"/>
            <w:shd w:val="clear" w:color="auto" w:fill="auto"/>
            <w:vAlign w:val="center"/>
          </w:tcPr>
          <w:p w14:paraId="358D924F" w14:textId="32986624" w:rsidR="0071607F" w:rsidRPr="00993B55" w:rsidRDefault="0071607F" w:rsidP="0071607F">
            <w:pPr>
              <w:widowControl w:val="0"/>
              <w:jc w:val="center"/>
              <w:rPr>
                <w:sz w:val="22"/>
              </w:rPr>
            </w:pPr>
            <w:r w:rsidRPr="00AA0034">
              <w:rPr>
                <w:color w:val="0000FF"/>
              </w:rPr>
              <w:t>X,XXX</w:t>
            </w:r>
          </w:p>
        </w:tc>
      </w:tr>
      <w:tr w:rsidR="0071607F" w:rsidRPr="00993B55" w14:paraId="5B7A7D54" w14:textId="77777777" w:rsidTr="0071607F">
        <w:trPr>
          <w:cantSplit/>
          <w:trHeight w:val="138"/>
        </w:trPr>
        <w:tc>
          <w:tcPr>
            <w:tcW w:w="3543" w:type="dxa"/>
            <w:vAlign w:val="center"/>
          </w:tcPr>
          <w:p w14:paraId="1BAF775E" w14:textId="77777777" w:rsidR="0071607F" w:rsidRPr="00993B55" w:rsidRDefault="0071607F" w:rsidP="0071607F">
            <w:pPr>
              <w:widowControl w:val="0"/>
              <w:jc w:val="center"/>
              <w:rPr>
                <w:sz w:val="22"/>
              </w:rPr>
            </w:pPr>
            <w:r w:rsidRPr="00993B55">
              <w:rPr>
                <w:sz w:val="22"/>
              </w:rPr>
              <w:t xml:space="preserve">Credits reissued under </w:t>
            </w:r>
          </w:p>
          <w:p w14:paraId="35831BEE" w14:textId="7E335E15" w:rsidR="0071607F" w:rsidRPr="00993B55" w:rsidRDefault="0071607F" w:rsidP="0071607F">
            <w:pPr>
              <w:widowControl w:val="0"/>
              <w:jc w:val="center"/>
              <w:rPr>
                <w:sz w:val="22"/>
              </w:rPr>
            </w:pPr>
            <w:r w:rsidRPr="00993B55">
              <w:rPr>
                <w:sz w:val="22"/>
              </w:rPr>
              <w:t xml:space="preserve">ERC </w:t>
            </w:r>
            <w:r w:rsidRPr="0071607F">
              <w:rPr>
                <w:color w:val="0000FF"/>
                <w:sz w:val="22"/>
              </w:rPr>
              <w:t>X-YYYY</w:t>
            </w:r>
            <w:r w:rsidRPr="00993B55">
              <w:rPr>
                <w:sz w:val="22"/>
              </w:rPr>
              <w:t>-1</w:t>
            </w:r>
          </w:p>
        </w:tc>
        <w:tc>
          <w:tcPr>
            <w:tcW w:w="1620" w:type="dxa"/>
            <w:shd w:val="clear" w:color="auto" w:fill="auto"/>
            <w:vAlign w:val="center"/>
          </w:tcPr>
          <w:p w14:paraId="01D33795" w14:textId="1B933EFC" w:rsidR="0071607F" w:rsidRPr="00993B55" w:rsidRDefault="0071607F" w:rsidP="0071607F">
            <w:pPr>
              <w:widowControl w:val="0"/>
              <w:jc w:val="center"/>
              <w:rPr>
                <w:sz w:val="22"/>
              </w:rPr>
            </w:pPr>
            <w:r w:rsidRPr="00AA0034">
              <w:rPr>
                <w:color w:val="0000FF"/>
              </w:rPr>
              <w:t>X,XXX</w:t>
            </w:r>
          </w:p>
        </w:tc>
        <w:tc>
          <w:tcPr>
            <w:tcW w:w="1620" w:type="dxa"/>
            <w:shd w:val="clear" w:color="auto" w:fill="auto"/>
            <w:vAlign w:val="center"/>
          </w:tcPr>
          <w:p w14:paraId="1F07F27F" w14:textId="7AE3FD18" w:rsidR="0071607F" w:rsidRPr="00993B55" w:rsidRDefault="0071607F" w:rsidP="0071607F">
            <w:pPr>
              <w:widowControl w:val="0"/>
              <w:jc w:val="center"/>
              <w:rPr>
                <w:sz w:val="22"/>
              </w:rPr>
            </w:pPr>
            <w:r w:rsidRPr="00AA0034">
              <w:rPr>
                <w:color w:val="0000FF"/>
              </w:rPr>
              <w:t>X,XXX</w:t>
            </w:r>
          </w:p>
        </w:tc>
        <w:tc>
          <w:tcPr>
            <w:tcW w:w="1710" w:type="dxa"/>
            <w:shd w:val="clear" w:color="auto" w:fill="auto"/>
            <w:vAlign w:val="center"/>
          </w:tcPr>
          <w:p w14:paraId="0EEEC1CB" w14:textId="177180BA" w:rsidR="0071607F" w:rsidRPr="00993B55" w:rsidRDefault="0071607F" w:rsidP="0071607F">
            <w:pPr>
              <w:widowControl w:val="0"/>
              <w:jc w:val="center"/>
              <w:rPr>
                <w:sz w:val="22"/>
              </w:rPr>
            </w:pPr>
            <w:r w:rsidRPr="00AA0034">
              <w:rPr>
                <w:color w:val="0000FF"/>
              </w:rPr>
              <w:t>X,XXX</w:t>
            </w:r>
          </w:p>
        </w:tc>
        <w:tc>
          <w:tcPr>
            <w:tcW w:w="1603" w:type="dxa"/>
            <w:shd w:val="clear" w:color="auto" w:fill="auto"/>
            <w:vAlign w:val="center"/>
          </w:tcPr>
          <w:p w14:paraId="788D3015" w14:textId="78640E8C" w:rsidR="0071607F" w:rsidRPr="00993B55" w:rsidRDefault="0071607F" w:rsidP="0071607F">
            <w:pPr>
              <w:widowControl w:val="0"/>
              <w:jc w:val="center"/>
              <w:rPr>
                <w:sz w:val="22"/>
              </w:rPr>
            </w:pPr>
            <w:r w:rsidRPr="00AA0034">
              <w:rPr>
                <w:color w:val="0000FF"/>
              </w:rPr>
              <w:t>X,XXX</w:t>
            </w:r>
          </w:p>
        </w:tc>
      </w:tr>
    </w:tbl>
    <w:p w14:paraId="0526E858" w14:textId="77777777" w:rsidR="000177D5" w:rsidRPr="00993B55" w:rsidRDefault="000177D5" w:rsidP="007A60F3">
      <w:pPr>
        <w:widowControl w:val="0"/>
        <w:tabs>
          <w:tab w:val="left" w:pos="1260"/>
          <w:tab w:val="left" w:pos="1530"/>
        </w:tabs>
        <w:autoSpaceDE w:val="0"/>
        <w:autoSpaceDN w:val="0"/>
        <w:adjustRightInd w:val="0"/>
        <w:ind w:left="360"/>
        <w:rPr>
          <w:bCs/>
          <w:snapToGrid w:val="0"/>
          <w:color w:val="000000"/>
        </w:rPr>
      </w:pPr>
    </w:p>
    <w:tbl>
      <w:tblPr>
        <w:tblW w:w="1009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3"/>
        <w:gridCol w:w="1620"/>
        <w:gridCol w:w="1620"/>
        <w:gridCol w:w="1710"/>
        <w:gridCol w:w="1603"/>
      </w:tblGrid>
      <w:tr w:rsidR="000177D5" w:rsidRPr="00993B55" w14:paraId="55B55106" w14:textId="77777777" w:rsidTr="00B06795">
        <w:trPr>
          <w:trHeight w:val="197"/>
        </w:trPr>
        <w:tc>
          <w:tcPr>
            <w:tcW w:w="3543" w:type="dxa"/>
            <w:shd w:val="clear" w:color="auto" w:fill="D9D9D9" w:themeFill="background1" w:themeFillShade="D9"/>
            <w:vAlign w:val="center"/>
          </w:tcPr>
          <w:p w14:paraId="40AC2FDE" w14:textId="1D4D7C32" w:rsidR="000177D5" w:rsidRPr="00993B55" w:rsidRDefault="000177D5" w:rsidP="007A60F3">
            <w:pPr>
              <w:widowControl w:val="0"/>
              <w:jc w:val="center"/>
              <w:rPr>
                <w:b/>
                <w:sz w:val="22"/>
              </w:rPr>
            </w:pPr>
            <w:r w:rsidRPr="00993B55">
              <w:rPr>
                <w:b/>
                <w:sz w:val="22"/>
              </w:rPr>
              <w:t>PM</w:t>
            </w:r>
            <w:r w:rsidR="00B650AE">
              <w:rPr>
                <w:b/>
                <w:sz w:val="22"/>
              </w:rPr>
              <w:t>10</w:t>
            </w:r>
          </w:p>
        </w:tc>
        <w:tc>
          <w:tcPr>
            <w:tcW w:w="1620" w:type="dxa"/>
            <w:shd w:val="clear" w:color="auto" w:fill="D9D9D9" w:themeFill="background1" w:themeFillShade="D9"/>
            <w:vAlign w:val="center"/>
          </w:tcPr>
          <w:p w14:paraId="28B51E75" w14:textId="77777777" w:rsidR="000177D5" w:rsidRPr="00993B55" w:rsidRDefault="000177D5" w:rsidP="007A60F3">
            <w:pPr>
              <w:widowControl w:val="0"/>
              <w:jc w:val="center"/>
              <w:rPr>
                <w:b/>
                <w:sz w:val="22"/>
              </w:rPr>
            </w:pPr>
            <w:r w:rsidRPr="00993B55">
              <w:rPr>
                <w:b/>
                <w:sz w:val="22"/>
              </w:rPr>
              <w:t>1</w:t>
            </w:r>
            <w:r w:rsidRPr="00993B55">
              <w:rPr>
                <w:b/>
                <w:sz w:val="22"/>
                <w:vertAlign w:val="superscript"/>
              </w:rPr>
              <w:t>st</w:t>
            </w:r>
            <w:r w:rsidRPr="00993B55">
              <w:rPr>
                <w:b/>
                <w:sz w:val="22"/>
              </w:rPr>
              <w:t xml:space="preserve"> Quarter (lb)</w:t>
            </w:r>
          </w:p>
        </w:tc>
        <w:tc>
          <w:tcPr>
            <w:tcW w:w="1620" w:type="dxa"/>
            <w:shd w:val="clear" w:color="auto" w:fill="D9D9D9" w:themeFill="background1" w:themeFillShade="D9"/>
            <w:vAlign w:val="center"/>
          </w:tcPr>
          <w:p w14:paraId="475E3AEE" w14:textId="77777777" w:rsidR="000177D5" w:rsidRPr="00993B55" w:rsidRDefault="000177D5" w:rsidP="007A60F3">
            <w:pPr>
              <w:widowControl w:val="0"/>
              <w:jc w:val="center"/>
              <w:rPr>
                <w:b/>
                <w:sz w:val="22"/>
              </w:rPr>
            </w:pPr>
            <w:r w:rsidRPr="00993B55">
              <w:rPr>
                <w:b/>
                <w:sz w:val="22"/>
              </w:rPr>
              <w:t>2</w:t>
            </w:r>
            <w:r w:rsidRPr="00993B55">
              <w:rPr>
                <w:b/>
                <w:sz w:val="22"/>
                <w:vertAlign w:val="superscript"/>
              </w:rPr>
              <w:t>nd</w:t>
            </w:r>
            <w:r w:rsidRPr="00993B55">
              <w:rPr>
                <w:b/>
                <w:sz w:val="22"/>
              </w:rPr>
              <w:t xml:space="preserve"> Quarter (lb)</w:t>
            </w:r>
          </w:p>
        </w:tc>
        <w:tc>
          <w:tcPr>
            <w:tcW w:w="1710" w:type="dxa"/>
            <w:shd w:val="clear" w:color="auto" w:fill="D9D9D9" w:themeFill="background1" w:themeFillShade="D9"/>
            <w:vAlign w:val="center"/>
          </w:tcPr>
          <w:p w14:paraId="0507A0CB" w14:textId="77777777" w:rsidR="000177D5" w:rsidRPr="00993B55" w:rsidRDefault="000177D5" w:rsidP="007A60F3">
            <w:pPr>
              <w:widowControl w:val="0"/>
              <w:jc w:val="center"/>
              <w:rPr>
                <w:b/>
                <w:sz w:val="22"/>
              </w:rPr>
            </w:pPr>
            <w:r w:rsidRPr="00993B55">
              <w:rPr>
                <w:b/>
                <w:sz w:val="22"/>
              </w:rPr>
              <w:t>3</w:t>
            </w:r>
            <w:r w:rsidRPr="00993B55">
              <w:rPr>
                <w:b/>
                <w:sz w:val="22"/>
                <w:vertAlign w:val="superscript"/>
              </w:rPr>
              <w:t>rd</w:t>
            </w:r>
            <w:r w:rsidRPr="00993B55">
              <w:rPr>
                <w:b/>
                <w:sz w:val="22"/>
              </w:rPr>
              <w:t xml:space="preserve"> Quarter (lb)</w:t>
            </w:r>
          </w:p>
        </w:tc>
        <w:tc>
          <w:tcPr>
            <w:tcW w:w="1603" w:type="dxa"/>
            <w:shd w:val="clear" w:color="auto" w:fill="D9D9D9" w:themeFill="background1" w:themeFillShade="D9"/>
            <w:vAlign w:val="center"/>
          </w:tcPr>
          <w:p w14:paraId="10B0478B" w14:textId="77777777" w:rsidR="000177D5" w:rsidRPr="00993B55" w:rsidRDefault="000177D5" w:rsidP="007A60F3">
            <w:pPr>
              <w:widowControl w:val="0"/>
              <w:jc w:val="center"/>
              <w:rPr>
                <w:b/>
                <w:sz w:val="22"/>
              </w:rPr>
            </w:pPr>
            <w:r w:rsidRPr="00993B55">
              <w:rPr>
                <w:b/>
                <w:sz w:val="22"/>
              </w:rPr>
              <w:t>4</w:t>
            </w:r>
            <w:r w:rsidRPr="00993B55">
              <w:rPr>
                <w:b/>
                <w:sz w:val="22"/>
                <w:vertAlign w:val="superscript"/>
              </w:rPr>
              <w:t>th</w:t>
            </w:r>
            <w:r w:rsidRPr="00993B55">
              <w:rPr>
                <w:b/>
                <w:sz w:val="22"/>
              </w:rPr>
              <w:t xml:space="preserve"> Quarter (lb)</w:t>
            </w:r>
          </w:p>
        </w:tc>
      </w:tr>
      <w:tr w:rsidR="0071607F" w:rsidRPr="00993B55" w14:paraId="6533EE8B" w14:textId="77777777" w:rsidTr="0071607F">
        <w:trPr>
          <w:cantSplit/>
          <w:trHeight w:val="135"/>
        </w:trPr>
        <w:tc>
          <w:tcPr>
            <w:tcW w:w="3543" w:type="dxa"/>
            <w:vAlign w:val="center"/>
          </w:tcPr>
          <w:p w14:paraId="27F22F7E" w14:textId="281654ED" w:rsidR="0071607F" w:rsidRPr="00993B55" w:rsidRDefault="0071607F" w:rsidP="0071607F">
            <w:pPr>
              <w:widowControl w:val="0"/>
              <w:jc w:val="center"/>
              <w:rPr>
                <w:sz w:val="22"/>
              </w:rPr>
            </w:pPr>
            <w:r w:rsidRPr="00993B55">
              <w:rPr>
                <w:sz w:val="22"/>
              </w:rPr>
              <w:t xml:space="preserve">ERC </w:t>
            </w:r>
            <w:r w:rsidRPr="0071607F">
              <w:rPr>
                <w:color w:val="0000FF"/>
                <w:sz w:val="22"/>
              </w:rPr>
              <w:t>X-XXXX</w:t>
            </w:r>
            <w:r w:rsidRPr="00993B55">
              <w:rPr>
                <w:sz w:val="22"/>
              </w:rPr>
              <w:t>-4</w:t>
            </w:r>
          </w:p>
        </w:tc>
        <w:tc>
          <w:tcPr>
            <w:tcW w:w="1620" w:type="dxa"/>
            <w:shd w:val="clear" w:color="auto" w:fill="auto"/>
            <w:vAlign w:val="center"/>
          </w:tcPr>
          <w:p w14:paraId="1114C639" w14:textId="00955F1C" w:rsidR="0071607F" w:rsidRPr="00993B55" w:rsidRDefault="0071607F" w:rsidP="0071607F">
            <w:pPr>
              <w:widowControl w:val="0"/>
              <w:jc w:val="center"/>
              <w:rPr>
                <w:sz w:val="22"/>
              </w:rPr>
            </w:pPr>
            <w:r w:rsidRPr="00EB3B51">
              <w:rPr>
                <w:color w:val="0000FF"/>
              </w:rPr>
              <w:t>X,XXX</w:t>
            </w:r>
          </w:p>
        </w:tc>
        <w:tc>
          <w:tcPr>
            <w:tcW w:w="1620" w:type="dxa"/>
            <w:shd w:val="clear" w:color="auto" w:fill="auto"/>
            <w:vAlign w:val="center"/>
          </w:tcPr>
          <w:p w14:paraId="65053D31" w14:textId="7D6E565D" w:rsidR="0071607F" w:rsidRPr="00993B55" w:rsidRDefault="0071607F" w:rsidP="0071607F">
            <w:pPr>
              <w:widowControl w:val="0"/>
              <w:jc w:val="center"/>
              <w:rPr>
                <w:sz w:val="22"/>
              </w:rPr>
            </w:pPr>
            <w:r w:rsidRPr="00EB3B51">
              <w:rPr>
                <w:color w:val="0000FF"/>
              </w:rPr>
              <w:t>X,XXX</w:t>
            </w:r>
          </w:p>
        </w:tc>
        <w:tc>
          <w:tcPr>
            <w:tcW w:w="1710" w:type="dxa"/>
            <w:shd w:val="clear" w:color="auto" w:fill="auto"/>
            <w:vAlign w:val="center"/>
          </w:tcPr>
          <w:p w14:paraId="15095B64" w14:textId="0CF41989" w:rsidR="0071607F" w:rsidRPr="00993B55" w:rsidRDefault="0071607F" w:rsidP="0071607F">
            <w:pPr>
              <w:widowControl w:val="0"/>
              <w:jc w:val="center"/>
              <w:rPr>
                <w:sz w:val="22"/>
              </w:rPr>
            </w:pPr>
            <w:r w:rsidRPr="00EB3B51">
              <w:rPr>
                <w:color w:val="0000FF"/>
              </w:rPr>
              <w:t>X,XXX</w:t>
            </w:r>
          </w:p>
        </w:tc>
        <w:tc>
          <w:tcPr>
            <w:tcW w:w="1603" w:type="dxa"/>
            <w:shd w:val="clear" w:color="auto" w:fill="auto"/>
            <w:vAlign w:val="center"/>
          </w:tcPr>
          <w:p w14:paraId="2303D5F5" w14:textId="0B84636E" w:rsidR="0071607F" w:rsidRPr="00993B55" w:rsidRDefault="0071607F" w:rsidP="0071607F">
            <w:pPr>
              <w:widowControl w:val="0"/>
              <w:jc w:val="center"/>
              <w:rPr>
                <w:sz w:val="22"/>
              </w:rPr>
            </w:pPr>
            <w:r w:rsidRPr="00EB3B51">
              <w:rPr>
                <w:color w:val="0000FF"/>
              </w:rPr>
              <w:t>X,XXX</w:t>
            </w:r>
          </w:p>
        </w:tc>
      </w:tr>
      <w:tr w:rsidR="0071607F" w:rsidRPr="00993B55" w14:paraId="4C22F395" w14:textId="77777777" w:rsidTr="0071607F">
        <w:trPr>
          <w:cantSplit/>
          <w:trHeight w:val="135"/>
        </w:trPr>
        <w:tc>
          <w:tcPr>
            <w:tcW w:w="3543" w:type="dxa"/>
            <w:vAlign w:val="center"/>
          </w:tcPr>
          <w:p w14:paraId="145342D5" w14:textId="77777777" w:rsidR="0071607F" w:rsidRPr="00993B55" w:rsidRDefault="0071607F" w:rsidP="0071607F">
            <w:pPr>
              <w:widowControl w:val="0"/>
              <w:jc w:val="center"/>
              <w:rPr>
                <w:sz w:val="22"/>
              </w:rPr>
            </w:pPr>
            <w:r w:rsidRPr="00993B55">
              <w:rPr>
                <w:sz w:val="22"/>
              </w:rPr>
              <w:t>Offsets Required</w:t>
            </w:r>
          </w:p>
          <w:p w14:paraId="5937B447" w14:textId="77777777" w:rsidR="0071607F" w:rsidRPr="00993B55" w:rsidRDefault="0071607F" w:rsidP="0071607F">
            <w:pPr>
              <w:widowControl w:val="0"/>
              <w:jc w:val="center"/>
              <w:rPr>
                <w:sz w:val="22"/>
              </w:rPr>
            </w:pPr>
            <w:r w:rsidRPr="00993B55">
              <w:rPr>
                <w:sz w:val="22"/>
              </w:rPr>
              <w:t>(Includes distance offset ratio)</w:t>
            </w:r>
          </w:p>
        </w:tc>
        <w:tc>
          <w:tcPr>
            <w:tcW w:w="1620" w:type="dxa"/>
            <w:shd w:val="clear" w:color="auto" w:fill="auto"/>
            <w:vAlign w:val="center"/>
          </w:tcPr>
          <w:p w14:paraId="490BEBE6" w14:textId="70E73173" w:rsidR="0071607F" w:rsidRPr="00993B55" w:rsidRDefault="0071607F" w:rsidP="0071607F">
            <w:pPr>
              <w:widowControl w:val="0"/>
              <w:jc w:val="center"/>
              <w:rPr>
                <w:sz w:val="22"/>
              </w:rPr>
            </w:pPr>
            <w:r w:rsidRPr="00EB3B51">
              <w:rPr>
                <w:color w:val="0000FF"/>
              </w:rPr>
              <w:t>X,XXX</w:t>
            </w:r>
          </w:p>
        </w:tc>
        <w:tc>
          <w:tcPr>
            <w:tcW w:w="1620" w:type="dxa"/>
            <w:shd w:val="clear" w:color="auto" w:fill="auto"/>
            <w:vAlign w:val="center"/>
          </w:tcPr>
          <w:p w14:paraId="6965A3CE" w14:textId="7060F559" w:rsidR="0071607F" w:rsidRPr="00993B55" w:rsidRDefault="0071607F" w:rsidP="0071607F">
            <w:pPr>
              <w:widowControl w:val="0"/>
              <w:jc w:val="center"/>
              <w:rPr>
                <w:sz w:val="22"/>
              </w:rPr>
            </w:pPr>
            <w:r w:rsidRPr="00EB3B51">
              <w:rPr>
                <w:color w:val="0000FF"/>
              </w:rPr>
              <w:t>X,XXX</w:t>
            </w:r>
          </w:p>
        </w:tc>
        <w:tc>
          <w:tcPr>
            <w:tcW w:w="1710" w:type="dxa"/>
            <w:shd w:val="clear" w:color="auto" w:fill="auto"/>
            <w:vAlign w:val="center"/>
          </w:tcPr>
          <w:p w14:paraId="7B49FA16" w14:textId="52B138D0" w:rsidR="0071607F" w:rsidRPr="00993B55" w:rsidRDefault="0071607F" w:rsidP="0071607F">
            <w:pPr>
              <w:widowControl w:val="0"/>
              <w:jc w:val="center"/>
              <w:rPr>
                <w:sz w:val="22"/>
              </w:rPr>
            </w:pPr>
            <w:r w:rsidRPr="00EB3B51">
              <w:rPr>
                <w:color w:val="0000FF"/>
              </w:rPr>
              <w:t>X,XXX</w:t>
            </w:r>
          </w:p>
        </w:tc>
        <w:tc>
          <w:tcPr>
            <w:tcW w:w="1603" w:type="dxa"/>
            <w:shd w:val="clear" w:color="auto" w:fill="auto"/>
            <w:vAlign w:val="center"/>
          </w:tcPr>
          <w:p w14:paraId="600C1F8B" w14:textId="73DD6989" w:rsidR="0071607F" w:rsidRPr="00993B55" w:rsidRDefault="0071607F" w:rsidP="0071607F">
            <w:pPr>
              <w:widowControl w:val="0"/>
              <w:jc w:val="center"/>
              <w:rPr>
                <w:sz w:val="22"/>
              </w:rPr>
            </w:pPr>
            <w:r w:rsidRPr="00EB3B51">
              <w:rPr>
                <w:color w:val="0000FF"/>
              </w:rPr>
              <w:t>X,XXX</w:t>
            </w:r>
          </w:p>
        </w:tc>
      </w:tr>
      <w:tr w:rsidR="0071607F" w:rsidRPr="00993B55" w14:paraId="58C10E38" w14:textId="77777777" w:rsidTr="0071607F">
        <w:trPr>
          <w:cantSplit/>
          <w:trHeight w:val="138"/>
        </w:trPr>
        <w:tc>
          <w:tcPr>
            <w:tcW w:w="3543" w:type="dxa"/>
            <w:vAlign w:val="center"/>
          </w:tcPr>
          <w:p w14:paraId="73E77E08" w14:textId="77777777" w:rsidR="0071607F" w:rsidRPr="00993B55" w:rsidRDefault="0071607F" w:rsidP="0071607F">
            <w:pPr>
              <w:widowControl w:val="0"/>
              <w:jc w:val="center"/>
              <w:rPr>
                <w:sz w:val="22"/>
              </w:rPr>
            </w:pPr>
            <w:r w:rsidRPr="00993B55">
              <w:rPr>
                <w:sz w:val="22"/>
              </w:rPr>
              <w:t xml:space="preserve">Amount Remaining </w:t>
            </w:r>
          </w:p>
        </w:tc>
        <w:tc>
          <w:tcPr>
            <w:tcW w:w="1620" w:type="dxa"/>
            <w:shd w:val="clear" w:color="auto" w:fill="auto"/>
            <w:vAlign w:val="center"/>
          </w:tcPr>
          <w:p w14:paraId="12DAF01F" w14:textId="1026B524" w:rsidR="0071607F" w:rsidRPr="00993B55" w:rsidRDefault="0071607F" w:rsidP="0071607F">
            <w:pPr>
              <w:widowControl w:val="0"/>
              <w:jc w:val="center"/>
              <w:rPr>
                <w:sz w:val="22"/>
              </w:rPr>
            </w:pPr>
            <w:r w:rsidRPr="00EB3B51">
              <w:rPr>
                <w:color w:val="0000FF"/>
              </w:rPr>
              <w:t>X,XXX</w:t>
            </w:r>
          </w:p>
        </w:tc>
        <w:tc>
          <w:tcPr>
            <w:tcW w:w="1620" w:type="dxa"/>
            <w:shd w:val="clear" w:color="auto" w:fill="auto"/>
            <w:vAlign w:val="center"/>
          </w:tcPr>
          <w:p w14:paraId="743A886F" w14:textId="37FFF008" w:rsidR="0071607F" w:rsidRPr="00993B55" w:rsidRDefault="0071607F" w:rsidP="0071607F">
            <w:pPr>
              <w:widowControl w:val="0"/>
              <w:jc w:val="center"/>
              <w:rPr>
                <w:sz w:val="22"/>
              </w:rPr>
            </w:pPr>
            <w:r w:rsidRPr="00EB3B51">
              <w:rPr>
                <w:color w:val="0000FF"/>
              </w:rPr>
              <w:t>X,XXX</w:t>
            </w:r>
          </w:p>
        </w:tc>
        <w:tc>
          <w:tcPr>
            <w:tcW w:w="1710" w:type="dxa"/>
            <w:shd w:val="clear" w:color="auto" w:fill="auto"/>
            <w:vAlign w:val="center"/>
          </w:tcPr>
          <w:p w14:paraId="04910CDA" w14:textId="70A84775" w:rsidR="0071607F" w:rsidRPr="00993B55" w:rsidRDefault="0071607F" w:rsidP="0071607F">
            <w:pPr>
              <w:widowControl w:val="0"/>
              <w:jc w:val="center"/>
              <w:rPr>
                <w:sz w:val="22"/>
              </w:rPr>
            </w:pPr>
            <w:r w:rsidRPr="00EB3B51">
              <w:rPr>
                <w:color w:val="0000FF"/>
              </w:rPr>
              <w:t>X,XXX</w:t>
            </w:r>
          </w:p>
        </w:tc>
        <w:tc>
          <w:tcPr>
            <w:tcW w:w="1603" w:type="dxa"/>
            <w:shd w:val="clear" w:color="auto" w:fill="auto"/>
            <w:vAlign w:val="center"/>
          </w:tcPr>
          <w:p w14:paraId="4BA6CADB" w14:textId="02CA4A92" w:rsidR="0071607F" w:rsidRPr="00993B55" w:rsidRDefault="0071607F" w:rsidP="0071607F">
            <w:pPr>
              <w:widowControl w:val="0"/>
              <w:jc w:val="center"/>
              <w:rPr>
                <w:sz w:val="22"/>
              </w:rPr>
            </w:pPr>
            <w:r w:rsidRPr="00EB3B51">
              <w:rPr>
                <w:color w:val="0000FF"/>
              </w:rPr>
              <w:t>X,XXX</w:t>
            </w:r>
          </w:p>
        </w:tc>
      </w:tr>
      <w:tr w:rsidR="0071607F" w:rsidRPr="00D940ED" w14:paraId="7036DDC4" w14:textId="77777777" w:rsidTr="0071607F">
        <w:trPr>
          <w:cantSplit/>
          <w:trHeight w:val="138"/>
        </w:trPr>
        <w:tc>
          <w:tcPr>
            <w:tcW w:w="3543" w:type="dxa"/>
            <w:vAlign w:val="center"/>
          </w:tcPr>
          <w:p w14:paraId="014B724F" w14:textId="77777777" w:rsidR="0071607F" w:rsidRPr="00993B55" w:rsidRDefault="0071607F" w:rsidP="0071607F">
            <w:pPr>
              <w:widowControl w:val="0"/>
              <w:jc w:val="center"/>
              <w:rPr>
                <w:sz w:val="22"/>
              </w:rPr>
            </w:pPr>
            <w:r w:rsidRPr="00993B55">
              <w:rPr>
                <w:sz w:val="22"/>
              </w:rPr>
              <w:t xml:space="preserve">Credits reissued under </w:t>
            </w:r>
          </w:p>
          <w:p w14:paraId="466CECC2" w14:textId="4AB7EA63" w:rsidR="0071607F" w:rsidRPr="00D940ED" w:rsidRDefault="0071607F" w:rsidP="0071607F">
            <w:pPr>
              <w:widowControl w:val="0"/>
              <w:jc w:val="center"/>
              <w:rPr>
                <w:sz w:val="22"/>
              </w:rPr>
            </w:pPr>
            <w:r w:rsidRPr="00993B55">
              <w:rPr>
                <w:sz w:val="22"/>
              </w:rPr>
              <w:t xml:space="preserve">ERC </w:t>
            </w:r>
            <w:r w:rsidRPr="0071607F">
              <w:rPr>
                <w:color w:val="0000FF"/>
                <w:sz w:val="22"/>
              </w:rPr>
              <w:t>X-YYYY</w:t>
            </w:r>
            <w:r w:rsidRPr="00993B55">
              <w:rPr>
                <w:sz w:val="22"/>
              </w:rPr>
              <w:t>-4</w:t>
            </w:r>
          </w:p>
        </w:tc>
        <w:tc>
          <w:tcPr>
            <w:tcW w:w="1620" w:type="dxa"/>
            <w:shd w:val="clear" w:color="auto" w:fill="auto"/>
            <w:vAlign w:val="center"/>
          </w:tcPr>
          <w:p w14:paraId="5BC3A0D3" w14:textId="259B6848" w:rsidR="0071607F" w:rsidRPr="00D940ED" w:rsidRDefault="0071607F" w:rsidP="0071607F">
            <w:pPr>
              <w:widowControl w:val="0"/>
              <w:jc w:val="center"/>
              <w:rPr>
                <w:sz w:val="22"/>
              </w:rPr>
            </w:pPr>
            <w:r w:rsidRPr="00EB3B51">
              <w:rPr>
                <w:color w:val="0000FF"/>
              </w:rPr>
              <w:t>X,XXX</w:t>
            </w:r>
          </w:p>
        </w:tc>
        <w:tc>
          <w:tcPr>
            <w:tcW w:w="1620" w:type="dxa"/>
            <w:shd w:val="clear" w:color="auto" w:fill="auto"/>
            <w:vAlign w:val="center"/>
          </w:tcPr>
          <w:p w14:paraId="7AFD957E" w14:textId="55FC5033" w:rsidR="0071607F" w:rsidRPr="00D940ED" w:rsidRDefault="0071607F" w:rsidP="0071607F">
            <w:pPr>
              <w:widowControl w:val="0"/>
              <w:jc w:val="center"/>
              <w:rPr>
                <w:sz w:val="22"/>
              </w:rPr>
            </w:pPr>
            <w:r w:rsidRPr="00EB3B51">
              <w:rPr>
                <w:color w:val="0000FF"/>
              </w:rPr>
              <w:t>X,XXX</w:t>
            </w:r>
          </w:p>
        </w:tc>
        <w:tc>
          <w:tcPr>
            <w:tcW w:w="1710" w:type="dxa"/>
            <w:shd w:val="clear" w:color="auto" w:fill="auto"/>
            <w:vAlign w:val="center"/>
          </w:tcPr>
          <w:p w14:paraId="6D5CF09E" w14:textId="4B9D8E4B" w:rsidR="0071607F" w:rsidRPr="00D940ED" w:rsidRDefault="0071607F" w:rsidP="0071607F">
            <w:pPr>
              <w:widowControl w:val="0"/>
              <w:jc w:val="center"/>
              <w:rPr>
                <w:sz w:val="22"/>
              </w:rPr>
            </w:pPr>
            <w:r w:rsidRPr="00EB3B51">
              <w:rPr>
                <w:color w:val="0000FF"/>
              </w:rPr>
              <w:t>X,XXX</w:t>
            </w:r>
          </w:p>
        </w:tc>
        <w:tc>
          <w:tcPr>
            <w:tcW w:w="1603" w:type="dxa"/>
            <w:shd w:val="clear" w:color="auto" w:fill="auto"/>
            <w:vAlign w:val="center"/>
          </w:tcPr>
          <w:p w14:paraId="2187C254" w14:textId="76689DF2" w:rsidR="0071607F" w:rsidRPr="00D940ED" w:rsidRDefault="0071607F" w:rsidP="0071607F">
            <w:pPr>
              <w:widowControl w:val="0"/>
              <w:jc w:val="center"/>
              <w:rPr>
                <w:sz w:val="22"/>
              </w:rPr>
            </w:pPr>
            <w:r w:rsidRPr="00EB3B51">
              <w:rPr>
                <w:color w:val="0000FF"/>
              </w:rPr>
              <w:t>X,XXX</w:t>
            </w:r>
          </w:p>
        </w:tc>
      </w:tr>
    </w:tbl>
    <w:p w14:paraId="03E68C76" w14:textId="77777777" w:rsidR="000177D5" w:rsidRDefault="000177D5" w:rsidP="007A60F3">
      <w:pPr>
        <w:widowControl w:val="0"/>
        <w:tabs>
          <w:tab w:val="left" w:pos="1260"/>
          <w:tab w:val="left" w:pos="1530"/>
        </w:tabs>
        <w:autoSpaceDE w:val="0"/>
        <w:autoSpaceDN w:val="0"/>
        <w:adjustRightInd w:val="0"/>
        <w:ind w:left="360"/>
        <w:rPr>
          <w:bCs/>
          <w:snapToGrid w:val="0"/>
          <w:color w:val="000000"/>
        </w:rPr>
      </w:pPr>
    </w:p>
    <w:p w14:paraId="3EA73FD8" w14:textId="77777777" w:rsidR="000177D5" w:rsidRPr="009528C7" w:rsidRDefault="000177D5" w:rsidP="007A60F3">
      <w:pPr>
        <w:widowControl w:val="0"/>
        <w:tabs>
          <w:tab w:val="left" w:pos="1260"/>
          <w:tab w:val="left" w:pos="1530"/>
        </w:tabs>
        <w:autoSpaceDE w:val="0"/>
        <w:autoSpaceDN w:val="0"/>
        <w:adjustRightInd w:val="0"/>
        <w:ind w:left="360"/>
        <w:rPr>
          <w:bCs/>
          <w:i/>
          <w:snapToGrid w:val="0"/>
          <w:color w:val="FF0000"/>
        </w:rPr>
      </w:pPr>
    </w:p>
    <w:p w14:paraId="3149050E" w14:textId="77777777" w:rsidR="000177D5" w:rsidRDefault="000177D5" w:rsidP="007A60F3">
      <w:pPr>
        <w:widowControl w:val="0"/>
        <w:tabs>
          <w:tab w:val="left" w:pos="1260"/>
          <w:tab w:val="left" w:pos="1530"/>
        </w:tabs>
        <w:autoSpaceDE w:val="0"/>
        <w:autoSpaceDN w:val="0"/>
        <w:adjustRightInd w:val="0"/>
        <w:ind w:left="360"/>
        <w:rPr>
          <w:bCs/>
          <w:snapToGrid w:val="0"/>
          <w:color w:val="000000"/>
        </w:rPr>
      </w:pPr>
    </w:p>
    <w:p w14:paraId="5953BDC8" w14:textId="77777777" w:rsidR="000177D5" w:rsidRDefault="000177D5" w:rsidP="007A60F3">
      <w:pPr>
        <w:widowControl w:val="0"/>
        <w:tabs>
          <w:tab w:val="left" w:pos="1260"/>
          <w:tab w:val="left" w:pos="1530"/>
        </w:tabs>
        <w:autoSpaceDE w:val="0"/>
        <w:autoSpaceDN w:val="0"/>
        <w:adjustRightInd w:val="0"/>
        <w:ind w:left="360"/>
        <w:rPr>
          <w:bCs/>
          <w:snapToGrid w:val="0"/>
          <w:color w:val="000000"/>
        </w:rPr>
      </w:pPr>
    </w:p>
    <w:p w14:paraId="0BB9E1EC" w14:textId="0547C148" w:rsidR="00D567EC" w:rsidRDefault="00D567EC" w:rsidP="007A60F3">
      <w:pPr>
        <w:widowControl w:val="0"/>
        <w:jc w:val="left"/>
      </w:pPr>
      <w:r>
        <w:br w:type="page"/>
      </w:r>
    </w:p>
    <w:p w14:paraId="6F2D2D1D" w14:textId="77777777" w:rsidR="00D567EC" w:rsidRPr="00993B55" w:rsidRDefault="00D567EC" w:rsidP="007A60F3">
      <w:pPr>
        <w:widowControl w:val="0"/>
        <w:rPr>
          <w:bCs/>
          <w:color w:val="000000"/>
        </w:rPr>
      </w:pPr>
    </w:p>
    <w:p w14:paraId="33289651" w14:textId="77777777" w:rsidR="00D567EC" w:rsidRPr="00993B55" w:rsidRDefault="00D567EC" w:rsidP="007A60F3">
      <w:pPr>
        <w:widowControl w:val="0"/>
        <w:rPr>
          <w:color w:val="000000"/>
        </w:rPr>
      </w:pPr>
    </w:p>
    <w:p w14:paraId="371B60BE" w14:textId="77777777" w:rsidR="00D567EC" w:rsidRPr="00993B55" w:rsidRDefault="00D567EC" w:rsidP="007A60F3">
      <w:pPr>
        <w:widowControl w:val="0"/>
        <w:rPr>
          <w:color w:val="000000"/>
        </w:rPr>
      </w:pPr>
    </w:p>
    <w:p w14:paraId="305B1F28" w14:textId="77777777" w:rsidR="00D567EC" w:rsidRPr="00993B55" w:rsidRDefault="00D567EC" w:rsidP="007A60F3">
      <w:pPr>
        <w:widowControl w:val="0"/>
        <w:rPr>
          <w:color w:val="000000"/>
        </w:rPr>
      </w:pPr>
    </w:p>
    <w:p w14:paraId="32C71BF9" w14:textId="77777777" w:rsidR="00D567EC" w:rsidRPr="00993B55" w:rsidRDefault="00D567EC" w:rsidP="007A60F3">
      <w:pPr>
        <w:widowControl w:val="0"/>
        <w:rPr>
          <w:color w:val="000000"/>
        </w:rPr>
      </w:pPr>
    </w:p>
    <w:p w14:paraId="1B88DC27" w14:textId="77777777" w:rsidR="00D567EC" w:rsidRPr="00993B55" w:rsidRDefault="00D567EC" w:rsidP="007A60F3">
      <w:pPr>
        <w:widowControl w:val="0"/>
        <w:rPr>
          <w:color w:val="000000"/>
        </w:rPr>
      </w:pPr>
    </w:p>
    <w:p w14:paraId="6C727C96" w14:textId="77777777" w:rsidR="00D567EC" w:rsidRPr="00993B55" w:rsidRDefault="00D567EC" w:rsidP="007A60F3">
      <w:pPr>
        <w:widowControl w:val="0"/>
        <w:rPr>
          <w:color w:val="000000"/>
        </w:rPr>
      </w:pPr>
    </w:p>
    <w:p w14:paraId="7F227E13" w14:textId="77777777" w:rsidR="00D567EC" w:rsidRPr="00993B55" w:rsidRDefault="00D567EC" w:rsidP="007A60F3">
      <w:pPr>
        <w:widowControl w:val="0"/>
        <w:rPr>
          <w:color w:val="000000"/>
        </w:rPr>
      </w:pPr>
    </w:p>
    <w:p w14:paraId="694B9B35" w14:textId="77777777" w:rsidR="00D567EC" w:rsidRPr="00993B55" w:rsidRDefault="00D567EC" w:rsidP="007A60F3">
      <w:pPr>
        <w:widowControl w:val="0"/>
        <w:rPr>
          <w:color w:val="000000"/>
        </w:rPr>
      </w:pPr>
    </w:p>
    <w:p w14:paraId="148E2749" w14:textId="77777777" w:rsidR="00D567EC" w:rsidRPr="00993B55" w:rsidRDefault="00D567EC" w:rsidP="007A60F3">
      <w:pPr>
        <w:widowControl w:val="0"/>
        <w:rPr>
          <w:color w:val="000000"/>
        </w:rPr>
      </w:pPr>
    </w:p>
    <w:p w14:paraId="2C85C5A1" w14:textId="77777777" w:rsidR="00D567EC" w:rsidRPr="00993B55" w:rsidRDefault="00D567EC" w:rsidP="007A60F3">
      <w:pPr>
        <w:widowControl w:val="0"/>
        <w:rPr>
          <w:color w:val="000000"/>
        </w:rPr>
      </w:pPr>
    </w:p>
    <w:p w14:paraId="22FB8E7A" w14:textId="509965FC" w:rsidR="00D567EC" w:rsidRPr="00993B55" w:rsidRDefault="00D567EC" w:rsidP="007A60F3">
      <w:pPr>
        <w:widowControl w:val="0"/>
        <w:jc w:val="center"/>
        <w:rPr>
          <w:b/>
          <w:bCs/>
          <w:sz w:val="32"/>
        </w:rPr>
      </w:pPr>
      <w:r w:rsidRPr="00993B55">
        <w:rPr>
          <w:b/>
          <w:bCs/>
          <w:sz w:val="32"/>
        </w:rPr>
        <w:t xml:space="preserve">APPENDIX </w:t>
      </w:r>
      <w:r w:rsidR="00163B71" w:rsidRPr="006118C3">
        <w:rPr>
          <w:b/>
          <w:bCs/>
          <w:color w:val="0000FF"/>
          <w:sz w:val="32"/>
        </w:rPr>
        <w:t>E</w:t>
      </w:r>
    </w:p>
    <w:p w14:paraId="2CCE9949" w14:textId="6AEB8EAA" w:rsidR="006E2CE7" w:rsidRDefault="008A454D" w:rsidP="007A60F3">
      <w:pPr>
        <w:widowControl w:val="0"/>
        <w:jc w:val="center"/>
        <w:rPr>
          <w:b/>
          <w:bCs/>
          <w:sz w:val="28"/>
        </w:rPr>
      </w:pPr>
      <w:r>
        <w:rPr>
          <w:b/>
          <w:bCs/>
          <w:sz w:val="28"/>
        </w:rPr>
        <w:t xml:space="preserve">HAP </w:t>
      </w:r>
      <w:r w:rsidR="00D567EC">
        <w:rPr>
          <w:b/>
          <w:bCs/>
          <w:sz w:val="28"/>
        </w:rPr>
        <w:t>Major Source Determination</w:t>
      </w:r>
    </w:p>
    <w:p w14:paraId="69CCFBE1" w14:textId="77777777" w:rsidR="006E2CE7" w:rsidRDefault="006E2CE7" w:rsidP="007A60F3">
      <w:pPr>
        <w:widowControl w:val="0"/>
        <w:jc w:val="left"/>
        <w:rPr>
          <w:b/>
          <w:bCs/>
          <w:sz w:val="28"/>
        </w:rPr>
      </w:pPr>
      <w:r>
        <w:rPr>
          <w:b/>
          <w:bCs/>
          <w:sz w:val="28"/>
        </w:rPr>
        <w:br w:type="page"/>
      </w:r>
    </w:p>
    <w:p w14:paraId="6BDDC660" w14:textId="34E11F8C" w:rsidR="00554AE3" w:rsidRPr="00AC5150" w:rsidRDefault="00AC5150" w:rsidP="007A60F3">
      <w:pPr>
        <w:widowControl w:val="0"/>
        <w:ind w:left="450"/>
        <w:rPr>
          <w:color w:val="FF0000"/>
        </w:rPr>
      </w:pPr>
      <w:r>
        <w:rPr>
          <w:color w:val="FF0000"/>
        </w:rPr>
        <w:lastRenderedPageBreak/>
        <w:t>When</w:t>
      </w:r>
      <w:r w:rsidR="00826184">
        <w:rPr>
          <w:color w:val="FF0000"/>
        </w:rPr>
        <w:t xml:space="preserve"> </w:t>
      </w:r>
      <w:r>
        <w:rPr>
          <w:color w:val="FF0000"/>
        </w:rPr>
        <w:t>p</w:t>
      </w:r>
      <w:r w:rsidR="00554C1E">
        <w:rPr>
          <w:color w:val="FF0000"/>
        </w:rPr>
        <w:t>erform</w:t>
      </w:r>
      <w:r>
        <w:rPr>
          <w:color w:val="FF0000"/>
        </w:rPr>
        <w:t>ing</w:t>
      </w:r>
      <w:r w:rsidR="00554C1E">
        <w:rPr>
          <w:color w:val="FF0000"/>
        </w:rPr>
        <w:t xml:space="preserve"> </w:t>
      </w:r>
      <w:r>
        <w:rPr>
          <w:color w:val="FF0000"/>
        </w:rPr>
        <w:t>a</w:t>
      </w:r>
      <w:r w:rsidR="00826184">
        <w:rPr>
          <w:color w:val="FF0000"/>
        </w:rPr>
        <w:t xml:space="preserve"> </w:t>
      </w:r>
      <w:r w:rsidR="00554C1E">
        <w:rPr>
          <w:color w:val="FF0000"/>
        </w:rPr>
        <w:t>streamlined HAP major source determination</w:t>
      </w:r>
      <w:r w:rsidR="00141066">
        <w:rPr>
          <w:color w:val="FF0000"/>
        </w:rPr>
        <w:t xml:space="preserve"> where the SSPE</w:t>
      </w:r>
      <w:r w:rsidR="00141066">
        <w:rPr>
          <w:color w:val="FF0000"/>
          <w:vertAlign w:val="subscript"/>
        </w:rPr>
        <w:t xml:space="preserve">VOC </w:t>
      </w:r>
      <w:r w:rsidR="00141066">
        <w:rPr>
          <w:color w:val="FF0000"/>
        </w:rPr>
        <w:t>+ SSPE</w:t>
      </w:r>
      <w:r w:rsidR="00141066">
        <w:rPr>
          <w:color w:val="FF0000"/>
          <w:vertAlign w:val="subscript"/>
        </w:rPr>
        <w:t>PM10</w:t>
      </w:r>
      <w:r w:rsidR="00141066">
        <w:rPr>
          <w:color w:val="FF0000"/>
        </w:rPr>
        <w:t xml:space="preserve"> = SSPE</w:t>
      </w:r>
      <w:r w:rsidR="00141066">
        <w:rPr>
          <w:color w:val="FF0000"/>
          <w:vertAlign w:val="subscript"/>
        </w:rPr>
        <w:t>HAPs</w:t>
      </w:r>
      <w:r>
        <w:rPr>
          <w:color w:val="FF0000"/>
        </w:rPr>
        <w:t>,</w:t>
      </w:r>
      <w:r w:rsidR="00826184">
        <w:rPr>
          <w:color w:val="FF0000"/>
        </w:rPr>
        <w:t xml:space="preserve"> </w:t>
      </w:r>
      <w:r>
        <w:rPr>
          <w:color w:val="FF0000"/>
        </w:rPr>
        <w:t>use the following, otherwise delete</w:t>
      </w:r>
      <w:r w:rsidR="009F0F37">
        <w:rPr>
          <w:color w:val="FF0000"/>
        </w:rPr>
        <w:t xml:space="preserve"> and use Tech Services’ evaluation if Tech Services is performing the calculations</w:t>
      </w:r>
      <w:r>
        <w:rPr>
          <w:color w:val="FF0000"/>
        </w:rPr>
        <w:t>.</w:t>
      </w:r>
    </w:p>
    <w:p w14:paraId="29962E5D" w14:textId="0C3F4C64" w:rsidR="00554AE3" w:rsidRDefault="00554AE3" w:rsidP="007A60F3">
      <w:pPr>
        <w:widowControl w:val="0"/>
        <w:ind w:left="450"/>
      </w:pPr>
    </w:p>
    <w:p w14:paraId="7362425C" w14:textId="48DCFAEE" w:rsidR="00B37631" w:rsidRPr="00AC5150" w:rsidRDefault="00B37631" w:rsidP="007A60F3">
      <w:pPr>
        <w:widowControl w:val="0"/>
        <w:ind w:left="450"/>
        <w:rPr>
          <w:i/>
          <w:iCs/>
          <w:color w:val="0000FF"/>
          <w:u w:val="single"/>
        </w:rPr>
      </w:pPr>
      <w:r w:rsidRPr="00AC5150">
        <w:rPr>
          <w:i/>
          <w:iCs/>
          <w:color w:val="0000FF"/>
          <w:u w:val="single"/>
        </w:rPr>
        <w:t>For exa</w:t>
      </w:r>
      <w:r w:rsidR="00C020DB">
        <w:rPr>
          <w:i/>
          <w:iCs/>
          <w:color w:val="0000FF"/>
          <w:u w:val="single"/>
        </w:rPr>
        <w:t>m</w:t>
      </w:r>
      <w:r w:rsidRPr="00AC5150">
        <w:rPr>
          <w:i/>
          <w:iCs/>
          <w:color w:val="0000FF"/>
          <w:u w:val="single"/>
        </w:rPr>
        <w:t>ple:</w:t>
      </w:r>
      <w:r w:rsidR="00DC4764" w:rsidRPr="00AC5150">
        <w:rPr>
          <w:i/>
          <w:iCs/>
          <w:color w:val="0000FF"/>
        </w:rPr>
        <w:tab/>
      </w:r>
      <w:r w:rsidR="00DC4764">
        <w:rPr>
          <w:i/>
          <w:iCs/>
          <w:color w:val="0000FF"/>
        </w:rPr>
        <w:t>(For a facility with a turbine)</w:t>
      </w:r>
    </w:p>
    <w:p w14:paraId="67445E7E" w14:textId="36104790" w:rsidR="008A1FB9" w:rsidRPr="00BF5E3F" w:rsidRDefault="008A1FB9" w:rsidP="007A60F3">
      <w:pPr>
        <w:widowControl w:val="0"/>
        <w:ind w:left="450"/>
      </w:pPr>
      <w:r w:rsidRPr="00BF5E3F">
        <w:t>For determining whether this facility is a major source of HAP emissions, the following assumptions will be made:</w:t>
      </w:r>
    </w:p>
    <w:p w14:paraId="44E9F099" w14:textId="77777777" w:rsidR="008A1FB9" w:rsidRPr="00BF5E3F" w:rsidRDefault="008A1FB9" w:rsidP="007A60F3">
      <w:pPr>
        <w:widowControl w:val="0"/>
        <w:ind w:left="450"/>
      </w:pPr>
    </w:p>
    <w:p w14:paraId="5DBFFBD7" w14:textId="77777777" w:rsidR="008A1FB9" w:rsidRPr="00AC5150" w:rsidRDefault="008A1FB9" w:rsidP="007A60F3">
      <w:pPr>
        <w:pStyle w:val="ListParagraph"/>
        <w:widowControl w:val="0"/>
        <w:numPr>
          <w:ilvl w:val="0"/>
          <w:numId w:val="49"/>
        </w:numPr>
        <w:ind w:left="1080"/>
        <w:rPr>
          <w:color w:val="0000FF"/>
        </w:rPr>
      </w:pPr>
      <w:r w:rsidRPr="00AC5150">
        <w:rPr>
          <w:color w:val="0000FF"/>
        </w:rPr>
        <w:t>Given that the majority of HAPs are also classified as VOC and PM, HAPs are composed of VOC and PM only.</w:t>
      </w:r>
    </w:p>
    <w:p w14:paraId="292D5447" w14:textId="77777777" w:rsidR="008A1FB9" w:rsidRPr="00AC5150" w:rsidRDefault="008A1FB9" w:rsidP="007A60F3">
      <w:pPr>
        <w:pStyle w:val="ListParagraph"/>
        <w:widowControl w:val="0"/>
        <w:numPr>
          <w:ilvl w:val="0"/>
          <w:numId w:val="49"/>
        </w:numPr>
        <w:ind w:left="1080"/>
        <w:rPr>
          <w:color w:val="0000FF"/>
        </w:rPr>
      </w:pPr>
      <w:r w:rsidRPr="00AC5150">
        <w:rPr>
          <w:color w:val="0000FF"/>
        </w:rPr>
        <w:t>All PM is PM10.</w:t>
      </w:r>
    </w:p>
    <w:p w14:paraId="4B06F438" w14:textId="410DB7C8" w:rsidR="008A1FB9" w:rsidRPr="00AC5150" w:rsidRDefault="008A1FB9" w:rsidP="007A60F3">
      <w:pPr>
        <w:pStyle w:val="ListParagraph"/>
        <w:widowControl w:val="0"/>
        <w:numPr>
          <w:ilvl w:val="0"/>
          <w:numId w:val="49"/>
        </w:numPr>
        <w:ind w:left="1080"/>
        <w:rPr>
          <w:color w:val="0000FF"/>
        </w:rPr>
      </w:pPr>
      <w:r w:rsidRPr="00AC5150">
        <w:rPr>
          <w:color w:val="0000FF"/>
        </w:rPr>
        <w:t xml:space="preserve">All VOC and PM10 emissions, presented in Section VII.C.4 of this document, are </w:t>
      </w:r>
      <w:r w:rsidR="00304FF8">
        <w:rPr>
          <w:color w:val="0000FF"/>
        </w:rPr>
        <w:t xml:space="preserve">assumed to be </w:t>
      </w:r>
      <w:r w:rsidRPr="00AC5150">
        <w:rPr>
          <w:color w:val="0000FF"/>
        </w:rPr>
        <w:t>HAP emissions for all units except for the</w:t>
      </w:r>
      <w:r w:rsidR="00523CFA" w:rsidRPr="00AC5150">
        <w:rPr>
          <w:color w:val="0000FF"/>
        </w:rPr>
        <w:t xml:space="preserve"> </w:t>
      </w:r>
      <w:r w:rsidRPr="00AC5150">
        <w:rPr>
          <w:color w:val="0000FF"/>
        </w:rPr>
        <w:t>turbine.</w:t>
      </w:r>
    </w:p>
    <w:p w14:paraId="64D3ECAC" w14:textId="77777777" w:rsidR="008A1FB9" w:rsidRPr="00BF5E3F" w:rsidRDefault="008A1FB9" w:rsidP="007A60F3">
      <w:pPr>
        <w:widowControl w:val="0"/>
        <w:ind w:left="450"/>
      </w:pPr>
    </w:p>
    <w:p w14:paraId="312B64A4" w14:textId="24A5F4C6" w:rsidR="008A1FB9" w:rsidRPr="00BF5E3F" w:rsidRDefault="00022F7E" w:rsidP="007A60F3">
      <w:pPr>
        <w:widowControl w:val="0"/>
        <w:ind w:left="630"/>
        <w:rPr>
          <w:u w:val="single"/>
        </w:rPr>
      </w:pPr>
      <w:r>
        <w:rPr>
          <w:u w:val="single"/>
        </w:rPr>
        <w:t xml:space="preserve">HAP PE for </w:t>
      </w:r>
      <w:r w:rsidR="008A1FB9" w:rsidRPr="00BF5E3F">
        <w:rPr>
          <w:u w:val="single"/>
        </w:rPr>
        <w:t>All Permit Units Except for</w:t>
      </w:r>
      <w:r w:rsidR="00200DBC">
        <w:rPr>
          <w:u w:val="single"/>
        </w:rPr>
        <w:t xml:space="preserve"> the </w:t>
      </w:r>
      <w:r w:rsidR="00552219" w:rsidRPr="00AC5150">
        <w:rPr>
          <w:color w:val="0000FF"/>
          <w:u w:val="single"/>
        </w:rPr>
        <w:t>Turbine</w:t>
      </w:r>
    </w:p>
    <w:p w14:paraId="68C0BF78" w14:textId="77777777" w:rsidR="008A1FB9" w:rsidRPr="00BF5E3F" w:rsidRDefault="008A1FB9" w:rsidP="007A60F3">
      <w:pPr>
        <w:widowControl w:val="0"/>
        <w:ind w:left="450"/>
      </w:pPr>
    </w:p>
    <w:p w14:paraId="457E3AE8" w14:textId="2F16B1E8" w:rsidR="008A1FB9" w:rsidRPr="00BF5E3F" w:rsidRDefault="008A1FB9" w:rsidP="007A60F3">
      <w:pPr>
        <w:widowControl w:val="0"/>
        <w:ind w:left="630"/>
      </w:pPr>
      <w:r w:rsidRPr="00BF5E3F">
        <w:t xml:space="preserve">Using the values </w:t>
      </w:r>
      <w:r w:rsidRPr="00AC5150">
        <w:rPr>
          <w:color w:val="0000FF"/>
        </w:rPr>
        <w:t>presented in Section VII.C.4 of this document</w:t>
      </w:r>
      <w:r w:rsidRPr="00BF5E3F">
        <w:t xml:space="preserve">, HAP </w:t>
      </w:r>
      <w:r w:rsidR="004B52F3">
        <w:t>PEs</w:t>
      </w:r>
      <w:r w:rsidRPr="00BF5E3F">
        <w:t xml:space="preserve"> from all permit units except for </w:t>
      </w:r>
      <w:r w:rsidR="00D63BFD">
        <w:t xml:space="preserve">the </w:t>
      </w:r>
      <w:r w:rsidR="00D63BFD" w:rsidRPr="00AC5150">
        <w:rPr>
          <w:color w:val="0000FF"/>
        </w:rPr>
        <w:t>turbine</w:t>
      </w:r>
      <w:r w:rsidRPr="00BF5E3F">
        <w:t xml:space="preserve"> </w:t>
      </w:r>
      <w:r w:rsidR="004B52F3">
        <w:t>are</w:t>
      </w:r>
      <w:r w:rsidRPr="00BF5E3F">
        <w:t xml:space="preserve"> as follows:</w:t>
      </w:r>
    </w:p>
    <w:p w14:paraId="16A6A7BB" w14:textId="77777777" w:rsidR="008A1FB9" w:rsidRPr="00BF5E3F" w:rsidRDefault="008A1FB9" w:rsidP="007A60F3">
      <w:pPr>
        <w:widowControl w:val="0"/>
        <w:ind w:left="630"/>
      </w:pPr>
    </w:p>
    <w:tbl>
      <w:tblPr>
        <w:tblW w:w="5670"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170"/>
        <w:gridCol w:w="990"/>
        <w:gridCol w:w="1890"/>
      </w:tblGrid>
      <w:tr w:rsidR="008A1FB9" w:rsidRPr="00BF5E3F" w14:paraId="720E6475" w14:textId="77777777" w:rsidTr="00B06795">
        <w:trPr>
          <w:cantSplit/>
          <w:trHeight w:val="42"/>
        </w:trPr>
        <w:tc>
          <w:tcPr>
            <w:tcW w:w="5670" w:type="dxa"/>
            <w:gridSpan w:val="4"/>
            <w:shd w:val="clear" w:color="auto" w:fill="D9D9D9" w:themeFill="background1" w:themeFillShade="D9"/>
            <w:vAlign w:val="center"/>
          </w:tcPr>
          <w:p w14:paraId="127D756C" w14:textId="77777777" w:rsidR="008A1FB9" w:rsidRPr="00BF5E3F" w:rsidRDefault="008A1FB9" w:rsidP="007A60F3">
            <w:pPr>
              <w:widowControl w:val="0"/>
              <w:jc w:val="center"/>
              <w:rPr>
                <w:rFonts w:cs="Arial"/>
                <w:b/>
                <w:sz w:val="22"/>
                <w:szCs w:val="22"/>
              </w:rPr>
            </w:pPr>
            <w:r w:rsidRPr="00BF5E3F">
              <w:rPr>
                <w:rFonts w:cs="Arial"/>
                <w:b/>
                <w:sz w:val="22"/>
                <w:szCs w:val="22"/>
              </w:rPr>
              <w:t>HAP PE (lb/year)</w:t>
            </w:r>
          </w:p>
        </w:tc>
      </w:tr>
      <w:tr w:rsidR="008A1FB9" w:rsidRPr="00BF5E3F" w14:paraId="559A898F" w14:textId="77777777" w:rsidTr="00B06795">
        <w:trPr>
          <w:cantSplit/>
          <w:trHeight w:val="384"/>
        </w:trPr>
        <w:tc>
          <w:tcPr>
            <w:tcW w:w="1620" w:type="dxa"/>
            <w:shd w:val="clear" w:color="auto" w:fill="D9D9D9" w:themeFill="background1" w:themeFillShade="D9"/>
            <w:vAlign w:val="center"/>
          </w:tcPr>
          <w:p w14:paraId="2D30CD7F" w14:textId="77777777" w:rsidR="008A1FB9" w:rsidRPr="00BF5E3F" w:rsidRDefault="008A1FB9" w:rsidP="007A60F3">
            <w:pPr>
              <w:widowControl w:val="0"/>
              <w:jc w:val="center"/>
              <w:rPr>
                <w:rFonts w:cs="Arial"/>
                <w:b/>
                <w:spacing w:val="-3"/>
                <w:sz w:val="22"/>
                <w:szCs w:val="22"/>
              </w:rPr>
            </w:pPr>
            <w:r w:rsidRPr="00BF5E3F">
              <w:rPr>
                <w:rFonts w:cs="Arial"/>
                <w:b/>
                <w:spacing w:val="-3"/>
                <w:sz w:val="22"/>
                <w:szCs w:val="22"/>
              </w:rPr>
              <w:t>Permit Unit</w:t>
            </w:r>
          </w:p>
        </w:tc>
        <w:tc>
          <w:tcPr>
            <w:tcW w:w="1170" w:type="dxa"/>
            <w:shd w:val="clear" w:color="auto" w:fill="D9D9D9" w:themeFill="background1" w:themeFillShade="D9"/>
            <w:vAlign w:val="center"/>
          </w:tcPr>
          <w:p w14:paraId="444857AE" w14:textId="77777777" w:rsidR="008A1FB9" w:rsidRPr="00BF5E3F" w:rsidRDefault="008A1FB9" w:rsidP="007A60F3">
            <w:pPr>
              <w:widowControl w:val="0"/>
              <w:jc w:val="center"/>
              <w:rPr>
                <w:rFonts w:cs="Arial"/>
                <w:b/>
                <w:spacing w:val="-3"/>
                <w:sz w:val="22"/>
                <w:szCs w:val="22"/>
              </w:rPr>
            </w:pPr>
            <w:r w:rsidRPr="00BF5E3F">
              <w:rPr>
                <w:rFonts w:cs="Arial"/>
                <w:b/>
                <w:sz w:val="22"/>
                <w:szCs w:val="22"/>
              </w:rPr>
              <w:t>PM10</w:t>
            </w:r>
          </w:p>
        </w:tc>
        <w:tc>
          <w:tcPr>
            <w:tcW w:w="990" w:type="dxa"/>
            <w:shd w:val="clear" w:color="auto" w:fill="D9D9D9" w:themeFill="background1" w:themeFillShade="D9"/>
            <w:vAlign w:val="center"/>
          </w:tcPr>
          <w:p w14:paraId="2658802F" w14:textId="77777777" w:rsidR="008A1FB9" w:rsidRPr="00BF5E3F" w:rsidRDefault="008A1FB9" w:rsidP="007A60F3">
            <w:pPr>
              <w:widowControl w:val="0"/>
              <w:jc w:val="center"/>
              <w:rPr>
                <w:rFonts w:cs="Arial"/>
                <w:b/>
                <w:spacing w:val="-3"/>
                <w:sz w:val="22"/>
                <w:szCs w:val="22"/>
              </w:rPr>
            </w:pPr>
            <w:r w:rsidRPr="00BF5E3F">
              <w:rPr>
                <w:rFonts w:cs="Arial"/>
                <w:b/>
                <w:sz w:val="22"/>
                <w:szCs w:val="22"/>
              </w:rPr>
              <w:t>VOC</w:t>
            </w:r>
          </w:p>
        </w:tc>
        <w:tc>
          <w:tcPr>
            <w:tcW w:w="1890" w:type="dxa"/>
            <w:shd w:val="clear" w:color="auto" w:fill="D9D9D9" w:themeFill="background1" w:themeFillShade="D9"/>
            <w:vAlign w:val="center"/>
          </w:tcPr>
          <w:p w14:paraId="2C3A59FA" w14:textId="77777777" w:rsidR="008A1FB9" w:rsidRPr="00BF5E3F" w:rsidRDefault="008A1FB9" w:rsidP="007A60F3">
            <w:pPr>
              <w:widowControl w:val="0"/>
              <w:jc w:val="center"/>
              <w:rPr>
                <w:rFonts w:cs="Arial"/>
                <w:b/>
                <w:spacing w:val="-3"/>
                <w:sz w:val="22"/>
                <w:szCs w:val="22"/>
              </w:rPr>
            </w:pPr>
            <w:r w:rsidRPr="00BF5E3F">
              <w:rPr>
                <w:rFonts w:cs="Arial"/>
                <w:b/>
                <w:spacing w:val="-3"/>
                <w:sz w:val="22"/>
                <w:szCs w:val="22"/>
              </w:rPr>
              <w:t>HAP Emissions</w:t>
            </w:r>
          </w:p>
        </w:tc>
      </w:tr>
      <w:tr w:rsidR="008A1FB9" w:rsidRPr="00BF5E3F" w14:paraId="23416C8C" w14:textId="77777777" w:rsidTr="00B06795">
        <w:trPr>
          <w:cantSplit/>
          <w:trHeight w:val="60"/>
        </w:trPr>
        <w:tc>
          <w:tcPr>
            <w:tcW w:w="1620" w:type="dxa"/>
            <w:shd w:val="clear" w:color="auto" w:fill="auto"/>
            <w:vAlign w:val="center"/>
          </w:tcPr>
          <w:p w14:paraId="249C2691" w14:textId="78F7D7F0" w:rsidR="008A1FB9" w:rsidRPr="00BF5E3F" w:rsidRDefault="00C47C40" w:rsidP="007A60F3">
            <w:pPr>
              <w:widowControl w:val="0"/>
              <w:jc w:val="center"/>
              <w:rPr>
                <w:rFonts w:cs="Arial"/>
                <w:sz w:val="22"/>
                <w:szCs w:val="22"/>
              </w:rPr>
            </w:pPr>
            <w:r>
              <w:rPr>
                <w:rFonts w:cs="Arial"/>
                <w:sz w:val="22"/>
                <w:szCs w:val="22"/>
              </w:rPr>
              <w:t>C</w:t>
            </w:r>
            <w:r w:rsidR="008A1FB9" w:rsidRPr="00BF5E3F">
              <w:rPr>
                <w:rFonts w:cs="Arial"/>
                <w:sz w:val="22"/>
                <w:szCs w:val="22"/>
              </w:rPr>
              <w:t>-</w:t>
            </w:r>
            <w:r>
              <w:rPr>
                <w:rFonts w:cs="Arial"/>
                <w:sz w:val="22"/>
                <w:szCs w:val="22"/>
              </w:rPr>
              <w:t>XXXX</w:t>
            </w:r>
            <w:r w:rsidR="008A1FB9" w:rsidRPr="00BF5E3F">
              <w:rPr>
                <w:rFonts w:cs="Arial"/>
                <w:sz w:val="22"/>
                <w:szCs w:val="22"/>
              </w:rPr>
              <w:t>-</w:t>
            </w:r>
            <w:r>
              <w:rPr>
                <w:rFonts w:cs="Arial"/>
                <w:sz w:val="22"/>
                <w:szCs w:val="22"/>
              </w:rPr>
              <w:t>X</w:t>
            </w:r>
            <w:r w:rsidR="008A1FB9" w:rsidRPr="00BF5E3F">
              <w:rPr>
                <w:rFonts w:cs="Arial"/>
                <w:sz w:val="22"/>
                <w:szCs w:val="22"/>
              </w:rPr>
              <w:t>-</w:t>
            </w:r>
            <w:r>
              <w:rPr>
                <w:rFonts w:cs="Arial"/>
                <w:sz w:val="22"/>
                <w:szCs w:val="22"/>
              </w:rPr>
              <w:t>X</w:t>
            </w:r>
          </w:p>
        </w:tc>
        <w:tc>
          <w:tcPr>
            <w:tcW w:w="1170" w:type="dxa"/>
            <w:shd w:val="clear" w:color="auto" w:fill="auto"/>
            <w:vAlign w:val="center"/>
          </w:tcPr>
          <w:p w14:paraId="15804692" w14:textId="23591950" w:rsidR="008A1FB9" w:rsidRPr="00BF5E3F" w:rsidRDefault="00642D61" w:rsidP="007A60F3">
            <w:pPr>
              <w:widowControl w:val="0"/>
              <w:jc w:val="center"/>
              <w:rPr>
                <w:rFonts w:cs="Arial"/>
                <w:snapToGrid w:val="0"/>
                <w:sz w:val="22"/>
                <w:szCs w:val="22"/>
              </w:rPr>
            </w:pPr>
            <w:r>
              <w:rPr>
                <w:rFonts w:cs="Arial"/>
                <w:snapToGrid w:val="0"/>
                <w:sz w:val="22"/>
                <w:szCs w:val="22"/>
              </w:rPr>
              <w:t>xx</w:t>
            </w:r>
          </w:p>
        </w:tc>
        <w:tc>
          <w:tcPr>
            <w:tcW w:w="990" w:type="dxa"/>
            <w:shd w:val="clear" w:color="auto" w:fill="auto"/>
            <w:vAlign w:val="center"/>
          </w:tcPr>
          <w:p w14:paraId="752003DC" w14:textId="0E19BB5B" w:rsidR="008A1FB9" w:rsidRPr="00BF5E3F" w:rsidRDefault="00642D61" w:rsidP="007A60F3">
            <w:pPr>
              <w:widowControl w:val="0"/>
              <w:jc w:val="center"/>
              <w:rPr>
                <w:rFonts w:cs="Arial"/>
                <w:spacing w:val="-3"/>
                <w:sz w:val="22"/>
                <w:szCs w:val="22"/>
              </w:rPr>
            </w:pPr>
            <w:r>
              <w:rPr>
                <w:rFonts w:cs="Arial"/>
                <w:spacing w:val="-3"/>
                <w:sz w:val="22"/>
                <w:szCs w:val="22"/>
              </w:rPr>
              <w:t>xx</w:t>
            </w:r>
          </w:p>
        </w:tc>
        <w:tc>
          <w:tcPr>
            <w:tcW w:w="1890" w:type="dxa"/>
            <w:shd w:val="clear" w:color="auto" w:fill="auto"/>
            <w:vAlign w:val="center"/>
          </w:tcPr>
          <w:p w14:paraId="6841114C" w14:textId="450B371F" w:rsidR="008A1FB9" w:rsidRPr="00BF5E3F" w:rsidRDefault="00642D61" w:rsidP="007A60F3">
            <w:pPr>
              <w:widowControl w:val="0"/>
              <w:jc w:val="center"/>
              <w:rPr>
                <w:rFonts w:cs="Arial"/>
                <w:spacing w:val="-3"/>
                <w:sz w:val="22"/>
                <w:szCs w:val="22"/>
              </w:rPr>
            </w:pPr>
            <w:r>
              <w:rPr>
                <w:rFonts w:cs="Arial"/>
                <w:spacing w:val="-3"/>
                <w:sz w:val="22"/>
                <w:szCs w:val="22"/>
              </w:rPr>
              <w:t>xx</w:t>
            </w:r>
          </w:p>
        </w:tc>
      </w:tr>
      <w:tr w:rsidR="008A1FB9" w:rsidRPr="00BF5E3F" w14:paraId="037146DB" w14:textId="77777777" w:rsidTr="00B06795">
        <w:trPr>
          <w:cantSplit/>
          <w:trHeight w:val="120"/>
        </w:trPr>
        <w:tc>
          <w:tcPr>
            <w:tcW w:w="1620" w:type="dxa"/>
            <w:shd w:val="clear" w:color="auto" w:fill="auto"/>
            <w:vAlign w:val="center"/>
          </w:tcPr>
          <w:p w14:paraId="1FEE0BD5" w14:textId="1B5B9540" w:rsidR="008A1FB9" w:rsidRPr="00BF5E3F" w:rsidRDefault="00C47C40" w:rsidP="007A60F3">
            <w:pPr>
              <w:widowControl w:val="0"/>
              <w:jc w:val="center"/>
              <w:rPr>
                <w:rFonts w:cs="Arial"/>
                <w:sz w:val="22"/>
                <w:szCs w:val="22"/>
              </w:rPr>
            </w:pPr>
            <w:r>
              <w:rPr>
                <w:rFonts w:cs="Arial"/>
                <w:sz w:val="22"/>
                <w:szCs w:val="22"/>
              </w:rPr>
              <w:t>C</w:t>
            </w:r>
            <w:r w:rsidR="008A1FB9" w:rsidRPr="00BF5E3F">
              <w:rPr>
                <w:rFonts w:cs="Arial"/>
                <w:sz w:val="22"/>
                <w:szCs w:val="22"/>
              </w:rPr>
              <w:t>-</w:t>
            </w:r>
            <w:r>
              <w:rPr>
                <w:rFonts w:cs="Arial"/>
                <w:sz w:val="22"/>
                <w:szCs w:val="22"/>
              </w:rPr>
              <w:t>XXXX</w:t>
            </w:r>
            <w:r w:rsidR="008A1FB9" w:rsidRPr="00BF5E3F">
              <w:rPr>
                <w:rFonts w:cs="Arial"/>
                <w:sz w:val="22"/>
                <w:szCs w:val="22"/>
              </w:rPr>
              <w:t>-</w:t>
            </w:r>
            <w:r>
              <w:rPr>
                <w:rFonts w:cs="Arial"/>
                <w:sz w:val="22"/>
                <w:szCs w:val="22"/>
              </w:rPr>
              <w:t>X</w:t>
            </w:r>
            <w:r w:rsidR="008A1FB9" w:rsidRPr="00BF5E3F">
              <w:rPr>
                <w:rFonts w:cs="Arial"/>
                <w:sz w:val="22"/>
                <w:szCs w:val="22"/>
              </w:rPr>
              <w:t>-</w:t>
            </w:r>
            <w:r>
              <w:rPr>
                <w:rFonts w:cs="Arial"/>
                <w:sz w:val="22"/>
                <w:szCs w:val="22"/>
              </w:rPr>
              <w:t>X</w:t>
            </w:r>
          </w:p>
        </w:tc>
        <w:tc>
          <w:tcPr>
            <w:tcW w:w="1170" w:type="dxa"/>
            <w:shd w:val="clear" w:color="auto" w:fill="auto"/>
            <w:vAlign w:val="center"/>
          </w:tcPr>
          <w:p w14:paraId="0A489D1C" w14:textId="6152B5BF" w:rsidR="008A1FB9" w:rsidRPr="00BF5E3F" w:rsidRDefault="00642D61" w:rsidP="007A60F3">
            <w:pPr>
              <w:widowControl w:val="0"/>
              <w:jc w:val="center"/>
              <w:rPr>
                <w:rFonts w:cs="Arial"/>
                <w:snapToGrid w:val="0"/>
                <w:sz w:val="22"/>
                <w:szCs w:val="22"/>
              </w:rPr>
            </w:pPr>
            <w:r>
              <w:rPr>
                <w:rFonts w:cs="Arial"/>
                <w:snapToGrid w:val="0"/>
                <w:sz w:val="22"/>
                <w:szCs w:val="22"/>
              </w:rPr>
              <w:t>xx</w:t>
            </w:r>
          </w:p>
        </w:tc>
        <w:tc>
          <w:tcPr>
            <w:tcW w:w="990" w:type="dxa"/>
            <w:shd w:val="clear" w:color="auto" w:fill="auto"/>
            <w:vAlign w:val="center"/>
          </w:tcPr>
          <w:p w14:paraId="1EBFED87" w14:textId="0AB55183" w:rsidR="008A1FB9" w:rsidRPr="00BF5E3F" w:rsidRDefault="00642D61" w:rsidP="007A60F3">
            <w:pPr>
              <w:widowControl w:val="0"/>
              <w:jc w:val="center"/>
              <w:rPr>
                <w:rFonts w:cs="Arial"/>
                <w:spacing w:val="-3"/>
                <w:sz w:val="22"/>
                <w:szCs w:val="22"/>
              </w:rPr>
            </w:pPr>
            <w:r>
              <w:rPr>
                <w:rFonts w:cs="Arial"/>
                <w:spacing w:val="-3"/>
                <w:sz w:val="22"/>
                <w:szCs w:val="22"/>
              </w:rPr>
              <w:t>xx</w:t>
            </w:r>
          </w:p>
        </w:tc>
        <w:tc>
          <w:tcPr>
            <w:tcW w:w="1890" w:type="dxa"/>
            <w:shd w:val="clear" w:color="auto" w:fill="auto"/>
            <w:vAlign w:val="center"/>
          </w:tcPr>
          <w:p w14:paraId="440809EB" w14:textId="6B76574F" w:rsidR="008A1FB9" w:rsidRPr="00BF5E3F" w:rsidRDefault="00642D61" w:rsidP="007A60F3">
            <w:pPr>
              <w:widowControl w:val="0"/>
              <w:jc w:val="center"/>
              <w:rPr>
                <w:rFonts w:cs="Arial"/>
                <w:spacing w:val="-3"/>
                <w:sz w:val="22"/>
                <w:szCs w:val="22"/>
              </w:rPr>
            </w:pPr>
            <w:r>
              <w:rPr>
                <w:rFonts w:cs="Arial"/>
                <w:spacing w:val="-3"/>
                <w:sz w:val="22"/>
                <w:szCs w:val="22"/>
              </w:rPr>
              <w:t>xx</w:t>
            </w:r>
          </w:p>
        </w:tc>
      </w:tr>
      <w:tr w:rsidR="008A1FB9" w:rsidRPr="00BF5E3F" w14:paraId="1D68D92E" w14:textId="77777777" w:rsidTr="00B06795">
        <w:trPr>
          <w:cantSplit/>
          <w:trHeight w:val="114"/>
        </w:trPr>
        <w:tc>
          <w:tcPr>
            <w:tcW w:w="1620" w:type="dxa"/>
            <w:shd w:val="clear" w:color="auto" w:fill="auto"/>
            <w:vAlign w:val="center"/>
          </w:tcPr>
          <w:p w14:paraId="2BB7E1CD" w14:textId="0F18729E" w:rsidR="008A1FB9" w:rsidRPr="00BF5E3F" w:rsidRDefault="00C47C40" w:rsidP="007A60F3">
            <w:pPr>
              <w:widowControl w:val="0"/>
              <w:jc w:val="center"/>
              <w:rPr>
                <w:rFonts w:cs="Arial"/>
                <w:sz w:val="22"/>
                <w:szCs w:val="22"/>
              </w:rPr>
            </w:pPr>
            <w:r>
              <w:rPr>
                <w:rFonts w:cs="Arial"/>
                <w:sz w:val="22"/>
                <w:szCs w:val="22"/>
              </w:rPr>
              <w:t>C</w:t>
            </w:r>
            <w:r w:rsidR="008A1FB9" w:rsidRPr="00BF5E3F">
              <w:rPr>
                <w:rFonts w:cs="Arial"/>
                <w:sz w:val="22"/>
                <w:szCs w:val="22"/>
              </w:rPr>
              <w:t>-</w:t>
            </w:r>
            <w:r>
              <w:rPr>
                <w:rFonts w:cs="Arial"/>
                <w:sz w:val="22"/>
                <w:szCs w:val="22"/>
              </w:rPr>
              <w:t>XXXX</w:t>
            </w:r>
            <w:r w:rsidR="008A1FB9" w:rsidRPr="00BF5E3F">
              <w:rPr>
                <w:rFonts w:cs="Arial"/>
                <w:sz w:val="22"/>
                <w:szCs w:val="22"/>
              </w:rPr>
              <w:t>-</w:t>
            </w:r>
            <w:r>
              <w:rPr>
                <w:rFonts w:cs="Arial"/>
                <w:sz w:val="22"/>
                <w:szCs w:val="22"/>
              </w:rPr>
              <w:t>X</w:t>
            </w:r>
            <w:r w:rsidR="008A1FB9" w:rsidRPr="00BF5E3F">
              <w:rPr>
                <w:rFonts w:cs="Arial"/>
                <w:sz w:val="22"/>
                <w:szCs w:val="22"/>
              </w:rPr>
              <w:t>-</w:t>
            </w:r>
            <w:r>
              <w:rPr>
                <w:rFonts w:cs="Arial"/>
                <w:sz w:val="22"/>
                <w:szCs w:val="22"/>
              </w:rPr>
              <w:t>X</w:t>
            </w:r>
          </w:p>
        </w:tc>
        <w:tc>
          <w:tcPr>
            <w:tcW w:w="1170" w:type="dxa"/>
            <w:shd w:val="clear" w:color="auto" w:fill="auto"/>
            <w:vAlign w:val="center"/>
          </w:tcPr>
          <w:p w14:paraId="485E4FB0" w14:textId="35F8CD2A" w:rsidR="008A1FB9" w:rsidRPr="00BF5E3F" w:rsidRDefault="00642D61" w:rsidP="007A60F3">
            <w:pPr>
              <w:widowControl w:val="0"/>
              <w:jc w:val="center"/>
              <w:rPr>
                <w:rFonts w:cs="Arial"/>
                <w:snapToGrid w:val="0"/>
                <w:sz w:val="22"/>
                <w:szCs w:val="22"/>
              </w:rPr>
            </w:pPr>
            <w:r>
              <w:rPr>
                <w:rFonts w:cs="Arial"/>
                <w:snapToGrid w:val="0"/>
                <w:sz w:val="22"/>
                <w:szCs w:val="22"/>
              </w:rPr>
              <w:t>xx</w:t>
            </w:r>
          </w:p>
        </w:tc>
        <w:tc>
          <w:tcPr>
            <w:tcW w:w="990" w:type="dxa"/>
            <w:shd w:val="clear" w:color="auto" w:fill="auto"/>
            <w:vAlign w:val="center"/>
          </w:tcPr>
          <w:p w14:paraId="6523E116" w14:textId="78C93E7F" w:rsidR="008A1FB9" w:rsidRPr="00BF5E3F" w:rsidRDefault="00642D61" w:rsidP="007A60F3">
            <w:pPr>
              <w:widowControl w:val="0"/>
              <w:jc w:val="center"/>
              <w:rPr>
                <w:rFonts w:cs="Arial"/>
                <w:spacing w:val="-3"/>
                <w:sz w:val="22"/>
                <w:szCs w:val="22"/>
              </w:rPr>
            </w:pPr>
            <w:r>
              <w:rPr>
                <w:rFonts w:cs="Arial"/>
                <w:spacing w:val="-3"/>
                <w:sz w:val="22"/>
                <w:szCs w:val="22"/>
              </w:rPr>
              <w:t>xx</w:t>
            </w:r>
          </w:p>
        </w:tc>
        <w:tc>
          <w:tcPr>
            <w:tcW w:w="1890" w:type="dxa"/>
            <w:shd w:val="clear" w:color="auto" w:fill="auto"/>
            <w:vAlign w:val="center"/>
          </w:tcPr>
          <w:p w14:paraId="2C7EF424" w14:textId="1AA98AC0" w:rsidR="008A1FB9" w:rsidRPr="00BF5E3F" w:rsidRDefault="00642D61" w:rsidP="007A60F3">
            <w:pPr>
              <w:widowControl w:val="0"/>
              <w:jc w:val="center"/>
              <w:rPr>
                <w:rFonts w:cs="Arial"/>
                <w:spacing w:val="-3"/>
                <w:sz w:val="22"/>
                <w:szCs w:val="22"/>
              </w:rPr>
            </w:pPr>
            <w:r>
              <w:rPr>
                <w:rFonts w:cs="Arial"/>
                <w:spacing w:val="-3"/>
                <w:sz w:val="22"/>
                <w:szCs w:val="22"/>
              </w:rPr>
              <w:t>xx</w:t>
            </w:r>
          </w:p>
        </w:tc>
      </w:tr>
      <w:tr w:rsidR="008A1FB9" w:rsidRPr="00BF5E3F" w14:paraId="40E6A2BA" w14:textId="77777777" w:rsidTr="00B06795">
        <w:trPr>
          <w:cantSplit/>
          <w:trHeight w:val="450"/>
        </w:trPr>
        <w:tc>
          <w:tcPr>
            <w:tcW w:w="1620" w:type="dxa"/>
            <w:shd w:val="clear" w:color="auto" w:fill="D9D9D9" w:themeFill="background1" w:themeFillShade="D9"/>
            <w:vAlign w:val="center"/>
          </w:tcPr>
          <w:p w14:paraId="5A6073DB" w14:textId="77777777" w:rsidR="008A1FB9" w:rsidRPr="00BF5E3F" w:rsidRDefault="008A1FB9" w:rsidP="007A60F3">
            <w:pPr>
              <w:widowControl w:val="0"/>
              <w:jc w:val="center"/>
              <w:rPr>
                <w:rFonts w:cs="Arial"/>
                <w:b/>
                <w:bCs/>
                <w:spacing w:val="-3"/>
                <w:sz w:val="22"/>
                <w:szCs w:val="22"/>
              </w:rPr>
            </w:pPr>
            <w:r w:rsidRPr="00BF5E3F">
              <w:rPr>
                <w:rFonts w:cs="Arial"/>
                <w:b/>
                <w:bCs/>
                <w:spacing w:val="-3"/>
                <w:sz w:val="22"/>
                <w:szCs w:val="22"/>
              </w:rPr>
              <w:t>Total</w:t>
            </w:r>
          </w:p>
        </w:tc>
        <w:tc>
          <w:tcPr>
            <w:tcW w:w="1170" w:type="dxa"/>
            <w:shd w:val="clear" w:color="auto" w:fill="D9D9D9" w:themeFill="background1" w:themeFillShade="D9"/>
            <w:vAlign w:val="center"/>
          </w:tcPr>
          <w:p w14:paraId="41497099" w14:textId="2A67BE4C" w:rsidR="008A1FB9" w:rsidRPr="00BF5E3F" w:rsidRDefault="00642D61" w:rsidP="007A60F3">
            <w:pPr>
              <w:widowControl w:val="0"/>
              <w:jc w:val="center"/>
              <w:rPr>
                <w:rFonts w:cs="Arial"/>
                <w:b/>
                <w:bCs/>
                <w:spacing w:val="-3"/>
                <w:sz w:val="22"/>
                <w:szCs w:val="22"/>
              </w:rPr>
            </w:pPr>
            <w:r>
              <w:rPr>
                <w:rFonts w:cs="Arial"/>
                <w:b/>
                <w:bCs/>
                <w:spacing w:val="-3"/>
                <w:sz w:val="22"/>
                <w:szCs w:val="22"/>
              </w:rPr>
              <w:t>xx</w:t>
            </w:r>
          </w:p>
        </w:tc>
        <w:tc>
          <w:tcPr>
            <w:tcW w:w="990" w:type="dxa"/>
            <w:shd w:val="clear" w:color="auto" w:fill="D9D9D9" w:themeFill="background1" w:themeFillShade="D9"/>
            <w:vAlign w:val="center"/>
          </w:tcPr>
          <w:p w14:paraId="397187D5" w14:textId="2F589419" w:rsidR="008A1FB9" w:rsidRPr="00BF5E3F" w:rsidRDefault="00642D61" w:rsidP="007A60F3">
            <w:pPr>
              <w:widowControl w:val="0"/>
              <w:jc w:val="center"/>
              <w:rPr>
                <w:rFonts w:cs="Arial"/>
                <w:b/>
                <w:bCs/>
                <w:spacing w:val="-3"/>
                <w:sz w:val="22"/>
                <w:szCs w:val="22"/>
              </w:rPr>
            </w:pPr>
            <w:r>
              <w:rPr>
                <w:rFonts w:cs="Arial"/>
                <w:b/>
                <w:bCs/>
                <w:spacing w:val="-3"/>
                <w:sz w:val="22"/>
                <w:szCs w:val="22"/>
              </w:rPr>
              <w:t>xx</w:t>
            </w:r>
          </w:p>
        </w:tc>
        <w:tc>
          <w:tcPr>
            <w:tcW w:w="1890" w:type="dxa"/>
            <w:shd w:val="clear" w:color="auto" w:fill="D9D9D9" w:themeFill="background1" w:themeFillShade="D9"/>
            <w:vAlign w:val="center"/>
          </w:tcPr>
          <w:p w14:paraId="5374BF95" w14:textId="64837C4F" w:rsidR="008A1FB9" w:rsidRPr="00BF5E3F" w:rsidRDefault="00642D61" w:rsidP="007A60F3">
            <w:pPr>
              <w:widowControl w:val="0"/>
              <w:jc w:val="center"/>
              <w:rPr>
                <w:rFonts w:cs="Arial"/>
                <w:b/>
                <w:bCs/>
                <w:spacing w:val="-3"/>
                <w:sz w:val="22"/>
                <w:szCs w:val="22"/>
              </w:rPr>
            </w:pPr>
            <w:r>
              <w:rPr>
                <w:rFonts w:cs="Arial"/>
                <w:b/>
                <w:bCs/>
                <w:spacing w:val="-3"/>
                <w:sz w:val="22"/>
                <w:szCs w:val="22"/>
              </w:rPr>
              <w:t>xx</w:t>
            </w:r>
            <w:r w:rsidR="008A1FB9" w:rsidRPr="00BF5E3F">
              <w:rPr>
                <w:rFonts w:cs="Arial"/>
                <w:b/>
                <w:bCs/>
                <w:spacing w:val="-3"/>
                <w:sz w:val="22"/>
                <w:szCs w:val="22"/>
              </w:rPr>
              <w:t xml:space="preserve"> </w:t>
            </w:r>
          </w:p>
        </w:tc>
      </w:tr>
    </w:tbl>
    <w:p w14:paraId="6AFD8D1D" w14:textId="77777777" w:rsidR="008A1FB9" w:rsidRPr="00BF5E3F" w:rsidRDefault="008A1FB9" w:rsidP="007A60F3">
      <w:pPr>
        <w:widowControl w:val="0"/>
        <w:ind w:left="450"/>
      </w:pPr>
    </w:p>
    <w:p w14:paraId="1C1B7FAF" w14:textId="621A7515" w:rsidR="008A1FB9" w:rsidRPr="00BF5E3F" w:rsidRDefault="00022F7E" w:rsidP="007A60F3">
      <w:pPr>
        <w:widowControl w:val="0"/>
        <w:ind w:left="630"/>
        <w:rPr>
          <w:u w:val="single"/>
        </w:rPr>
      </w:pPr>
      <w:r>
        <w:rPr>
          <w:u w:val="single"/>
        </w:rPr>
        <w:t>HAP PE for</w:t>
      </w:r>
      <w:r w:rsidR="008C647C">
        <w:rPr>
          <w:u w:val="single"/>
        </w:rPr>
        <w:t xml:space="preserve"> </w:t>
      </w:r>
      <w:r w:rsidR="00BC2E66">
        <w:rPr>
          <w:u w:val="single"/>
        </w:rPr>
        <w:t xml:space="preserve">the </w:t>
      </w:r>
      <w:r w:rsidR="008A1FB9" w:rsidRPr="00AC5150">
        <w:rPr>
          <w:color w:val="0000FF"/>
          <w:u w:val="single"/>
        </w:rPr>
        <w:t>Turbine</w:t>
      </w:r>
    </w:p>
    <w:p w14:paraId="65FE10A6" w14:textId="77777777" w:rsidR="008A1FB9" w:rsidRPr="00BF5E3F" w:rsidRDefault="008A1FB9" w:rsidP="007A60F3">
      <w:pPr>
        <w:widowControl w:val="0"/>
        <w:ind w:left="450"/>
      </w:pPr>
    </w:p>
    <w:p w14:paraId="5ED1935C" w14:textId="3BF99F09" w:rsidR="008A1FB9" w:rsidRPr="00BF5E3F" w:rsidRDefault="008A1FB9" w:rsidP="007A60F3">
      <w:pPr>
        <w:widowControl w:val="0"/>
        <w:ind w:left="630"/>
      </w:pPr>
      <w:r w:rsidRPr="00BF5E3F">
        <w:t>In addition, using District’s Toxic Emission Profile spreadsheet for uncontrolled natural gas turbines, HAP</w:t>
      </w:r>
      <w:r w:rsidR="007C0452">
        <w:t xml:space="preserve"> PEs</w:t>
      </w:r>
      <w:r w:rsidRPr="00BF5E3F">
        <w:t xml:space="preserve"> from the </w:t>
      </w:r>
      <w:r w:rsidR="00523CFA">
        <w:t>XX.X</w:t>
      </w:r>
      <w:r w:rsidRPr="00BF5E3F">
        <w:t xml:space="preserve"> MMBtu/hr turbine are as follows. The emissions are based on AP-42 Section 3.1 </w:t>
      </w:r>
      <w:r w:rsidRPr="00BF5E3F">
        <w:rPr>
          <w:i/>
          <w:iCs/>
        </w:rPr>
        <w:t>Stationary Gas Turbines</w:t>
      </w:r>
      <w:r w:rsidRPr="00BF5E3F">
        <w:t>. The emission factors are for an uncontrolled gas turbine. Therefore, the estimate is conservative.</w:t>
      </w:r>
    </w:p>
    <w:p w14:paraId="290F0F35" w14:textId="77777777" w:rsidR="008A1FB9" w:rsidRPr="00BF5E3F" w:rsidRDefault="008A1FB9" w:rsidP="007A60F3">
      <w:pPr>
        <w:widowControl w:val="0"/>
        <w:ind w:left="450"/>
      </w:pPr>
      <w:r w:rsidRPr="00BF5E3F">
        <w:t xml:space="preserve"> </w:t>
      </w:r>
    </w:p>
    <w:tbl>
      <w:tblPr>
        <w:tblStyle w:val="TableGrid"/>
        <w:tblW w:w="10350" w:type="dxa"/>
        <w:tblInd w:w="61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17"/>
        <w:gridCol w:w="1918"/>
        <w:gridCol w:w="810"/>
        <w:gridCol w:w="2085"/>
        <w:gridCol w:w="2340"/>
        <w:gridCol w:w="1980"/>
      </w:tblGrid>
      <w:tr w:rsidR="008A1FB9" w:rsidRPr="00BF5E3F" w14:paraId="125B5F44" w14:textId="77777777" w:rsidTr="000D40F1">
        <w:trPr>
          <w:trHeight w:val="42"/>
          <w:tblHeader/>
        </w:trPr>
        <w:tc>
          <w:tcPr>
            <w:tcW w:w="103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C7357A" w14:textId="301FE69A" w:rsidR="008A1FB9" w:rsidRPr="00BF5E3F" w:rsidRDefault="008A1FB9" w:rsidP="007A60F3">
            <w:pPr>
              <w:pStyle w:val="BodyTextIndent3"/>
              <w:widowControl w:val="0"/>
              <w:tabs>
                <w:tab w:val="left" w:pos="1080"/>
              </w:tabs>
              <w:ind w:left="0"/>
              <w:jc w:val="center"/>
              <w:rPr>
                <w:rFonts w:cs="Arial"/>
                <w:b/>
                <w:color w:val="auto"/>
                <w:sz w:val="22"/>
                <w:szCs w:val="22"/>
              </w:rPr>
            </w:pPr>
            <w:r w:rsidRPr="00BF5E3F">
              <w:rPr>
                <w:rFonts w:cs="Arial"/>
                <w:b/>
                <w:color w:val="auto"/>
                <w:sz w:val="22"/>
                <w:szCs w:val="22"/>
              </w:rPr>
              <w:t xml:space="preserve">HAP PE for </w:t>
            </w:r>
            <w:r w:rsidR="00E17738" w:rsidRPr="00AC5150">
              <w:rPr>
                <w:rFonts w:cs="Arial"/>
                <w:b/>
                <w:color w:val="0000FF"/>
                <w:sz w:val="22"/>
                <w:szCs w:val="22"/>
              </w:rPr>
              <w:t>XX.X</w:t>
            </w:r>
            <w:r w:rsidRPr="00AC5150">
              <w:rPr>
                <w:rFonts w:cs="Arial"/>
                <w:b/>
                <w:color w:val="0000FF"/>
                <w:sz w:val="22"/>
                <w:szCs w:val="22"/>
              </w:rPr>
              <w:t xml:space="preserve"> MMBtu/hr Turbine</w:t>
            </w:r>
          </w:p>
        </w:tc>
      </w:tr>
      <w:tr w:rsidR="008A1FB9" w:rsidRPr="00BF5E3F" w14:paraId="617B8F0C" w14:textId="77777777" w:rsidTr="000D40F1">
        <w:trPr>
          <w:trHeight w:val="340"/>
          <w:tblHeader/>
        </w:trPr>
        <w:tc>
          <w:tcPr>
            <w:tcW w:w="1217" w:type="dxa"/>
            <w:tcBorders>
              <w:top w:val="single" w:sz="4" w:space="0" w:color="auto"/>
              <w:left w:val="single" w:sz="4" w:space="0" w:color="auto"/>
              <w:bottom w:val="single" w:sz="4" w:space="0" w:color="auto"/>
            </w:tcBorders>
            <w:shd w:val="clear" w:color="auto" w:fill="D9D9D9" w:themeFill="background1" w:themeFillShade="D9"/>
            <w:vAlign w:val="center"/>
          </w:tcPr>
          <w:p w14:paraId="5662744A" w14:textId="77777777" w:rsidR="008A1FB9" w:rsidRPr="00BF5E3F" w:rsidRDefault="008A1FB9" w:rsidP="007A60F3">
            <w:pPr>
              <w:pStyle w:val="BodyTextIndent3"/>
              <w:widowControl w:val="0"/>
              <w:tabs>
                <w:tab w:val="left" w:pos="1080"/>
              </w:tabs>
              <w:ind w:left="0"/>
              <w:jc w:val="center"/>
              <w:rPr>
                <w:rFonts w:cs="Arial"/>
                <w:b/>
                <w:color w:val="auto"/>
                <w:sz w:val="22"/>
                <w:szCs w:val="22"/>
              </w:rPr>
            </w:pPr>
            <w:r w:rsidRPr="00BF5E3F">
              <w:rPr>
                <w:rFonts w:cs="Arial"/>
                <w:b/>
                <w:color w:val="auto"/>
                <w:sz w:val="22"/>
                <w:szCs w:val="22"/>
              </w:rPr>
              <w:t>CAS#</w:t>
            </w:r>
          </w:p>
        </w:tc>
        <w:tc>
          <w:tcPr>
            <w:tcW w:w="1918" w:type="dxa"/>
            <w:tcBorders>
              <w:top w:val="single" w:sz="4" w:space="0" w:color="auto"/>
              <w:bottom w:val="single" w:sz="4" w:space="0" w:color="auto"/>
            </w:tcBorders>
            <w:shd w:val="clear" w:color="auto" w:fill="D9D9D9" w:themeFill="background1" w:themeFillShade="D9"/>
            <w:vAlign w:val="center"/>
          </w:tcPr>
          <w:p w14:paraId="1A142AC1" w14:textId="77777777" w:rsidR="008A1FB9" w:rsidRPr="00BF5E3F" w:rsidRDefault="008A1FB9" w:rsidP="007A60F3">
            <w:pPr>
              <w:pStyle w:val="BodyTextIndent3"/>
              <w:widowControl w:val="0"/>
              <w:tabs>
                <w:tab w:val="left" w:pos="1080"/>
              </w:tabs>
              <w:ind w:left="0"/>
              <w:jc w:val="center"/>
              <w:rPr>
                <w:rFonts w:cs="Arial"/>
                <w:b/>
                <w:color w:val="auto"/>
                <w:sz w:val="22"/>
                <w:szCs w:val="22"/>
              </w:rPr>
            </w:pPr>
            <w:r w:rsidRPr="00BF5E3F">
              <w:rPr>
                <w:rFonts w:cs="Arial"/>
                <w:b/>
                <w:color w:val="auto"/>
                <w:sz w:val="22"/>
                <w:szCs w:val="22"/>
              </w:rPr>
              <w:t>Chemical Name</w:t>
            </w:r>
          </w:p>
        </w:tc>
        <w:tc>
          <w:tcPr>
            <w:tcW w:w="810" w:type="dxa"/>
            <w:tcBorders>
              <w:top w:val="single" w:sz="4" w:space="0" w:color="auto"/>
              <w:bottom w:val="single" w:sz="4" w:space="0" w:color="auto"/>
            </w:tcBorders>
            <w:shd w:val="clear" w:color="auto" w:fill="D9D9D9" w:themeFill="background1" w:themeFillShade="D9"/>
            <w:vAlign w:val="center"/>
          </w:tcPr>
          <w:p w14:paraId="12B8E8DC" w14:textId="77777777" w:rsidR="008A1FB9" w:rsidRPr="00BF5E3F" w:rsidRDefault="008A1FB9" w:rsidP="007A60F3">
            <w:pPr>
              <w:pStyle w:val="BodyTextIndent3"/>
              <w:widowControl w:val="0"/>
              <w:tabs>
                <w:tab w:val="left" w:pos="1080"/>
              </w:tabs>
              <w:ind w:left="0"/>
              <w:jc w:val="center"/>
              <w:rPr>
                <w:rFonts w:cs="Arial"/>
                <w:b/>
                <w:color w:val="auto"/>
                <w:sz w:val="22"/>
                <w:szCs w:val="22"/>
              </w:rPr>
            </w:pPr>
            <w:r w:rsidRPr="00BF5E3F">
              <w:rPr>
                <w:rFonts w:cs="Arial"/>
                <w:b/>
                <w:color w:val="auto"/>
                <w:sz w:val="22"/>
                <w:szCs w:val="22"/>
              </w:rPr>
              <w:t>HAP*</w:t>
            </w:r>
          </w:p>
        </w:tc>
        <w:tc>
          <w:tcPr>
            <w:tcW w:w="2085" w:type="dxa"/>
            <w:tcBorders>
              <w:top w:val="single" w:sz="4" w:space="0" w:color="auto"/>
              <w:bottom w:val="single" w:sz="4" w:space="0" w:color="auto"/>
            </w:tcBorders>
            <w:shd w:val="clear" w:color="auto" w:fill="D9D9D9" w:themeFill="background1" w:themeFillShade="D9"/>
            <w:vAlign w:val="center"/>
          </w:tcPr>
          <w:p w14:paraId="5ACA02FB" w14:textId="77777777" w:rsidR="008A1FB9" w:rsidRPr="00BF5E3F" w:rsidRDefault="008A1FB9" w:rsidP="007A60F3">
            <w:pPr>
              <w:pStyle w:val="BodyTextIndent3"/>
              <w:widowControl w:val="0"/>
              <w:tabs>
                <w:tab w:val="left" w:pos="1080"/>
              </w:tabs>
              <w:ind w:left="0"/>
              <w:jc w:val="center"/>
              <w:rPr>
                <w:rFonts w:cs="Arial"/>
                <w:b/>
                <w:color w:val="auto"/>
                <w:sz w:val="22"/>
                <w:szCs w:val="22"/>
              </w:rPr>
            </w:pPr>
            <w:r w:rsidRPr="00BF5E3F">
              <w:rPr>
                <w:rFonts w:cs="Arial"/>
                <w:b/>
                <w:color w:val="auto"/>
                <w:sz w:val="22"/>
                <w:szCs w:val="22"/>
              </w:rPr>
              <w:t>Emission Factor</w:t>
            </w:r>
          </w:p>
          <w:p w14:paraId="12E146D4" w14:textId="77777777" w:rsidR="008A1FB9" w:rsidRPr="00BF5E3F" w:rsidRDefault="008A1FB9" w:rsidP="007A60F3">
            <w:pPr>
              <w:pStyle w:val="BodyTextIndent3"/>
              <w:widowControl w:val="0"/>
              <w:tabs>
                <w:tab w:val="left" w:pos="1080"/>
              </w:tabs>
              <w:ind w:left="0"/>
              <w:jc w:val="center"/>
              <w:rPr>
                <w:rFonts w:cs="Arial"/>
                <w:b/>
                <w:color w:val="auto"/>
                <w:sz w:val="22"/>
                <w:szCs w:val="22"/>
              </w:rPr>
            </w:pPr>
            <w:r w:rsidRPr="00BF5E3F">
              <w:rPr>
                <w:rFonts w:cs="Arial"/>
                <w:b/>
                <w:color w:val="auto"/>
                <w:sz w:val="22"/>
                <w:szCs w:val="22"/>
              </w:rPr>
              <w:t>(lb/MMscf)</w:t>
            </w:r>
          </w:p>
        </w:tc>
        <w:tc>
          <w:tcPr>
            <w:tcW w:w="2340" w:type="dxa"/>
            <w:tcBorders>
              <w:top w:val="single" w:sz="4" w:space="0" w:color="auto"/>
              <w:bottom w:val="single" w:sz="4" w:space="0" w:color="auto"/>
            </w:tcBorders>
            <w:shd w:val="clear" w:color="auto" w:fill="D9D9D9" w:themeFill="background1" w:themeFillShade="D9"/>
            <w:vAlign w:val="center"/>
          </w:tcPr>
          <w:p w14:paraId="6766FF37" w14:textId="77777777" w:rsidR="008A1FB9" w:rsidRPr="00BF5E3F" w:rsidRDefault="008A1FB9" w:rsidP="007A60F3">
            <w:pPr>
              <w:pStyle w:val="BodyTextIndent3"/>
              <w:widowControl w:val="0"/>
              <w:tabs>
                <w:tab w:val="left" w:pos="1080"/>
              </w:tabs>
              <w:ind w:left="0"/>
              <w:jc w:val="center"/>
              <w:rPr>
                <w:rFonts w:cs="Arial"/>
                <w:b/>
                <w:color w:val="auto"/>
                <w:sz w:val="22"/>
                <w:szCs w:val="22"/>
              </w:rPr>
            </w:pPr>
            <w:r w:rsidRPr="00BF5E3F">
              <w:rPr>
                <w:rFonts w:cs="Arial"/>
                <w:b/>
                <w:color w:val="auto"/>
                <w:sz w:val="22"/>
                <w:szCs w:val="22"/>
              </w:rPr>
              <w:t>PE for Each Turbine</w:t>
            </w:r>
          </w:p>
          <w:p w14:paraId="7559D6C4" w14:textId="77777777" w:rsidR="008A1FB9" w:rsidRPr="00BF5E3F" w:rsidRDefault="008A1FB9" w:rsidP="007A60F3">
            <w:pPr>
              <w:pStyle w:val="BodyTextIndent3"/>
              <w:widowControl w:val="0"/>
              <w:tabs>
                <w:tab w:val="left" w:pos="1080"/>
              </w:tabs>
              <w:ind w:left="0"/>
              <w:jc w:val="center"/>
              <w:rPr>
                <w:rFonts w:cs="Arial"/>
                <w:b/>
                <w:color w:val="auto"/>
                <w:sz w:val="22"/>
                <w:szCs w:val="22"/>
              </w:rPr>
            </w:pPr>
            <w:r w:rsidRPr="00BF5E3F">
              <w:rPr>
                <w:rFonts w:cs="Arial"/>
                <w:b/>
                <w:color w:val="auto"/>
                <w:sz w:val="22"/>
                <w:szCs w:val="22"/>
              </w:rPr>
              <w:t>(lb/yr)</w:t>
            </w:r>
          </w:p>
        </w:tc>
        <w:tc>
          <w:tcPr>
            <w:tcW w:w="1980" w:type="dxa"/>
            <w:tcBorders>
              <w:top w:val="single" w:sz="4" w:space="0" w:color="auto"/>
              <w:bottom w:val="single" w:sz="4" w:space="0" w:color="auto"/>
              <w:right w:val="single" w:sz="4" w:space="0" w:color="auto"/>
            </w:tcBorders>
            <w:shd w:val="clear" w:color="auto" w:fill="D9D9D9" w:themeFill="background1" w:themeFillShade="D9"/>
            <w:vAlign w:val="center"/>
          </w:tcPr>
          <w:p w14:paraId="12910BBA" w14:textId="77777777" w:rsidR="008A1FB9" w:rsidRPr="00BF5E3F" w:rsidRDefault="008A1FB9" w:rsidP="007A60F3">
            <w:pPr>
              <w:pStyle w:val="BodyTextIndent3"/>
              <w:widowControl w:val="0"/>
              <w:tabs>
                <w:tab w:val="left" w:pos="1080"/>
              </w:tabs>
              <w:ind w:left="0"/>
              <w:jc w:val="center"/>
              <w:rPr>
                <w:rFonts w:cs="Arial"/>
                <w:b/>
                <w:color w:val="auto"/>
                <w:sz w:val="22"/>
                <w:szCs w:val="22"/>
              </w:rPr>
            </w:pPr>
            <w:r w:rsidRPr="00BF5E3F">
              <w:rPr>
                <w:rFonts w:cs="Arial"/>
                <w:b/>
                <w:color w:val="auto"/>
                <w:sz w:val="22"/>
                <w:szCs w:val="22"/>
              </w:rPr>
              <w:t>Total PE</w:t>
            </w:r>
          </w:p>
        </w:tc>
      </w:tr>
      <w:tr w:rsidR="008A1FB9" w:rsidRPr="00BF5E3F" w14:paraId="12A088AC" w14:textId="77777777" w:rsidTr="000D40F1">
        <w:tc>
          <w:tcPr>
            <w:tcW w:w="10350" w:type="dxa"/>
            <w:gridSpan w:val="6"/>
            <w:tcBorders>
              <w:top w:val="single" w:sz="4" w:space="0" w:color="auto"/>
              <w:left w:val="single" w:sz="4" w:space="0" w:color="auto"/>
              <w:bottom w:val="single" w:sz="4" w:space="0" w:color="auto"/>
              <w:right w:val="single" w:sz="4" w:space="0" w:color="auto"/>
            </w:tcBorders>
            <w:vAlign w:val="center"/>
          </w:tcPr>
          <w:p w14:paraId="5C2BAD34" w14:textId="182388C9" w:rsidR="008A1FB9" w:rsidRPr="00BF5E3F" w:rsidRDefault="008A1FB9" w:rsidP="007A60F3">
            <w:pPr>
              <w:pStyle w:val="BodyTextIndent3"/>
              <w:widowControl w:val="0"/>
              <w:tabs>
                <w:tab w:val="left" w:pos="1080"/>
              </w:tabs>
              <w:ind w:left="0"/>
              <w:rPr>
                <w:color w:val="auto"/>
                <w:sz w:val="22"/>
                <w:szCs w:val="22"/>
              </w:rPr>
            </w:pPr>
            <w:r w:rsidRPr="00AC5150">
              <w:rPr>
                <w:color w:val="0000FF"/>
                <w:sz w:val="22"/>
                <w:szCs w:val="22"/>
              </w:rPr>
              <w:t xml:space="preserve">Daily Fuel Usage Limit = </w:t>
            </w:r>
            <w:r w:rsidR="00493572" w:rsidRPr="00AC5150">
              <w:rPr>
                <w:color w:val="0000FF"/>
                <w:sz w:val="22"/>
                <w:szCs w:val="22"/>
              </w:rPr>
              <w:t>X</w:t>
            </w:r>
            <w:r w:rsidRPr="00AC5150">
              <w:rPr>
                <w:color w:val="0000FF"/>
                <w:sz w:val="22"/>
                <w:szCs w:val="22"/>
              </w:rPr>
              <w:t>.</w:t>
            </w:r>
            <w:r w:rsidR="00493572" w:rsidRPr="00AC5150">
              <w:rPr>
                <w:color w:val="0000FF"/>
                <w:sz w:val="22"/>
                <w:szCs w:val="22"/>
              </w:rPr>
              <w:t>XX</w:t>
            </w:r>
            <w:r w:rsidRPr="00AC5150">
              <w:rPr>
                <w:color w:val="0000FF"/>
                <w:sz w:val="22"/>
                <w:szCs w:val="22"/>
              </w:rPr>
              <w:t xml:space="preserve"> MMscf/day, Operation = </w:t>
            </w:r>
            <w:r w:rsidR="00493572" w:rsidRPr="00AC5150">
              <w:rPr>
                <w:color w:val="0000FF"/>
                <w:sz w:val="22"/>
                <w:szCs w:val="22"/>
              </w:rPr>
              <w:t>XX</w:t>
            </w:r>
            <w:r w:rsidRPr="00AC5150">
              <w:rPr>
                <w:color w:val="0000FF"/>
                <w:sz w:val="22"/>
                <w:szCs w:val="22"/>
              </w:rPr>
              <w:t xml:space="preserve"> day/yr</w:t>
            </w:r>
            <w:r w:rsidRPr="00BF5E3F">
              <w:rPr>
                <w:color w:val="auto"/>
                <w:sz w:val="22"/>
                <w:szCs w:val="22"/>
              </w:rPr>
              <w:t xml:space="preserve"> </w:t>
            </w:r>
          </w:p>
        </w:tc>
      </w:tr>
      <w:tr w:rsidR="00642D61" w:rsidRPr="00BF5E3F" w14:paraId="0757D186" w14:textId="77777777" w:rsidTr="000D40F1">
        <w:tc>
          <w:tcPr>
            <w:tcW w:w="1217" w:type="dxa"/>
            <w:tcBorders>
              <w:top w:val="single" w:sz="4" w:space="0" w:color="auto"/>
              <w:left w:val="single" w:sz="4" w:space="0" w:color="auto"/>
              <w:bottom w:val="single" w:sz="4" w:space="0" w:color="auto"/>
            </w:tcBorders>
            <w:vAlign w:val="center"/>
          </w:tcPr>
          <w:p w14:paraId="33A7EDBA"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106990</w:t>
            </w:r>
          </w:p>
        </w:tc>
        <w:tc>
          <w:tcPr>
            <w:tcW w:w="1918" w:type="dxa"/>
            <w:tcBorders>
              <w:top w:val="single" w:sz="4" w:space="0" w:color="auto"/>
              <w:bottom w:val="single" w:sz="4" w:space="0" w:color="auto"/>
            </w:tcBorders>
            <w:vAlign w:val="center"/>
          </w:tcPr>
          <w:p w14:paraId="4C57B7BC"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1,3-Butadiene</w:t>
            </w:r>
          </w:p>
        </w:tc>
        <w:tc>
          <w:tcPr>
            <w:tcW w:w="810" w:type="dxa"/>
            <w:tcBorders>
              <w:top w:val="single" w:sz="4" w:space="0" w:color="auto"/>
              <w:bottom w:val="single" w:sz="4" w:space="0" w:color="auto"/>
            </w:tcBorders>
            <w:vAlign w:val="center"/>
          </w:tcPr>
          <w:p w14:paraId="5C3085DB"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Y</w:t>
            </w:r>
          </w:p>
        </w:tc>
        <w:tc>
          <w:tcPr>
            <w:tcW w:w="2085" w:type="dxa"/>
            <w:tcBorders>
              <w:top w:val="single" w:sz="4" w:space="0" w:color="auto"/>
              <w:bottom w:val="single" w:sz="4" w:space="0" w:color="auto"/>
            </w:tcBorders>
            <w:vAlign w:val="center"/>
          </w:tcPr>
          <w:p w14:paraId="4C8C053D"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0.00043</w:t>
            </w:r>
          </w:p>
        </w:tc>
        <w:tc>
          <w:tcPr>
            <w:tcW w:w="2340" w:type="dxa"/>
            <w:tcBorders>
              <w:top w:val="single" w:sz="4" w:space="0" w:color="auto"/>
              <w:bottom w:val="single" w:sz="4" w:space="0" w:color="auto"/>
            </w:tcBorders>
            <w:vAlign w:val="center"/>
          </w:tcPr>
          <w:p w14:paraId="32B1D778" w14:textId="5D74661D" w:rsidR="00642D61" w:rsidRPr="0041151F" w:rsidRDefault="00642D61" w:rsidP="007A60F3">
            <w:pPr>
              <w:pStyle w:val="BodyTextIndent3"/>
              <w:widowControl w:val="0"/>
              <w:tabs>
                <w:tab w:val="left" w:pos="1080"/>
              </w:tabs>
              <w:ind w:left="0"/>
              <w:jc w:val="center"/>
              <w:rPr>
                <w:rFonts w:cs="Arial"/>
                <w:color w:val="0000FF"/>
                <w:sz w:val="22"/>
                <w:szCs w:val="22"/>
              </w:rPr>
            </w:pPr>
            <w:r w:rsidRPr="0041151F">
              <w:rPr>
                <w:rFonts w:cs="Arial"/>
                <w:color w:val="0000FF"/>
                <w:spacing w:val="-3"/>
                <w:sz w:val="22"/>
                <w:szCs w:val="22"/>
              </w:rPr>
              <w:t>xx</w:t>
            </w:r>
          </w:p>
        </w:tc>
        <w:tc>
          <w:tcPr>
            <w:tcW w:w="1980" w:type="dxa"/>
            <w:tcBorders>
              <w:top w:val="single" w:sz="4" w:space="0" w:color="auto"/>
              <w:bottom w:val="single" w:sz="4" w:space="0" w:color="auto"/>
              <w:right w:val="single" w:sz="4" w:space="0" w:color="auto"/>
            </w:tcBorders>
            <w:vAlign w:val="center"/>
          </w:tcPr>
          <w:p w14:paraId="6BA3D60E" w14:textId="3CAA21C6" w:rsidR="00642D61" w:rsidRPr="0041151F" w:rsidRDefault="00642D61" w:rsidP="007A60F3">
            <w:pPr>
              <w:pStyle w:val="BodyTextIndent3"/>
              <w:widowControl w:val="0"/>
              <w:tabs>
                <w:tab w:val="left" w:pos="1080"/>
              </w:tabs>
              <w:ind w:left="0"/>
              <w:jc w:val="center"/>
              <w:rPr>
                <w:rFonts w:cs="Arial"/>
                <w:color w:val="0000FF"/>
                <w:sz w:val="22"/>
                <w:szCs w:val="22"/>
              </w:rPr>
            </w:pPr>
            <w:r w:rsidRPr="0041151F">
              <w:rPr>
                <w:rFonts w:cs="Arial"/>
                <w:color w:val="0000FF"/>
                <w:spacing w:val="-3"/>
                <w:sz w:val="22"/>
                <w:szCs w:val="22"/>
              </w:rPr>
              <w:t>xx</w:t>
            </w:r>
          </w:p>
        </w:tc>
      </w:tr>
      <w:tr w:rsidR="00642D61" w:rsidRPr="00BF5E3F" w14:paraId="710A0993" w14:textId="77777777" w:rsidTr="000D40F1">
        <w:tc>
          <w:tcPr>
            <w:tcW w:w="1217" w:type="dxa"/>
            <w:tcBorders>
              <w:top w:val="single" w:sz="4" w:space="0" w:color="auto"/>
              <w:left w:val="single" w:sz="4" w:space="0" w:color="auto"/>
              <w:bottom w:val="single" w:sz="4" w:space="0" w:color="auto"/>
            </w:tcBorders>
            <w:vAlign w:val="center"/>
          </w:tcPr>
          <w:p w14:paraId="4F0DADA9"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75070</w:t>
            </w:r>
          </w:p>
        </w:tc>
        <w:tc>
          <w:tcPr>
            <w:tcW w:w="1918" w:type="dxa"/>
            <w:tcBorders>
              <w:top w:val="single" w:sz="4" w:space="0" w:color="auto"/>
              <w:bottom w:val="single" w:sz="4" w:space="0" w:color="auto"/>
            </w:tcBorders>
            <w:vAlign w:val="center"/>
          </w:tcPr>
          <w:p w14:paraId="5ACC1E22"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Acetaldehyde</w:t>
            </w:r>
          </w:p>
        </w:tc>
        <w:tc>
          <w:tcPr>
            <w:tcW w:w="810" w:type="dxa"/>
            <w:tcBorders>
              <w:top w:val="single" w:sz="4" w:space="0" w:color="auto"/>
              <w:bottom w:val="single" w:sz="4" w:space="0" w:color="auto"/>
            </w:tcBorders>
            <w:vAlign w:val="center"/>
          </w:tcPr>
          <w:p w14:paraId="63ACF436"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Y</w:t>
            </w:r>
          </w:p>
        </w:tc>
        <w:tc>
          <w:tcPr>
            <w:tcW w:w="2085" w:type="dxa"/>
            <w:tcBorders>
              <w:top w:val="single" w:sz="4" w:space="0" w:color="auto"/>
              <w:bottom w:val="single" w:sz="4" w:space="0" w:color="auto"/>
            </w:tcBorders>
            <w:vAlign w:val="center"/>
          </w:tcPr>
          <w:p w14:paraId="7D21B11A"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0.04</w:t>
            </w:r>
          </w:p>
        </w:tc>
        <w:tc>
          <w:tcPr>
            <w:tcW w:w="2340" w:type="dxa"/>
            <w:tcBorders>
              <w:top w:val="single" w:sz="4" w:space="0" w:color="auto"/>
              <w:bottom w:val="single" w:sz="4" w:space="0" w:color="auto"/>
            </w:tcBorders>
            <w:vAlign w:val="center"/>
          </w:tcPr>
          <w:p w14:paraId="10942B75" w14:textId="557E488A" w:rsidR="00642D61" w:rsidRPr="0041151F" w:rsidRDefault="00642D61" w:rsidP="007A60F3">
            <w:pPr>
              <w:pStyle w:val="BodyTextIndent3"/>
              <w:widowControl w:val="0"/>
              <w:tabs>
                <w:tab w:val="left" w:pos="1080"/>
              </w:tabs>
              <w:ind w:left="0"/>
              <w:jc w:val="center"/>
              <w:rPr>
                <w:rFonts w:cs="Arial"/>
                <w:color w:val="0000FF"/>
                <w:sz w:val="22"/>
                <w:szCs w:val="22"/>
              </w:rPr>
            </w:pPr>
            <w:r w:rsidRPr="0041151F">
              <w:rPr>
                <w:rFonts w:cs="Arial"/>
                <w:color w:val="0000FF"/>
                <w:spacing w:val="-3"/>
                <w:sz w:val="22"/>
                <w:szCs w:val="22"/>
              </w:rPr>
              <w:t>xx</w:t>
            </w:r>
          </w:p>
        </w:tc>
        <w:tc>
          <w:tcPr>
            <w:tcW w:w="1980" w:type="dxa"/>
            <w:tcBorders>
              <w:top w:val="single" w:sz="4" w:space="0" w:color="auto"/>
              <w:bottom w:val="single" w:sz="4" w:space="0" w:color="auto"/>
              <w:right w:val="single" w:sz="4" w:space="0" w:color="auto"/>
            </w:tcBorders>
            <w:vAlign w:val="center"/>
          </w:tcPr>
          <w:p w14:paraId="1F53E878" w14:textId="65DE7102" w:rsidR="00642D61" w:rsidRPr="0041151F" w:rsidRDefault="00642D61" w:rsidP="007A60F3">
            <w:pPr>
              <w:pStyle w:val="BodyTextIndent3"/>
              <w:widowControl w:val="0"/>
              <w:tabs>
                <w:tab w:val="left" w:pos="1080"/>
              </w:tabs>
              <w:ind w:left="0"/>
              <w:jc w:val="center"/>
              <w:rPr>
                <w:rFonts w:cs="Arial"/>
                <w:color w:val="0000FF"/>
                <w:sz w:val="22"/>
                <w:szCs w:val="22"/>
              </w:rPr>
            </w:pPr>
            <w:r w:rsidRPr="0041151F">
              <w:rPr>
                <w:rFonts w:cs="Arial"/>
                <w:color w:val="0000FF"/>
                <w:spacing w:val="-3"/>
                <w:sz w:val="22"/>
                <w:szCs w:val="22"/>
              </w:rPr>
              <w:t>xx</w:t>
            </w:r>
          </w:p>
        </w:tc>
      </w:tr>
      <w:tr w:rsidR="00642D61" w:rsidRPr="00BF5E3F" w14:paraId="40CC84B0" w14:textId="77777777" w:rsidTr="000D40F1">
        <w:tc>
          <w:tcPr>
            <w:tcW w:w="1217" w:type="dxa"/>
            <w:tcBorders>
              <w:top w:val="single" w:sz="4" w:space="0" w:color="auto"/>
              <w:left w:val="single" w:sz="4" w:space="0" w:color="auto"/>
              <w:bottom w:val="single" w:sz="4" w:space="0" w:color="auto"/>
            </w:tcBorders>
            <w:vAlign w:val="center"/>
          </w:tcPr>
          <w:p w14:paraId="291E3F45"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107028</w:t>
            </w:r>
          </w:p>
        </w:tc>
        <w:tc>
          <w:tcPr>
            <w:tcW w:w="1918" w:type="dxa"/>
            <w:tcBorders>
              <w:top w:val="single" w:sz="4" w:space="0" w:color="auto"/>
              <w:bottom w:val="single" w:sz="4" w:space="0" w:color="auto"/>
            </w:tcBorders>
            <w:vAlign w:val="center"/>
          </w:tcPr>
          <w:p w14:paraId="086DFF14"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Acrolein</w:t>
            </w:r>
          </w:p>
        </w:tc>
        <w:tc>
          <w:tcPr>
            <w:tcW w:w="810" w:type="dxa"/>
            <w:tcBorders>
              <w:top w:val="single" w:sz="4" w:space="0" w:color="auto"/>
              <w:bottom w:val="single" w:sz="4" w:space="0" w:color="auto"/>
            </w:tcBorders>
            <w:vAlign w:val="center"/>
          </w:tcPr>
          <w:p w14:paraId="7EDF60E7"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Y</w:t>
            </w:r>
          </w:p>
        </w:tc>
        <w:tc>
          <w:tcPr>
            <w:tcW w:w="2085" w:type="dxa"/>
            <w:tcBorders>
              <w:top w:val="single" w:sz="4" w:space="0" w:color="auto"/>
              <w:bottom w:val="single" w:sz="4" w:space="0" w:color="auto"/>
            </w:tcBorders>
            <w:vAlign w:val="center"/>
          </w:tcPr>
          <w:p w14:paraId="5A95786D"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0.0064</w:t>
            </w:r>
          </w:p>
        </w:tc>
        <w:tc>
          <w:tcPr>
            <w:tcW w:w="2340" w:type="dxa"/>
            <w:tcBorders>
              <w:top w:val="single" w:sz="4" w:space="0" w:color="auto"/>
              <w:bottom w:val="single" w:sz="4" w:space="0" w:color="auto"/>
            </w:tcBorders>
            <w:vAlign w:val="center"/>
          </w:tcPr>
          <w:p w14:paraId="3339C6D7" w14:textId="68B1C673" w:rsidR="00642D61" w:rsidRPr="0041151F" w:rsidRDefault="00642D61" w:rsidP="007A60F3">
            <w:pPr>
              <w:pStyle w:val="BodyTextIndent3"/>
              <w:widowControl w:val="0"/>
              <w:tabs>
                <w:tab w:val="left" w:pos="1080"/>
              </w:tabs>
              <w:ind w:left="0"/>
              <w:jc w:val="center"/>
              <w:rPr>
                <w:rFonts w:cs="Arial"/>
                <w:color w:val="0000FF"/>
                <w:sz w:val="22"/>
                <w:szCs w:val="22"/>
              </w:rPr>
            </w:pPr>
            <w:r w:rsidRPr="0041151F">
              <w:rPr>
                <w:rFonts w:cs="Arial"/>
                <w:color w:val="0000FF"/>
                <w:spacing w:val="-3"/>
                <w:sz w:val="22"/>
                <w:szCs w:val="22"/>
              </w:rPr>
              <w:t>xx</w:t>
            </w:r>
          </w:p>
        </w:tc>
        <w:tc>
          <w:tcPr>
            <w:tcW w:w="1980" w:type="dxa"/>
            <w:tcBorders>
              <w:top w:val="single" w:sz="4" w:space="0" w:color="auto"/>
              <w:bottom w:val="single" w:sz="4" w:space="0" w:color="auto"/>
              <w:right w:val="single" w:sz="4" w:space="0" w:color="auto"/>
            </w:tcBorders>
            <w:vAlign w:val="center"/>
          </w:tcPr>
          <w:p w14:paraId="4A8DE665" w14:textId="21A24FE4" w:rsidR="00642D61" w:rsidRPr="0041151F" w:rsidRDefault="00642D61" w:rsidP="007A60F3">
            <w:pPr>
              <w:pStyle w:val="BodyTextIndent3"/>
              <w:widowControl w:val="0"/>
              <w:tabs>
                <w:tab w:val="left" w:pos="1080"/>
              </w:tabs>
              <w:ind w:left="0"/>
              <w:jc w:val="center"/>
              <w:rPr>
                <w:rFonts w:cs="Arial"/>
                <w:color w:val="0000FF"/>
                <w:sz w:val="22"/>
                <w:szCs w:val="22"/>
              </w:rPr>
            </w:pPr>
            <w:r w:rsidRPr="0041151F">
              <w:rPr>
                <w:rFonts w:cs="Arial"/>
                <w:color w:val="0000FF"/>
                <w:spacing w:val="-3"/>
                <w:sz w:val="22"/>
                <w:szCs w:val="22"/>
              </w:rPr>
              <w:t>xx</w:t>
            </w:r>
          </w:p>
        </w:tc>
      </w:tr>
      <w:tr w:rsidR="00642D61" w:rsidRPr="00BF5E3F" w14:paraId="565C8885" w14:textId="77777777" w:rsidTr="000D40F1">
        <w:tc>
          <w:tcPr>
            <w:tcW w:w="1217" w:type="dxa"/>
            <w:tcBorders>
              <w:top w:val="single" w:sz="4" w:space="0" w:color="auto"/>
              <w:left w:val="single" w:sz="4" w:space="0" w:color="auto"/>
              <w:bottom w:val="single" w:sz="4" w:space="0" w:color="auto"/>
            </w:tcBorders>
            <w:vAlign w:val="center"/>
          </w:tcPr>
          <w:p w14:paraId="010B1F2B"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71432</w:t>
            </w:r>
          </w:p>
        </w:tc>
        <w:tc>
          <w:tcPr>
            <w:tcW w:w="1918" w:type="dxa"/>
            <w:tcBorders>
              <w:top w:val="single" w:sz="4" w:space="0" w:color="auto"/>
              <w:bottom w:val="single" w:sz="4" w:space="0" w:color="auto"/>
            </w:tcBorders>
            <w:vAlign w:val="center"/>
          </w:tcPr>
          <w:p w14:paraId="22B7762F"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Benzene</w:t>
            </w:r>
          </w:p>
        </w:tc>
        <w:tc>
          <w:tcPr>
            <w:tcW w:w="810" w:type="dxa"/>
            <w:tcBorders>
              <w:top w:val="single" w:sz="4" w:space="0" w:color="auto"/>
              <w:bottom w:val="single" w:sz="4" w:space="0" w:color="auto"/>
            </w:tcBorders>
            <w:vAlign w:val="center"/>
          </w:tcPr>
          <w:p w14:paraId="733DC070"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Y</w:t>
            </w:r>
          </w:p>
        </w:tc>
        <w:tc>
          <w:tcPr>
            <w:tcW w:w="2085" w:type="dxa"/>
            <w:tcBorders>
              <w:top w:val="single" w:sz="4" w:space="0" w:color="auto"/>
              <w:bottom w:val="single" w:sz="4" w:space="0" w:color="auto"/>
            </w:tcBorders>
            <w:vAlign w:val="center"/>
          </w:tcPr>
          <w:p w14:paraId="230C8C73"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0.012</w:t>
            </w:r>
          </w:p>
        </w:tc>
        <w:tc>
          <w:tcPr>
            <w:tcW w:w="2340" w:type="dxa"/>
            <w:tcBorders>
              <w:top w:val="single" w:sz="4" w:space="0" w:color="auto"/>
              <w:bottom w:val="single" w:sz="4" w:space="0" w:color="auto"/>
            </w:tcBorders>
            <w:vAlign w:val="center"/>
          </w:tcPr>
          <w:p w14:paraId="3374EE78" w14:textId="07170E56" w:rsidR="00642D61" w:rsidRPr="0041151F" w:rsidRDefault="00642D61" w:rsidP="007A60F3">
            <w:pPr>
              <w:pStyle w:val="BodyTextIndent3"/>
              <w:widowControl w:val="0"/>
              <w:tabs>
                <w:tab w:val="left" w:pos="1080"/>
              </w:tabs>
              <w:ind w:left="0"/>
              <w:jc w:val="center"/>
              <w:rPr>
                <w:rFonts w:cs="Arial"/>
                <w:color w:val="0000FF"/>
                <w:sz w:val="22"/>
                <w:szCs w:val="22"/>
              </w:rPr>
            </w:pPr>
            <w:r w:rsidRPr="0041151F">
              <w:rPr>
                <w:rFonts w:cs="Arial"/>
                <w:color w:val="0000FF"/>
                <w:spacing w:val="-3"/>
                <w:sz w:val="22"/>
                <w:szCs w:val="22"/>
              </w:rPr>
              <w:t>xx</w:t>
            </w:r>
          </w:p>
        </w:tc>
        <w:tc>
          <w:tcPr>
            <w:tcW w:w="1980" w:type="dxa"/>
            <w:tcBorders>
              <w:top w:val="single" w:sz="4" w:space="0" w:color="auto"/>
              <w:bottom w:val="single" w:sz="4" w:space="0" w:color="auto"/>
              <w:right w:val="single" w:sz="4" w:space="0" w:color="auto"/>
            </w:tcBorders>
            <w:vAlign w:val="center"/>
          </w:tcPr>
          <w:p w14:paraId="27ED5181" w14:textId="6ADFA276" w:rsidR="00642D61" w:rsidRPr="0041151F" w:rsidRDefault="00642D61" w:rsidP="007A60F3">
            <w:pPr>
              <w:pStyle w:val="BodyTextIndent3"/>
              <w:widowControl w:val="0"/>
              <w:tabs>
                <w:tab w:val="left" w:pos="1080"/>
              </w:tabs>
              <w:ind w:left="0"/>
              <w:jc w:val="center"/>
              <w:rPr>
                <w:rFonts w:cs="Arial"/>
                <w:color w:val="0000FF"/>
                <w:sz w:val="22"/>
                <w:szCs w:val="22"/>
              </w:rPr>
            </w:pPr>
            <w:r w:rsidRPr="0041151F">
              <w:rPr>
                <w:rFonts w:cs="Arial"/>
                <w:color w:val="0000FF"/>
                <w:spacing w:val="-3"/>
                <w:sz w:val="22"/>
                <w:szCs w:val="22"/>
              </w:rPr>
              <w:t>xx</w:t>
            </w:r>
          </w:p>
        </w:tc>
      </w:tr>
      <w:tr w:rsidR="00642D61" w:rsidRPr="00BF5E3F" w14:paraId="21EE52AD" w14:textId="77777777" w:rsidTr="000D40F1">
        <w:tc>
          <w:tcPr>
            <w:tcW w:w="1217" w:type="dxa"/>
            <w:tcBorders>
              <w:top w:val="single" w:sz="4" w:space="0" w:color="auto"/>
              <w:left w:val="single" w:sz="4" w:space="0" w:color="auto"/>
              <w:bottom w:val="single" w:sz="4" w:space="0" w:color="auto"/>
            </w:tcBorders>
            <w:vAlign w:val="center"/>
          </w:tcPr>
          <w:p w14:paraId="36EE3B2C"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100414</w:t>
            </w:r>
          </w:p>
        </w:tc>
        <w:tc>
          <w:tcPr>
            <w:tcW w:w="1918" w:type="dxa"/>
            <w:tcBorders>
              <w:top w:val="single" w:sz="4" w:space="0" w:color="auto"/>
              <w:bottom w:val="single" w:sz="4" w:space="0" w:color="auto"/>
            </w:tcBorders>
            <w:vAlign w:val="center"/>
          </w:tcPr>
          <w:p w14:paraId="6C60CD31"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Ethyl benzene</w:t>
            </w:r>
          </w:p>
        </w:tc>
        <w:tc>
          <w:tcPr>
            <w:tcW w:w="810" w:type="dxa"/>
            <w:tcBorders>
              <w:top w:val="single" w:sz="4" w:space="0" w:color="auto"/>
              <w:bottom w:val="single" w:sz="4" w:space="0" w:color="auto"/>
            </w:tcBorders>
            <w:vAlign w:val="center"/>
          </w:tcPr>
          <w:p w14:paraId="58ACB235"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Y</w:t>
            </w:r>
          </w:p>
        </w:tc>
        <w:tc>
          <w:tcPr>
            <w:tcW w:w="2085" w:type="dxa"/>
            <w:tcBorders>
              <w:top w:val="single" w:sz="4" w:space="0" w:color="auto"/>
              <w:bottom w:val="single" w:sz="4" w:space="0" w:color="auto"/>
            </w:tcBorders>
            <w:vAlign w:val="center"/>
          </w:tcPr>
          <w:p w14:paraId="743D7A2F"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0.032</w:t>
            </w:r>
          </w:p>
        </w:tc>
        <w:tc>
          <w:tcPr>
            <w:tcW w:w="2340" w:type="dxa"/>
            <w:tcBorders>
              <w:top w:val="single" w:sz="4" w:space="0" w:color="auto"/>
              <w:bottom w:val="single" w:sz="4" w:space="0" w:color="auto"/>
            </w:tcBorders>
            <w:vAlign w:val="center"/>
          </w:tcPr>
          <w:p w14:paraId="75856298" w14:textId="1A8DA394" w:rsidR="00642D61" w:rsidRPr="0041151F" w:rsidRDefault="00642D61" w:rsidP="007A60F3">
            <w:pPr>
              <w:pStyle w:val="BodyTextIndent3"/>
              <w:widowControl w:val="0"/>
              <w:tabs>
                <w:tab w:val="left" w:pos="1080"/>
              </w:tabs>
              <w:ind w:left="0"/>
              <w:jc w:val="center"/>
              <w:rPr>
                <w:rFonts w:cs="Arial"/>
                <w:color w:val="0000FF"/>
                <w:sz w:val="22"/>
                <w:szCs w:val="22"/>
              </w:rPr>
            </w:pPr>
            <w:r w:rsidRPr="0041151F">
              <w:rPr>
                <w:rFonts w:cs="Arial"/>
                <w:color w:val="0000FF"/>
                <w:spacing w:val="-3"/>
                <w:sz w:val="22"/>
                <w:szCs w:val="22"/>
              </w:rPr>
              <w:t>xx</w:t>
            </w:r>
          </w:p>
        </w:tc>
        <w:tc>
          <w:tcPr>
            <w:tcW w:w="1980" w:type="dxa"/>
            <w:tcBorders>
              <w:top w:val="single" w:sz="4" w:space="0" w:color="auto"/>
              <w:bottom w:val="single" w:sz="4" w:space="0" w:color="auto"/>
              <w:right w:val="single" w:sz="4" w:space="0" w:color="auto"/>
            </w:tcBorders>
            <w:vAlign w:val="center"/>
          </w:tcPr>
          <w:p w14:paraId="1924556F" w14:textId="20687165" w:rsidR="00642D61" w:rsidRPr="0041151F" w:rsidRDefault="00642D61" w:rsidP="007A60F3">
            <w:pPr>
              <w:pStyle w:val="BodyTextIndent3"/>
              <w:widowControl w:val="0"/>
              <w:tabs>
                <w:tab w:val="left" w:pos="1080"/>
              </w:tabs>
              <w:ind w:left="0"/>
              <w:jc w:val="center"/>
              <w:rPr>
                <w:rFonts w:cs="Arial"/>
                <w:color w:val="0000FF"/>
                <w:sz w:val="22"/>
                <w:szCs w:val="22"/>
              </w:rPr>
            </w:pPr>
            <w:r w:rsidRPr="0041151F">
              <w:rPr>
                <w:rFonts w:cs="Arial"/>
                <w:color w:val="0000FF"/>
                <w:spacing w:val="-3"/>
                <w:sz w:val="22"/>
                <w:szCs w:val="22"/>
              </w:rPr>
              <w:t>xx</w:t>
            </w:r>
          </w:p>
        </w:tc>
      </w:tr>
      <w:tr w:rsidR="00642D61" w:rsidRPr="00BF5E3F" w14:paraId="73AB369D" w14:textId="77777777" w:rsidTr="000D40F1">
        <w:tc>
          <w:tcPr>
            <w:tcW w:w="1217" w:type="dxa"/>
            <w:tcBorders>
              <w:top w:val="single" w:sz="4" w:space="0" w:color="auto"/>
              <w:left w:val="single" w:sz="4" w:space="0" w:color="auto"/>
              <w:bottom w:val="single" w:sz="4" w:space="0" w:color="auto"/>
            </w:tcBorders>
            <w:vAlign w:val="center"/>
          </w:tcPr>
          <w:p w14:paraId="4EE67809"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50000</w:t>
            </w:r>
          </w:p>
        </w:tc>
        <w:tc>
          <w:tcPr>
            <w:tcW w:w="1918" w:type="dxa"/>
            <w:tcBorders>
              <w:top w:val="single" w:sz="4" w:space="0" w:color="auto"/>
              <w:bottom w:val="single" w:sz="4" w:space="0" w:color="auto"/>
            </w:tcBorders>
            <w:vAlign w:val="center"/>
          </w:tcPr>
          <w:p w14:paraId="7A97CC28"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Formaldehyde</w:t>
            </w:r>
          </w:p>
        </w:tc>
        <w:tc>
          <w:tcPr>
            <w:tcW w:w="810" w:type="dxa"/>
            <w:tcBorders>
              <w:top w:val="single" w:sz="4" w:space="0" w:color="auto"/>
              <w:bottom w:val="single" w:sz="4" w:space="0" w:color="auto"/>
            </w:tcBorders>
            <w:vAlign w:val="center"/>
          </w:tcPr>
          <w:p w14:paraId="2C800109"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Y</w:t>
            </w:r>
          </w:p>
        </w:tc>
        <w:tc>
          <w:tcPr>
            <w:tcW w:w="2085" w:type="dxa"/>
            <w:tcBorders>
              <w:top w:val="single" w:sz="4" w:space="0" w:color="auto"/>
              <w:bottom w:val="single" w:sz="4" w:space="0" w:color="auto"/>
            </w:tcBorders>
            <w:vAlign w:val="center"/>
          </w:tcPr>
          <w:p w14:paraId="45B47C54"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0.71</w:t>
            </w:r>
          </w:p>
        </w:tc>
        <w:tc>
          <w:tcPr>
            <w:tcW w:w="2340" w:type="dxa"/>
            <w:tcBorders>
              <w:top w:val="single" w:sz="4" w:space="0" w:color="auto"/>
              <w:bottom w:val="single" w:sz="4" w:space="0" w:color="auto"/>
            </w:tcBorders>
            <w:vAlign w:val="center"/>
          </w:tcPr>
          <w:p w14:paraId="381275FD" w14:textId="46C9304B" w:rsidR="00642D61" w:rsidRPr="0041151F" w:rsidRDefault="00642D61" w:rsidP="007A60F3">
            <w:pPr>
              <w:pStyle w:val="BodyTextIndent3"/>
              <w:widowControl w:val="0"/>
              <w:tabs>
                <w:tab w:val="left" w:pos="1080"/>
              </w:tabs>
              <w:ind w:left="0"/>
              <w:jc w:val="center"/>
              <w:rPr>
                <w:rFonts w:cs="Arial"/>
                <w:color w:val="0000FF"/>
                <w:sz w:val="22"/>
                <w:szCs w:val="22"/>
              </w:rPr>
            </w:pPr>
            <w:r w:rsidRPr="0041151F">
              <w:rPr>
                <w:rFonts w:cs="Arial"/>
                <w:color w:val="0000FF"/>
                <w:spacing w:val="-3"/>
                <w:sz w:val="22"/>
                <w:szCs w:val="22"/>
              </w:rPr>
              <w:t>xx</w:t>
            </w:r>
          </w:p>
        </w:tc>
        <w:tc>
          <w:tcPr>
            <w:tcW w:w="1980" w:type="dxa"/>
            <w:tcBorders>
              <w:top w:val="single" w:sz="4" w:space="0" w:color="auto"/>
              <w:bottom w:val="single" w:sz="4" w:space="0" w:color="auto"/>
              <w:right w:val="single" w:sz="4" w:space="0" w:color="auto"/>
            </w:tcBorders>
            <w:vAlign w:val="center"/>
          </w:tcPr>
          <w:p w14:paraId="37452BB9" w14:textId="61D2F227" w:rsidR="00642D61" w:rsidRPr="0041151F" w:rsidRDefault="00642D61" w:rsidP="007A60F3">
            <w:pPr>
              <w:pStyle w:val="BodyTextIndent3"/>
              <w:widowControl w:val="0"/>
              <w:tabs>
                <w:tab w:val="left" w:pos="1080"/>
              </w:tabs>
              <w:ind w:left="0"/>
              <w:jc w:val="center"/>
              <w:rPr>
                <w:rFonts w:cs="Arial"/>
                <w:color w:val="0000FF"/>
                <w:sz w:val="22"/>
                <w:szCs w:val="22"/>
              </w:rPr>
            </w:pPr>
            <w:r w:rsidRPr="0041151F">
              <w:rPr>
                <w:rFonts w:cs="Arial"/>
                <w:color w:val="0000FF"/>
                <w:spacing w:val="-3"/>
                <w:sz w:val="22"/>
                <w:szCs w:val="22"/>
              </w:rPr>
              <w:t>xx</w:t>
            </w:r>
          </w:p>
        </w:tc>
      </w:tr>
      <w:tr w:rsidR="00642D61" w:rsidRPr="00BF5E3F" w14:paraId="36D5DD7F" w14:textId="77777777" w:rsidTr="000D40F1">
        <w:tc>
          <w:tcPr>
            <w:tcW w:w="1217" w:type="dxa"/>
            <w:tcBorders>
              <w:top w:val="single" w:sz="4" w:space="0" w:color="auto"/>
              <w:left w:val="single" w:sz="4" w:space="0" w:color="auto"/>
              <w:bottom w:val="single" w:sz="4" w:space="0" w:color="auto"/>
            </w:tcBorders>
            <w:vAlign w:val="center"/>
          </w:tcPr>
          <w:p w14:paraId="0A5B2025"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91203</w:t>
            </w:r>
          </w:p>
        </w:tc>
        <w:tc>
          <w:tcPr>
            <w:tcW w:w="1918" w:type="dxa"/>
            <w:tcBorders>
              <w:top w:val="single" w:sz="4" w:space="0" w:color="auto"/>
              <w:bottom w:val="single" w:sz="4" w:space="0" w:color="auto"/>
            </w:tcBorders>
            <w:vAlign w:val="center"/>
          </w:tcPr>
          <w:p w14:paraId="64ECEFB3"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Naphthalene</w:t>
            </w:r>
          </w:p>
        </w:tc>
        <w:tc>
          <w:tcPr>
            <w:tcW w:w="810" w:type="dxa"/>
            <w:tcBorders>
              <w:top w:val="single" w:sz="4" w:space="0" w:color="auto"/>
              <w:bottom w:val="single" w:sz="4" w:space="0" w:color="auto"/>
            </w:tcBorders>
            <w:vAlign w:val="center"/>
          </w:tcPr>
          <w:p w14:paraId="70B49212"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Y</w:t>
            </w:r>
          </w:p>
        </w:tc>
        <w:tc>
          <w:tcPr>
            <w:tcW w:w="2085" w:type="dxa"/>
            <w:tcBorders>
              <w:top w:val="single" w:sz="4" w:space="0" w:color="auto"/>
              <w:bottom w:val="single" w:sz="4" w:space="0" w:color="auto"/>
            </w:tcBorders>
            <w:vAlign w:val="center"/>
          </w:tcPr>
          <w:p w14:paraId="5A54B9E5"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0.0013</w:t>
            </w:r>
          </w:p>
        </w:tc>
        <w:tc>
          <w:tcPr>
            <w:tcW w:w="2340" w:type="dxa"/>
            <w:tcBorders>
              <w:top w:val="single" w:sz="4" w:space="0" w:color="auto"/>
              <w:bottom w:val="single" w:sz="4" w:space="0" w:color="auto"/>
            </w:tcBorders>
            <w:vAlign w:val="center"/>
          </w:tcPr>
          <w:p w14:paraId="7F6C5BAE" w14:textId="2F4E8AAF" w:rsidR="00642D61" w:rsidRPr="0041151F" w:rsidRDefault="00642D61" w:rsidP="007A60F3">
            <w:pPr>
              <w:pStyle w:val="BodyTextIndent3"/>
              <w:widowControl w:val="0"/>
              <w:tabs>
                <w:tab w:val="left" w:pos="1080"/>
              </w:tabs>
              <w:ind w:left="0"/>
              <w:jc w:val="center"/>
              <w:rPr>
                <w:rFonts w:cs="Arial"/>
                <w:color w:val="0000FF"/>
                <w:sz w:val="22"/>
                <w:szCs w:val="22"/>
              </w:rPr>
            </w:pPr>
            <w:r w:rsidRPr="0041151F">
              <w:rPr>
                <w:rFonts w:cs="Arial"/>
                <w:color w:val="0000FF"/>
                <w:spacing w:val="-3"/>
                <w:sz w:val="22"/>
                <w:szCs w:val="22"/>
              </w:rPr>
              <w:t>xx</w:t>
            </w:r>
          </w:p>
        </w:tc>
        <w:tc>
          <w:tcPr>
            <w:tcW w:w="1980" w:type="dxa"/>
            <w:tcBorders>
              <w:top w:val="single" w:sz="4" w:space="0" w:color="auto"/>
              <w:bottom w:val="single" w:sz="4" w:space="0" w:color="auto"/>
              <w:right w:val="single" w:sz="4" w:space="0" w:color="auto"/>
            </w:tcBorders>
            <w:vAlign w:val="center"/>
          </w:tcPr>
          <w:p w14:paraId="7B062C13" w14:textId="74A0A06D" w:rsidR="00642D61" w:rsidRPr="0041151F" w:rsidRDefault="00642D61" w:rsidP="007A60F3">
            <w:pPr>
              <w:pStyle w:val="BodyTextIndent3"/>
              <w:widowControl w:val="0"/>
              <w:tabs>
                <w:tab w:val="left" w:pos="1080"/>
              </w:tabs>
              <w:ind w:left="0"/>
              <w:jc w:val="center"/>
              <w:rPr>
                <w:rFonts w:cs="Arial"/>
                <w:color w:val="0000FF"/>
                <w:sz w:val="22"/>
                <w:szCs w:val="22"/>
              </w:rPr>
            </w:pPr>
            <w:r w:rsidRPr="0041151F">
              <w:rPr>
                <w:rFonts w:cs="Arial"/>
                <w:color w:val="0000FF"/>
                <w:spacing w:val="-3"/>
                <w:sz w:val="22"/>
                <w:szCs w:val="22"/>
              </w:rPr>
              <w:t>xx</w:t>
            </w:r>
          </w:p>
        </w:tc>
      </w:tr>
      <w:tr w:rsidR="00642D61" w:rsidRPr="00BF5E3F" w14:paraId="08AE652B" w14:textId="77777777" w:rsidTr="000D40F1">
        <w:tc>
          <w:tcPr>
            <w:tcW w:w="1217" w:type="dxa"/>
            <w:tcBorders>
              <w:top w:val="single" w:sz="4" w:space="0" w:color="auto"/>
              <w:left w:val="single" w:sz="4" w:space="0" w:color="auto"/>
              <w:bottom w:val="single" w:sz="4" w:space="0" w:color="auto"/>
            </w:tcBorders>
            <w:vAlign w:val="center"/>
          </w:tcPr>
          <w:p w14:paraId="459F3012" w14:textId="77777777" w:rsidR="00642D61" w:rsidRPr="00BF5E3F" w:rsidRDefault="00642D61" w:rsidP="007A60F3">
            <w:pPr>
              <w:pStyle w:val="BodyTextIndent3"/>
              <w:widowControl w:val="0"/>
              <w:tabs>
                <w:tab w:val="left" w:pos="1080"/>
              </w:tabs>
              <w:ind w:left="0"/>
              <w:jc w:val="center"/>
              <w:rPr>
                <w:rFonts w:cs="Arial"/>
                <w:color w:val="auto"/>
                <w:sz w:val="22"/>
                <w:szCs w:val="22"/>
              </w:rPr>
            </w:pPr>
          </w:p>
        </w:tc>
        <w:tc>
          <w:tcPr>
            <w:tcW w:w="1918" w:type="dxa"/>
            <w:tcBorders>
              <w:top w:val="single" w:sz="4" w:space="0" w:color="auto"/>
              <w:bottom w:val="single" w:sz="4" w:space="0" w:color="auto"/>
            </w:tcBorders>
            <w:vAlign w:val="center"/>
          </w:tcPr>
          <w:p w14:paraId="070401B4"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PAH’s</w:t>
            </w:r>
          </w:p>
        </w:tc>
        <w:tc>
          <w:tcPr>
            <w:tcW w:w="810" w:type="dxa"/>
            <w:tcBorders>
              <w:top w:val="single" w:sz="4" w:space="0" w:color="auto"/>
              <w:bottom w:val="single" w:sz="4" w:space="0" w:color="auto"/>
            </w:tcBorders>
            <w:vAlign w:val="center"/>
          </w:tcPr>
          <w:p w14:paraId="3FC1FDBA"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Y</w:t>
            </w:r>
          </w:p>
        </w:tc>
        <w:tc>
          <w:tcPr>
            <w:tcW w:w="2085" w:type="dxa"/>
            <w:tcBorders>
              <w:top w:val="single" w:sz="4" w:space="0" w:color="auto"/>
              <w:bottom w:val="single" w:sz="4" w:space="0" w:color="auto"/>
            </w:tcBorders>
            <w:vAlign w:val="center"/>
          </w:tcPr>
          <w:p w14:paraId="102FB046"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0.0022</w:t>
            </w:r>
          </w:p>
        </w:tc>
        <w:tc>
          <w:tcPr>
            <w:tcW w:w="2340" w:type="dxa"/>
            <w:tcBorders>
              <w:top w:val="single" w:sz="4" w:space="0" w:color="auto"/>
              <w:bottom w:val="single" w:sz="4" w:space="0" w:color="auto"/>
            </w:tcBorders>
            <w:vAlign w:val="center"/>
          </w:tcPr>
          <w:p w14:paraId="108A2FE5" w14:textId="732B2274" w:rsidR="00642D61" w:rsidRPr="0041151F" w:rsidRDefault="00642D61" w:rsidP="007A60F3">
            <w:pPr>
              <w:pStyle w:val="BodyTextIndent3"/>
              <w:widowControl w:val="0"/>
              <w:tabs>
                <w:tab w:val="left" w:pos="1080"/>
              </w:tabs>
              <w:ind w:left="0"/>
              <w:jc w:val="center"/>
              <w:rPr>
                <w:rFonts w:cs="Arial"/>
                <w:color w:val="0000FF"/>
                <w:sz w:val="22"/>
                <w:szCs w:val="22"/>
              </w:rPr>
            </w:pPr>
            <w:r w:rsidRPr="0041151F">
              <w:rPr>
                <w:rFonts w:cs="Arial"/>
                <w:color w:val="0000FF"/>
                <w:spacing w:val="-3"/>
                <w:sz w:val="22"/>
                <w:szCs w:val="22"/>
              </w:rPr>
              <w:t>xx</w:t>
            </w:r>
          </w:p>
        </w:tc>
        <w:tc>
          <w:tcPr>
            <w:tcW w:w="1980" w:type="dxa"/>
            <w:tcBorders>
              <w:top w:val="single" w:sz="4" w:space="0" w:color="auto"/>
              <w:bottom w:val="single" w:sz="4" w:space="0" w:color="auto"/>
              <w:right w:val="single" w:sz="4" w:space="0" w:color="auto"/>
            </w:tcBorders>
            <w:vAlign w:val="center"/>
          </w:tcPr>
          <w:p w14:paraId="205C1C17" w14:textId="513762C4" w:rsidR="00642D61" w:rsidRPr="0041151F" w:rsidRDefault="00642D61" w:rsidP="007A60F3">
            <w:pPr>
              <w:pStyle w:val="BodyTextIndent3"/>
              <w:widowControl w:val="0"/>
              <w:tabs>
                <w:tab w:val="left" w:pos="1080"/>
              </w:tabs>
              <w:ind w:left="0"/>
              <w:jc w:val="center"/>
              <w:rPr>
                <w:rFonts w:cs="Arial"/>
                <w:color w:val="0000FF"/>
                <w:sz w:val="22"/>
                <w:szCs w:val="22"/>
              </w:rPr>
            </w:pPr>
            <w:r w:rsidRPr="0041151F">
              <w:rPr>
                <w:rFonts w:cs="Arial"/>
                <w:color w:val="0000FF"/>
                <w:spacing w:val="-3"/>
                <w:sz w:val="22"/>
                <w:szCs w:val="22"/>
              </w:rPr>
              <w:t>xx</w:t>
            </w:r>
          </w:p>
        </w:tc>
      </w:tr>
      <w:tr w:rsidR="00642D61" w:rsidRPr="00BF5E3F" w14:paraId="77104EED" w14:textId="77777777" w:rsidTr="000D40F1">
        <w:tc>
          <w:tcPr>
            <w:tcW w:w="1217" w:type="dxa"/>
            <w:tcBorders>
              <w:top w:val="single" w:sz="4" w:space="0" w:color="auto"/>
              <w:left w:val="single" w:sz="4" w:space="0" w:color="auto"/>
              <w:bottom w:val="single" w:sz="4" w:space="0" w:color="auto"/>
            </w:tcBorders>
            <w:vAlign w:val="center"/>
          </w:tcPr>
          <w:p w14:paraId="256BC8B0"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75569</w:t>
            </w:r>
          </w:p>
        </w:tc>
        <w:tc>
          <w:tcPr>
            <w:tcW w:w="1918" w:type="dxa"/>
            <w:tcBorders>
              <w:top w:val="single" w:sz="4" w:space="0" w:color="auto"/>
              <w:bottom w:val="single" w:sz="4" w:space="0" w:color="auto"/>
            </w:tcBorders>
            <w:vAlign w:val="center"/>
          </w:tcPr>
          <w:p w14:paraId="32FEC5E8"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Propylene oxide</w:t>
            </w:r>
          </w:p>
        </w:tc>
        <w:tc>
          <w:tcPr>
            <w:tcW w:w="810" w:type="dxa"/>
            <w:tcBorders>
              <w:top w:val="single" w:sz="4" w:space="0" w:color="auto"/>
              <w:bottom w:val="single" w:sz="4" w:space="0" w:color="auto"/>
            </w:tcBorders>
            <w:vAlign w:val="center"/>
          </w:tcPr>
          <w:p w14:paraId="72FB1112"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Y</w:t>
            </w:r>
          </w:p>
        </w:tc>
        <w:tc>
          <w:tcPr>
            <w:tcW w:w="2085" w:type="dxa"/>
            <w:tcBorders>
              <w:top w:val="single" w:sz="4" w:space="0" w:color="auto"/>
              <w:bottom w:val="single" w:sz="4" w:space="0" w:color="auto"/>
            </w:tcBorders>
            <w:vAlign w:val="center"/>
          </w:tcPr>
          <w:p w14:paraId="24CADDCC"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0.029</w:t>
            </w:r>
          </w:p>
        </w:tc>
        <w:tc>
          <w:tcPr>
            <w:tcW w:w="2340" w:type="dxa"/>
            <w:tcBorders>
              <w:top w:val="single" w:sz="4" w:space="0" w:color="auto"/>
              <w:bottom w:val="single" w:sz="4" w:space="0" w:color="auto"/>
            </w:tcBorders>
            <w:vAlign w:val="center"/>
          </w:tcPr>
          <w:p w14:paraId="15AB9123" w14:textId="58D5B5E6" w:rsidR="00642D61" w:rsidRPr="0041151F" w:rsidRDefault="00642D61" w:rsidP="007A60F3">
            <w:pPr>
              <w:pStyle w:val="BodyTextIndent3"/>
              <w:widowControl w:val="0"/>
              <w:tabs>
                <w:tab w:val="left" w:pos="1080"/>
              </w:tabs>
              <w:ind w:left="0"/>
              <w:jc w:val="center"/>
              <w:rPr>
                <w:rFonts w:cs="Arial"/>
                <w:color w:val="0000FF"/>
                <w:sz w:val="22"/>
                <w:szCs w:val="22"/>
              </w:rPr>
            </w:pPr>
            <w:r w:rsidRPr="0041151F">
              <w:rPr>
                <w:rFonts w:cs="Arial"/>
                <w:color w:val="0000FF"/>
                <w:spacing w:val="-3"/>
                <w:sz w:val="22"/>
                <w:szCs w:val="22"/>
              </w:rPr>
              <w:t>xx</w:t>
            </w:r>
          </w:p>
        </w:tc>
        <w:tc>
          <w:tcPr>
            <w:tcW w:w="1980" w:type="dxa"/>
            <w:tcBorders>
              <w:top w:val="single" w:sz="4" w:space="0" w:color="auto"/>
              <w:bottom w:val="single" w:sz="4" w:space="0" w:color="auto"/>
              <w:right w:val="single" w:sz="4" w:space="0" w:color="auto"/>
            </w:tcBorders>
            <w:vAlign w:val="center"/>
          </w:tcPr>
          <w:p w14:paraId="71EB9DC4" w14:textId="54D4EC11" w:rsidR="00642D61" w:rsidRPr="0041151F" w:rsidRDefault="00642D61" w:rsidP="007A60F3">
            <w:pPr>
              <w:pStyle w:val="BodyTextIndent3"/>
              <w:widowControl w:val="0"/>
              <w:tabs>
                <w:tab w:val="left" w:pos="1080"/>
              </w:tabs>
              <w:ind w:left="0"/>
              <w:jc w:val="center"/>
              <w:rPr>
                <w:rFonts w:cs="Arial"/>
                <w:color w:val="0000FF"/>
                <w:sz w:val="22"/>
                <w:szCs w:val="22"/>
              </w:rPr>
            </w:pPr>
            <w:r w:rsidRPr="0041151F">
              <w:rPr>
                <w:rFonts w:cs="Arial"/>
                <w:color w:val="0000FF"/>
                <w:spacing w:val="-3"/>
                <w:sz w:val="22"/>
                <w:szCs w:val="22"/>
              </w:rPr>
              <w:t>xx</w:t>
            </w:r>
          </w:p>
        </w:tc>
      </w:tr>
      <w:tr w:rsidR="00642D61" w:rsidRPr="00BF5E3F" w14:paraId="0B709909" w14:textId="77777777" w:rsidTr="000D40F1">
        <w:tc>
          <w:tcPr>
            <w:tcW w:w="1217" w:type="dxa"/>
            <w:tcBorders>
              <w:top w:val="single" w:sz="4" w:space="0" w:color="auto"/>
              <w:left w:val="single" w:sz="4" w:space="0" w:color="auto"/>
              <w:bottom w:val="single" w:sz="4" w:space="0" w:color="auto"/>
            </w:tcBorders>
            <w:vAlign w:val="center"/>
          </w:tcPr>
          <w:p w14:paraId="47B0DB80"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108883</w:t>
            </w:r>
          </w:p>
        </w:tc>
        <w:tc>
          <w:tcPr>
            <w:tcW w:w="1918" w:type="dxa"/>
            <w:tcBorders>
              <w:top w:val="single" w:sz="4" w:space="0" w:color="auto"/>
              <w:bottom w:val="single" w:sz="4" w:space="0" w:color="auto"/>
            </w:tcBorders>
            <w:vAlign w:val="center"/>
          </w:tcPr>
          <w:p w14:paraId="66E18BA6"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Toluene</w:t>
            </w:r>
          </w:p>
        </w:tc>
        <w:tc>
          <w:tcPr>
            <w:tcW w:w="810" w:type="dxa"/>
            <w:tcBorders>
              <w:top w:val="single" w:sz="4" w:space="0" w:color="auto"/>
              <w:bottom w:val="single" w:sz="4" w:space="0" w:color="auto"/>
            </w:tcBorders>
            <w:vAlign w:val="center"/>
          </w:tcPr>
          <w:p w14:paraId="75B74A73"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Y</w:t>
            </w:r>
          </w:p>
        </w:tc>
        <w:tc>
          <w:tcPr>
            <w:tcW w:w="2085" w:type="dxa"/>
            <w:tcBorders>
              <w:top w:val="single" w:sz="4" w:space="0" w:color="auto"/>
              <w:bottom w:val="single" w:sz="4" w:space="0" w:color="auto"/>
            </w:tcBorders>
            <w:vAlign w:val="center"/>
          </w:tcPr>
          <w:p w14:paraId="13B0143E"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0.13</w:t>
            </w:r>
          </w:p>
        </w:tc>
        <w:tc>
          <w:tcPr>
            <w:tcW w:w="2340" w:type="dxa"/>
            <w:tcBorders>
              <w:top w:val="single" w:sz="4" w:space="0" w:color="auto"/>
              <w:bottom w:val="single" w:sz="4" w:space="0" w:color="auto"/>
            </w:tcBorders>
            <w:vAlign w:val="center"/>
          </w:tcPr>
          <w:p w14:paraId="650548BE" w14:textId="19B018D7" w:rsidR="00642D61" w:rsidRPr="0041151F" w:rsidRDefault="00642D61" w:rsidP="007A60F3">
            <w:pPr>
              <w:pStyle w:val="BodyTextIndent3"/>
              <w:widowControl w:val="0"/>
              <w:tabs>
                <w:tab w:val="left" w:pos="1080"/>
              </w:tabs>
              <w:ind w:left="0"/>
              <w:jc w:val="center"/>
              <w:rPr>
                <w:rFonts w:cs="Arial"/>
                <w:color w:val="0000FF"/>
                <w:sz w:val="22"/>
                <w:szCs w:val="22"/>
              </w:rPr>
            </w:pPr>
            <w:r w:rsidRPr="0041151F">
              <w:rPr>
                <w:rFonts w:cs="Arial"/>
                <w:color w:val="0000FF"/>
                <w:spacing w:val="-3"/>
                <w:sz w:val="22"/>
                <w:szCs w:val="22"/>
              </w:rPr>
              <w:t>xx</w:t>
            </w:r>
          </w:p>
        </w:tc>
        <w:tc>
          <w:tcPr>
            <w:tcW w:w="1980" w:type="dxa"/>
            <w:tcBorders>
              <w:top w:val="single" w:sz="4" w:space="0" w:color="auto"/>
              <w:bottom w:val="single" w:sz="4" w:space="0" w:color="auto"/>
              <w:right w:val="single" w:sz="4" w:space="0" w:color="auto"/>
            </w:tcBorders>
            <w:vAlign w:val="center"/>
          </w:tcPr>
          <w:p w14:paraId="16C48009" w14:textId="0771337A" w:rsidR="00642D61" w:rsidRPr="0041151F" w:rsidRDefault="00642D61" w:rsidP="007A60F3">
            <w:pPr>
              <w:pStyle w:val="BodyTextIndent3"/>
              <w:widowControl w:val="0"/>
              <w:tabs>
                <w:tab w:val="left" w:pos="1080"/>
              </w:tabs>
              <w:ind w:left="0"/>
              <w:jc w:val="center"/>
              <w:rPr>
                <w:rFonts w:cs="Arial"/>
                <w:color w:val="0000FF"/>
                <w:sz w:val="22"/>
                <w:szCs w:val="22"/>
              </w:rPr>
            </w:pPr>
            <w:r w:rsidRPr="0041151F">
              <w:rPr>
                <w:rFonts w:cs="Arial"/>
                <w:color w:val="0000FF"/>
                <w:spacing w:val="-3"/>
                <w:sz w:val="22"/>
                <w:szCs w:val="22"/>
              </w:rPr>
              <w:t>xx</w:t>
            </w:r>
          </w:p>
        </w:tc>
      </w:tr>
      <w:tr w:rsidR="00642D61" w:rsidRPr="00BF5E3F" w14:paraId="18C648D6" w14:textId="77777777" w:rsidTr="000D40F1">
        <w:trPr>
          <w:trHeight w:val="114"/>
        </w:trPr>
        <w:tc>
          <w:tcPr>
            <w:tcW w:w="1217" w:type="dxa"/>
            <w:tcBorders>
              <w:top w:val="single" w:sz="4" w:space="0" w:color="auto"/>
              <w:left w:val="single" w:sz="4" w:space="0" w:color="auto"/>
              <w:bottom w:val="single" w:sz="4" w:space="0" w:color="auto"/>
            </w:tcBorders>
            <w:vAlign w:val="center"/>
          </w:tcPr>
          <w:p w14:paraId="79ABB7D9"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1330207</w:t>
            </w:r>
          </w:p>
        </w:tc>
        <w:tc>
          <w:tcPr>
            <w:tcW w:w="1918" w:type="dxa"/>
            <w:tcBorders>
              <w:top w:val="single" w:sz="4" w:space="0" w:color="auto"/>
              <w:bottom w:val="single" w:sz="4" w:space="0" w:color="auto"/>
            </w:tcBorders>
            <w:vAlign w:val="center"/>
          </w:tcPr>
          <w:p w14:paraId="4BB8E7E8"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Xylenes</w:t>
            </w:r>
          </w:p>
        </w:tc>
        <w:tc>
          <w:tcPr>
            <w:tcW w:w="810" w:type="dxa"/>
            <w:tcBorders>
              <w:top w:val="single" w:sz="4" w:space="0" w:color="auto"/>
              <w:bottom w:val="single" w:sz="4" w:space="0" w:color="auto"/>
            </w:tcBorders>
            <w:vAlign w:val="center"/>
          </w:tcPr>
          <w:p w14:paraId="0FA594AA"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Y</w:t>
            </w:r>
          </w:p>
        </w:tc>
        <w:tc>
          <w:tcPr>
            <w:tcW w:w="2085" w:type="dxa"/>
            <w:tcBorders>
              <w:top w:val="single" w:sz="4" w:space="0" w:color="auto"/>
              <w:bottom w:val="single" w:sz="4" w:space="0" w:color="auto"/>
            </w:tcBorders>
            <w:vAlign w:val="center"/>
          </w:tcPr>
          <w:p w14:paraId="5E44E804" w14:textId="77777777" w:rsidR="00642D61" w:rsidRPr="00BF5E3F" w:rsidRDefault="00642D61" w:rsidP="007A60F3">
            <w:pPr>
              <w:pStyle w:val="BodyTextIndent3"/>
              <w:widowControl w:val="0"/>
              <w:tabs>
                <w:tab w:val="left" w:pos="1080"/>
              </w:tabs>
              <w:ind w:left="0"/>
              <w:jc w:val="center"/>
              <w:rPr>
                <w:rFonts w:cs="Arial"/>
                <w:color w:val="auto"/>
                <w:sz w:val="22"/>
                <w:szCs w:val="22"/>
              </w:rPr>
            </w:pPr>
            <w:r w:rsidRPr="00BF5E3F">
              <w:rPr>
                <w:rFonts w:cs="Arial"/>
                <w:color w:val="auto"/>
                <w:sz w:val="22"/>
                <w:szCs w:val="22"/>
              </w:rPr>
              <w:t>0.064</w:t>
            </w:r>
          </w:p>
        </w:tc>
        <w:tc>
          <w:tcPr>
            <w:tcW w:w="2340" w:type="dxa"/>
            <w:tcBorders>
              <w:top w:val="single" w:sz="4" w:space="0" w:color="auto"/>
              <w:bottom w:val="single" w:sz="4" w:space="0" w:color="auto"/>
            </w:tcBorders>
            <w:vAlign w:val="center"/>
          </w:tcPr>
          <w:p w14:paraId="1485CC61" w14:textId="13B5B33F" w:rsidR="00642D61" w:rsidRPr="0041151F" w:rsidRDefault="00642D61" w:rsidP="007A60F3">
            <w:pPr>
              <w:pStyle w:val="BodyTextIndent3"/>
              <w:widowControl w:val="0"/>
              <w:tabs>
                <w:tab w:val="left" w:pos="1080"/>
              </w:tabs>
              <w:ind w:left="0"/>
              <w:jc w:val="center"/>
              <w:rPr>
                <w:rFonts w:cs="Arial"/>
                <w:color w:val="0000FF"/>
                <w:sz w:val="22"/>
                <w:szCs w:val="22"/>
              </w:rPr>
            </w:pPr>
            <w:r w:rsidRPr="0041151F">
              <w:rPr>
                <w:rFonts w:cs="Arial"/>
                <w:color w:val="0000FF"/>
                <w:spacing w:val="-3"/>
                <w:sz w:val="22"/>
                <w:szCs w:val="22"/>
              </w:rPr>
              <w:t>xx</w:t>
            </w:r>
          </w:p>
        </w:tc>
        <w:tc>
          <w:tcPr>
            <w:tcW w:w="1980" w:type="dxa"/>
            <w:tcBorders>
              <w:top w:val="single" w:sz="4" w:space="0" w:color="auto"/>
              <w:bottom w:val="single" w:sz="4" w:space="0" w:color="auto"/>
              <w:right w:val="single" w:sz="4" w:space="0" w:color="auto"/>
            </w:tcBorders>
            <w:vAlign w:val="center"/>
          </w:tcPr>
          <w:p w14:paraId="6BFE606E" w14:textId="1CD086FF" w:rsidR="00642D61" w:rsidRPr="0041151F" w:rsidRDefault="00642D61" w:rsidP="007A60F3">
            <w:pPr>
              <w:pStyle w:val="BodyTextIndent3"/>
              <w:widowControl w:val="0"/>
              <w:tabs>
                <w:tab w:val="left" w:pos="1080"/>
              </w:tabs>
              <w:ind w:left="0"/>
              <w:jc w:val="center"/>
              <w:rPr>
                <w:rFonts w:cs="Arial"/>
                <w:color w:val="0000FF"/>
                <w:sz w:val="22"/>
                <w:szCs w:val="22"/>
              </w:rPr>
            </w:pPr>
            <w:r w:rsidRPr="0041151F">
              <w:rPr>
                <w:rFonts w:cs="Arial"/>
                <w:color w:val="0000FF"/>
                <w:spacing w:val="-3"/>
                <w:sz w:val="22"/>
                <w:szCs w:val="22"/>
              </w:rPr>
              <w:t>xx</w:t>
            </w:r>
          </w:p>
        </w:tc>
      </w:tr>
      <w:tr w:rsidR="008A1FB9" w:rsidRPr="00BF5E3F" w14:paraId="08CDB5FE" w14:textId="77777777" w:rsidTr="000D40F1">
        <w:trPr>
          <w:trHeight w:val="386"/>
        </w:trPr>
        <w:tc>
          <w:tcPr>
            <w:tcW w:w="6030" w:type="dxa"/>
            <w:gridSpan w:val="4"/>
            <w:tcBorders>
              <w:top w:val="single" w:sz="4" w:space="0" w:color="auto"/>
              <w:left w:val="single" w:sz="4" w:space="0" w:color="auto"/>
              <w:bottom w:val="single" w:sz="4" w:space="0" w:color="auto"/>
            </w:tcBorders>
            <w:vAlign w:val="center"/>
          </w:tcPr>
          <w:p w14:paraId="09E4EA60" w14:textId="77777777" w:rsidR="008A1FB9" w:rsidRPr="00BF5E3F" w:rsidRDefault="008A1FB9" w:rsidP="007A60F3">
            <w:pPr>
              <w:pStyle w:val="BodyTextIndent3"/>
              <w:widowControl w:val="0"/>
              <w:tabs>
                <w:tab w:val="left" w:pos="1080"/>
              </w:tabs>
              <w:ind w:left="0"/>
              <w:jc w:val="right"/>
              <w:rPr>
                <w:rFonts w:cs="Arial"/>
                <w:b/>
                <w:color w:val="auto"/>
                <w:sz w:val="22"/>
                <w:szCs w:val="22"/>
              </w:rPr>
            </w:pPr>
            <w:r w:rsidRPr="00BF5E3F">
              <w:rPr>
                <w:rFonts w:cs="Arial"/>
                <w:b/>
                <w:color w:val="auto"/>
                <w:sz w:val="22"/>
                <w:szCs w:val="22"/>
              </w:rPr>
              <w:lastRenderedPageBreak/>
              <w:t>Total PE</w:t>
            </w:r>
          </w:p>
        </w:tc>
        <w:tc>
          <w:tcPr>
            <w:tcW w:w="2340" w:type="dxa"/>
            <w:tcBorders>
              <w:top w:val="single" w:sz="4" w:space="0" w:color="auto"/>
              <w:bottom w:val="single" w:sz="4" w:space="0" w:color="auto"/>
            </w:tcBorders>
            <w:vAlign w:val="center"/>
          </w:tcPr>
          <w:p w14:paraId="2E0013EE" w14:textId="57295FC6" w:rsidR="008A1FB9" w:rsidRPr="0041151F" w:rsidRDefault="00642D61" w:rsidP="007A60F3">
            <w:pPr>
              <w:pStyle w:val="BodyTextIndent3"/>
              <w:widowControl w:val="0"/>
              <w:tabs>
                <w:tab w:val="left" w:pos="1080"/>
              </w:tabs>
              <w:ind w:left="0"/>
              <w:jc w:val="center"/>
              <w:rPr>
                <w:rFonts w:cs="Arial"/>
                <w:b/>
                <w:color w:val="0000FF"/>
                <w:sz w:val="22"/>
                <w:szCs w:val="22"/>
              </w:rPr>
            </w:pPr>
            <w:r w:rsidRPr="0041151F">
              <w:rPr>
                <w:rFonts w:cs="Arial"/>
                <w:b/>
                <w:color w:val="0000FF"/>
                <w:sz w:val="22"/>
                <w:szCs w:val="22"/>
              </w:rPr>
              <w:t>xx</w:t>
            </w:r>
            <w:r w:rsidR="008A1FB9" w:rsidRPr="0041151F">
              <w:rPr>
                <w:rFonts w:cs="Arial"/>
                <w:b/>
                <w:color w:val="0000FF"/>
                <w:sz w:val="22"/>
                <w:szCs w:val="22"/>
              </w:rPr>
              <w:t xml:space="preserve"> </w:t>
            </w:r>
          </w:p>
        </w:tc>
        <w:tc>
          <w:tcPr>
            <w:tcW w:w="1980" w:type="dxa"/>
            <w:tcBorders>
              <w:top w:val="single" w:sz="4" w:space="0" w:color="auto"/>
              <w:bottom w:val="single" w:sz="4" w:space="0" w:color="auto"/>
              <w:right w:val="single" w:sz="4" w:space="0" w:color="auto"/>
            </w:tcBorders>
            <w:vAlign w:val="center"/>
          </w:tcPr>
          <w:p w14:paraId="54096DFF" w14:textId="6FBDC937" w:rsidR="008A1FB9" w:rsidRPr="0041151F" w:rsidRDefault="00642D61" w:rsidP="007A60F3">
            <w:pPr>
              <w:pStyle w:val="BodyTextIndent3"/>
              <w:widowControl w:val="0"/>
              <w:tabs>
                <w:tab w:val="left" w:pos="1080"/>
              </w:tabs>
              <w:ind w:left="0"/>
              <w:jc w:val="center"/>
              <w:rPr>
                <w:rFonts w:cs="Arial"/>
                <w:b/>
                <w:color w:val="0000FF"/>
                <w:sz w:val="22"/>
                <w:szCs w:val="22"/>
              </w:rPr>
            </w:pPr>
            <w:r w:rsidRPr="0041151F">
              <w:rPr>
                <w:rFonts w:cs="Arial"/>
                <w:b/>
                <w:color w:val="0000FF"/>
                <w:sz w:val="22"/>
                <w:szCs w:val="22"/>
              </w:rPr>
              <w:t>xx</w:t>
            </w:r>
          </w:p>
        </w:tc>
      </w:tr>
    </w:tbl>
    <w:p w14:paraId="56CB8965" w14:textId="77777777" w:rsidR="008A1FB9" w:rsidRPr="00BF5E3F" w:rsidRDefault="008A1FB9" w:rsidP="007A60F3">
      <w:pPr>
        <w:pStyle w:val="BodyTextIndent3"/>
        <w:widowControl w:val="0"/>
        <w:ind w:left="720" w:hanging="90"/>
        <w:rPr>
          <w:color w:val="auto"/>
          <w:sz w:val="20"/>
        </w:rPr>
      </w:pPr>
      <w:r w:rsidRPr="00BF5E3F">
        <w:rPr>
          <w:color w:val="auto"/>
          <w:sz w:val="20"/>
        </w:rPr>
        <w:t>*Based on the list of HAPs published on the EPA website (https://www.epa.gov/haps/initial-list-hazardous-air-pollutants-modifications).</w:t>
      </w:r>
    </w:p>
    <w:p w14:paraId="49757276" w14:textId="77777777" w:rsidR="008A1FB9" w:rsidRPr="00BF5E3F" w:rsidRDefault="008A1FB9" w:rsidP="007A60F3">
      <w:pPr>
        <w:widowControl w:val="0"/>
        <w:ind w:left="450"/>
      </w:pPr>
    </w:p>
    <w:p w14:paraId="39B4F10F" w14:textId="1E02A95B" w:rsidR="008A1FB9" w:rsidRPr="00BF5E3F" w:rsidRDefault="008A1FB9" w:rsidP="007A60F3">
      <w:pPr>
        <w:widowControl w:val="0"/>
        <w:ind w:left="450"/>
      </w:pPr>
      <w:r w:rsidRPr="00BF5E3F">
        <w:t xml:space="preserve">Total HAP PE from the facility: </w:t>
      </w:r>
      <w:r w:rsidR="008A667E" w:rsidRPr="00AC5150">
        <w:rPr>
          <w:color w:val="0000FF"/>
        </w:rPr>
        <w:t>XX</w:t>
      </w:r>
      <w:r w:rsidRPr="00AC5150">
        <w:rPr>
          <w:color w:val="0000FF"/>
        </w:rPr>
        <w:t xml:space="preserve"> + </w:t>
      </w:r>
      <w:r w:rsidR="008A667E" w:rsidRPr="00AC5150">
        <w:rPr>
          <w:color w:val="0000FF"/>
        </w:rPr>
        <w:t>XX</w:t>
      </w:r>
      <w:r w:rsidRPr="00AC5150">
        <w:rPr>
          <w:color w:val="0000FF"/>
        </w:rPr>
        <w:t xml:space="preserve"> = </w:t>
      </w:r>
      <w:r w:rsidR="008A667E" w:rsidRPr="00AC5150">
        <w:rPr>
          <w:color w:val="0000FF"/>
        </w:rPr>
        <w:t>XX</w:t>
      </w:r>
      <w:r w:rsidRPr="00AC5150">
        <w:rPr>
          <w:color w:val="0000FF"/>
        </w:rPr>
        <w:t xml:space="preserve"> lb/yr (equivalent to </w:t>
      </w:r>
      <w:r w:rsidR="008A667E" w:rsidRPr="00AC5150">
        <w:rPr>
          <w:color w:val="0000FF"/>
        </w:rPr>
        <w:t>XX</w:t>
      </w:r>
      <w:r w:rsidRPr="00AC5150">
        <w:rPr>
          <w:color w:val="0000FF"/>
        </w:rPr>
        <w:t xml:space="preserve"> ton/yr)</w:t>
      </w:r>
    </w:p>
    <w:p w14:paraId="6D909E45" w14:textId="6EDF4808" w:rsidR="008A1FB9" w:rsidRDefault="008A1FB9" w:rsidP="007A60F3">
      <w:pPr>
        <w:widowControl w:val="0"/>
        <w:ind w:left="450"/>
      </w:pPr>
    </w:p>
    <w:p w14:paraId="182D5ACF" w14:textId="20863BF3" w:rsidR="007D4175" w:rsidRPr="008F5810" w:rsidRDefault="007D4175" w:rsidP="007A60F3">
      <w:pPr>
        <w:widowControl w:val="0"/>
        <w:ind w:left="450"/>
        <w:rPr>
          <w:iCs/>
          <w:color w:val="FF0000"/>
        </w:rPr>
      </w:pPr>
      <w:r w:rsidRPr="00511A05">
        <w:rPr>
          <w:iCs/>
          <w:color w:val="FF0000"/>
        </w:rPr>
        <w:t xml:space="preserve">If </w:t>
      </w:r>
      <w:r w:rsidR="00352417" w:rsidRPr="00AC5150">
        <w:rPr>
          <w:color w:val="FF0000"/>
        </w:rPr>
        <w:t xml:space="preserve">total HAP PE from the facility does not exceed 25 tons </w:t>
      </w:r>
      <w:r w:rsidR="00224B9A">
        <w:rPr>
          <w:color w:val="FF0000"/>
        </w:rPr>
        <w:t xml:space="preserve">per </w:t>
      </w:r>
      <w:r w:rsidR="00352417" w:rsidRPr="00AC5150">
        <w:rPr>
          <w:color w:val="FF0000"/>
        </w:rPr>
        <w:t>year for a combination of HAP</w:t>
      </w:r>
      <w:r w:rsidR="00352417" w:rsidRPr="00511A05">
        <w:rPr>
          <w:color w:val="FF0000"/>
        </w:rPr>
        <w:t xml:space="preserve"> </w:t>
      </w:r>
      <w:r w:rsidR="00352417" w:rsidRPr="00AC5150">
        <w:rPr>
          <w:b/>
          <w:bCs/>
          <w:color w:val="FF0000"/>
          <w:u w:val="single"/>
        </w:rPr>
        <w:t>and</w:t>
      </w:r>
      <w:r w:rsidR="00352417" w:rsidRPr="00511A05">
        <w:rPr>
          <w:color w:val="FF0000"/>
        </w:rPr>
        <w:t xml:space="preserve"> </w:t>
      </w:r>
      <w:r w:rsidR="00352417" w:rsidRPr="00AC5150">
        <w:rPr>
          <w:color w:val="FF0000"/>
        </w:rPr>
        <w:t>a single HAP does not exceed 10 tons per year,</w:t>
      </w:r>
      <w:r w:rsidR="00352417">
        <w:t xml:space="preserve"> </w:t>
      </w:r>
      <w:r w:rsidRPr="008F5810">
        <w:rPr>
          <w:iCs/>
          <w:color w:val="FF0000"/>
        </w:rPr>
        <w:t xml:space="preserve">the </w:t>
      </w:r>
      <w:r>
        <w:rPr>
          <w:iCs/>
          <w:color w:val="FF0000"/>
        </w:rPr>
        <w:t xml:space="preserve">facility is </w:t>
      </w:r>
      <w:r w:rsidR="00E32006" w:rsidRPr="00AC5150">
        <w:rPr>
          <w:b/>
          <w:bCs/>
          <w:iCs/>
          <w:color w:val="FF0000"/>
          <w:u w:val="single"/>
        </w:rPr>
        <w:t>not</w:t>
      </w:r>
      <w:r w:rsidR="00E32006">
        <w:rPr>
          <w:iCs/>
          <w:color w:val="FF0000"/>
        </w:rPr>
        <w:t xml:space="preserve"> </w:t>
      </w:r>
      <w:r>
        <w:rPr>
          <w:iCs/>
          <w:color w:val="FF0000"/>
        </w:rPr>
        <w:t>a major source of HAP emissions</w:t>
      </w:r>
      <w:r w:rsidR="002721DD">
        <w:rPr>
          <w:iCs/>
          <w:color w:val="FF0000"/>
        </w:rPr>
        <w:t>. U</w:t>
      </w:r>
      <w:r>
        <w:rPr>
          <w:iCs/>
          <w:color w:val="FF0000"/>
        </w:rPr>
        <w:t>se the following, otherwise delete.</w:t>
      </w:r>
    </w:p>
    <w:p w14:paraId="7AEDC24A" w14:textId="77777777" w:rsidR="007D4175" w:rsidRPr="00BF5E3F" w:rsidRDefault="007D4175" w:rsidP="007A60F3">
      <w:pPr>
        <w:widowControl w:val="0"/>
        <w:ind w:left="450"/>
      </w:pPr>
    </w:p>
    <w:p w14:paraId="6014A464" w14:textId="5936BCF3" w:rsidR="008A1FB9" w:rsidRPr="00BF5E3F" w:rsidRDefault="00F14220" w:rsidP="007A60F3">
      <w:pPr>
        <w:widowControl w:val="0"/>
        <w:ind w:left="450"/>
      </w:pPr>
      <w:r>
        <w:t>T</w:t>
      </w:r>
      <w:r w:rsidR="008A1FB9" w:rsidRPr="00BF5E3F">
        <w:t xml:space="preserve">otal HAP PE from the facility does not exceed 25 tons per year for a combination of HAP. In addition, as seen in the tables above, a single HAP does not exceed 10 tons per year. Therefore, this facility is not a major source of HAP. </w:t>
      </w:r>
    </w:p>
    <w:p w14:paraId="1716538E" w14:textId="6727CFD6" w:rsidR="00236DE6" w:rsidRDefault="00236DE6" w:rsidP="007A60F3">
      <w:pPr>
        <w:widowControl w:val="0"/>
        <w:ind w:left="450"/>
        <w:rPr>
          <w:color w:val="FF0000"/>
        </w:rPr>
      </w:pPr>
    </w:p>
    <w:p w14:paraId="276AAFFE" w14:textId="5769CA6B" w:rsidR="00E32006" w:rsidRPr="008F5810" w:rsidRDefault="00F14220" w:rsidP="007A60F3">
      <w:pPr>
        <w:widowControl w:val="0"/>
        <w:ind w:left="450"/>
        <w:rPr>
          <w:iCs/>
          <w:color w:val="FF0000"/>
        </w:rPr>
      </w:pPr>
      <w:r w:rsidRPr="008F5810">
        <w:rPr>
          <w:iCs/>
          <w:color w:val="FF0000"/>
        </w:rPr>
        <w:t xml:space="preserve">If </w:t>
      </w:r>
      <w:r w:rsidRPr="008F5810">
        <w:rPr>
          <w:color w:val="FF0000"/>
        </w:rPr>
        <w:t>total HAP PE from the facility exceed</w:t>
      </w:r>
      <w:r>
        <w:rPr>
          <w:color w:val="FF0000"/>
        </w:rPr>
        <w:t>s</w:t>
      </w:r>
      <w:r w:rsidRPr="008F5810">
        <w:rPr>
          <w:color w:val="FF0000"/>
        </w:rPr>
        <w:t xml:space="preserve"> 25 tons or more per year for a combination of HAP </w:t>
      </w:r>
      <w:r w:rsidRPr="00AC5150">
        <w:rPr>
          <w:b/>
          <w:bCs/>
          <w:color w:val="FF0000"/>
          <w:u w:val="single"/>
        </w:rPr>
        <w:t>or</w:t>
      </w:r>
      <w:r w:rsidRPr="008F5810">
        <w:rPr>
          <w:color w:val="FF0000"/>
        </w:rPr>
        <w:t xml:space="preserve"> a single HAP exceed</w:t>
      </w:r>
      <w:r w:rsidR="007012DB">
        <w:rPr>
          <w:color w:val="FF0000"/>
        </w:rPr>
        <w:t>s</w:t>
      </w:r>
      <w:r w:rsidRPr="008F5810">
        <w:rPr>
          <w:color w:val="FF0000"/>
        </w:rPr>
        <w:t xml:space="preserve"> 10 tons or more per year,</w:t>
      </w:r>
      <w:r>
        <w:rPr>
          <w:color w:val="FF0000"/>
        </w:rPr>
        <w:t xml:space="preserve"> </w:t>
      </w:r>
      <w:r w:rsidR="00E32006" w:rsidRPr="008F5810">
        <w:rPr>
          <w:iCs/>
          <w:color w:val="FF0000"/>
        </w:rPr>
        <w:t xml:space="preserve">the </w:t>
      </w:r>
      <w:r w:rsidR="00E32006">
        <w:rPr>
          <w:iCs/>
          <w:color w:val="FF0000"/>
        </w:rPr>
        <w:t>facility is a major source of HAP emissions</w:t>
      </w:r>
      <w:r w:rsidR="002721DD">
        <w:rPr>
          <w:iCs/>
          <w:color w:val="FF0000"/>
        </w:rPr>
        <w:t>.</w:t>
      </w:r>
      <w:r w:rsidR="00E32006">
        <w:rPr>
          <w:iCs/>
          <w:color w:val="FF0000"/>
        </w:rPr>
        <w:t xml:space="preserve"> </w:t>
      </w:r>
      <w:r w:rsidR="002721DD">
        <w:rPr>
          <w:iCs/>
          <w:color w:val="FF0000"/>
        </w:rPr>
        <w:t>U</w:t>
      </w:r>
      <w:r w:rsidR="00E32006">
        <w:rPr>
          <w:iCs/>
          <w:color w:val="FF0000"/>
        </w:rPr>
        <w:t>se the following, otherwise delete.</w:t>
      </w:r>
    </w:p>
    <w:p w14:paraId="42EE7A0A" w14:textId="77777777" w:rsidR="00E32006" w:rsidRPr="00BF5E3F" w:rsidRDefault="00E32006" w:rsidP="007A60F3">
      <w:pPr>
        <w:widowControl w:val="0"/>
        <w:ind w:left="450"/>
      </w:pPr>
    </w:p>
    <w:p w14:paraId="51CCB882" w14:textId="0D2B23C8" w:rsidR="00E32006" w:rsidRPr="00BF5E3F" w:rsidRDefault="00F14220" w:rsidP="007A60F3">
      <w:pPr>
        <w:widowControl w:val="0"/>
        <w:ind w:left="450"/>
      </w:pPr>
      <w:r>
        <w:t>T</w:t>
      </w:r>
      <w:r w:rsidR="00E32006" w:rsidRPr="00BF5E3F">
        <w:t>otal HAP PE from the facility exceed</w:t>
      </w:r>
      <w:r w:rsidR="00001C56">
        <w:t>s</w:t>
      </w:r>
      <w:r w:rsidR="00E32006" w:rsidRPr="00BF5E3F">
        <w:t xml:space="preserve"> </w:t>
      </w:r>
      <w:r w:rsidR="00417CB9">
        <w:t>(</w:t>
      </w:r>
      <w:r w:rsidR="00E32006" w:rsidRPr="00AC5150">
        <w:rPr>
          <w:color w:val="0000FF"/>
        </w:rPr>
        <w:t>25 tons or more per year for a combination of HAP</w:t>
      </w:r>
      <w:r w:rsidR="002A278E" w:rsidRPr="00AC5150">
        <w:rPr>
          <w:color w:val="0000FF"/>
        </w:rPr>
        <w:t xml:space="preserve"> and/or</w:t>
      </w:r>
      <w:r w:rsidR="00E32006" w:rsidRPr="00AC5150">
        <w:rPr>
          <w:color w:val="0000FF"/>
        </w:rPr>
        <w:t xml:space="preserve"> exceed</w:t>
      </w:r>
      <w:r w:rsidR="00001C56" w:rsidRPr="00AC5150">
        <w:rPr>
          <w:color w:val="0000FF"/>
        </w:rPr>
        <w:t>s</w:t>
      </w:r>
      <w:r w:rsidR="00E32006" w:rsidRPr="00AC5150">
        <w:rPr>
          <w:color w:val="0000FF"/>
        </w:rPr>
        <w:t xml:space="preserve"> 10 tons or more per year</w:t>
      </w:r>
      <w:r w:rsidR="002A278E" w:rsidRPr="00AC5150">
        <w:rPr>
          <w:color w:val="0000FF"/>
        </w:rPr>
        <w:t xml:space="preserve"> for a single HAP</w:t>
      </w:r>
      <w:r w:rsidR="00417CB9">
        <w:rPr>
          <w:color w:val="0000FF"/>
        </w:rPr>
        <w:t>)</w:t>
      </w:r>
      <w:r w:rsidR="00E32006" w:rsidRPr="00BF5E3F">
        <w:t xml:space="preserve">. Therefore, this facility is a major source of HAP. </w:t>
      </w:r>
    </w:p>
    <w:p w14:paraId="602AD439" w14:textId="77777777" w:rsidR="008A667E" w:rsidRDefault="008A667E" w:rsidP="007A60F3">
      <w:pPr>
        <w:widowControl w:val="0"/>
        <w:ind w:left="450"/>
        <w:rPr>
          <w:color w:val="FF0000"/>
        </w:rPr>
      </w:pPr>
    </w:p>
    <w:p w14:paraId="49B81C5B" w14:textId="698DBF4E" w:rsidR="00236DE6" w:rsidRDefault="00AC5150" w:rsidP="007A60F3">
      <w:pPr>
        <w:widowControl w:val="0"/>
        <w:ind w:left="450"/>
      </w:pPr>
      <w:r>
        <w:rPr>
          <w:color w:val="FF0000"/>
        </w:rPr>
        <w:t xml:space="preserve">When using the </w:t>
      </w:r>
      <w:r w:rsidR="00826184">
        <w:rPr>
          <w:color w:val="FF0000"/>
        </w:rPr>
        <w:t xml:space="preserve">HAP major source determination </w:t>
      </w:r>
      <w:r>
        <w:rPr>
          <w:color w:val="FF0000"/>
        </w:rPr>
        <w:t>result provided by Technical Services,</w:t>
      </w:r>
      <w:r w:rsidR="00826184">
        <w:rPr>
          <w:color w:val="FF0000"/>
        </w:rPr>
        <w:t xml:space="preserve"> </w:t>
      </w:r>
      <w:r>
        <w:rPr>
          <w:color w:val="FF0000"/>
        </w:rPr>
        <w:t>a</w:t>
      </w:r>
      <w:r w:rsidR="00236DE6" w:rsidRPr="00AC5150">
        <w:rPr>
          <w:color w:val="FF0000"/>
        </w:rPr>
        <w:t>ttach</w:t>
      </w:r>
      <w:r w:rsidR="00826184">
        <w:rPr>
          <w:color w:val="FF0000"/>
        </w:rPr>
        <w:t xml:space="preserve"> </w:t>
      </w:r>
      <w:r>
        <w:rPr>
          <w:color w:val="FF0000"/>
        </w:rPr>
        <w:t>the result in this appendix.</w:t>
      </w:r>
    </w:p>
    <w:p w14:paraId="05856E77" w14:textId="77777777" w:rsidR="00194BA1" w:rsidRPr="000177D5" w:rsidRDefault="00194BA1" w:rsidP="007A60F3">
      <w:pPr>
        <w:widowControl w:val="0"/>
      </w:pPr>
    </w:p>
    <w:sectPr w:rsidR="00194BA1" w:rsidRPr="000177D5" w:rsidSect="00234F8F">
      <w:footerReference w:type="default" r:id="rId36"/>
      <w:pgSz w:w="12240" w:h="15840" w:code="1"/>
      <w:pgMar w:top="1296" w:right="1080" w:bottom="907" w:left="1080" w:header="432" w:footer="619"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54F0A" w14:textId="77777777" w:rsidR="00735747" w:rsidRDefault="00735747">
      <w:r>
        <w:separator/>
      </w:r>
    </w:p>
  </w:endnote>
  <w:endnote w:type="continuationSeparator" w:id="0">
    <w:p w14:paraId="62CE9D64" w14:textId="77777777" w:rsidR="00735747" w:rsidRDefault="00735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1)">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Prop BT">
    <w:altName w:val="Symbol"/>
    <w:charset w:val="02"/>
    <w:family w:val="auto"/>
    <w:pitch w:val="variable"/>
    <w:sig w:usb0="00000000" w:usb1="10000000" w:usb2="00000000" w:usb3="00000000" w:csb0="80000000" w:csb1="00000000"/>
  </w:font>
  <w:font w:name="AauxPro OT Regular">
    <w:panose1 w:val="02000506030000020004"/>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E7D1" w14:textId="2924A9DF" w:rsidR="00A300CC" w:rsidRPr="00393328" w:rsidRDefault="00337B2C" w:rsidP="00337B2C">
    <w:pPr>
      <w:pStyle w:val="Footer"/>
      <w:jc w:val="right"/>
      <w:rPr>
        <w:sz w:val="22"/>
      </w:rPr>
    </w:pPr>
    <w:r>
      <w:t>APR 1010-</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B75DF" w14:textId="4355E34C" w:rsidR="00337B2C" w:rsidRDefault="00337B2C" w:rsidP="00337B2C">
    <w:pPr>
      <w:pStyle w:val="Footer"/>
      <w:jc w:val="right"/>
    </w:pPr>
    <w:r>
      <w:t>APR 1010-</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8DF41" w14:textId="526B0358" w:rsidR="00337B2C" w:rsidRPr="00B75AA5" w:rsidRDefault="00337B2C" w:rsidP="00337B2C">
    <w:pPr>
      <w:pStyle w:val="Footer"/>
      <w:jc w:val="center"/>
      <w:rPr>
        <w:sz w:val="22"/>
        <w:szCs w:val="22"/>
      </w:rPr>
    </w:pPr>
    <w:r w:rsidRPr="00B75AA5">
      <w:rPr>
        <w:rStyle w:val="PageNumber"/>
        <w:sz w:val="22"/>
        <w:szCs w:val="22"/>
      </w:rPr>
      <w:fldChar w:fldCharType="begin"/>
    </w:r>
    <w:r w:rsidRPr="00B75AA5">
      <w:rPr>
        <w:rStyle w:val="PageNumber"/>
        <w:sz w:val="22"/>
        <w:szCs w:val="22"/>
      </w:rPr>
      <w:instrText xml:space="preserve"> PAGE </w:instrText>
    </w:r>
    <w:r w:rsidRPr="00B75AA5">
      <w:rPr>
        <w:rStyle w:val="PageNumber"/>
        <w:sz w:val="22"/>
        <w:szCs w:val="22"/>
      </w:rPr>
      <w:fldChar w:fldCharType="separate"/>
    </w:r>
    <w:r w:rsidRPr="00B75AA5">
      <w:rPr>
        <w:rStyle w:val="PageNumber"/>
        <w:sz w:val="22"/>
        <w:szCs w:val="22"/>
      </w:rPr>
      <w:t>1</w:t>
    </w:r>
    <w:r w:rsidRPr="00B75AA5">
      <w:rPr>
        <w:rStyle w:val="PageNumber"/>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A9C2" w14:textId="72EF9F08" w:rsidR="00F3524B" w:rsidRDefault="00F3524B" w:rsidP="00F352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D2BE3" w14:textId="77777777" w:rsidR="00A300CC" w:rsidRPr="00984D07" w:rsidRDefault="00A300CC" w:rsidP="00984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6B45A" w14:textId="77777777" w:rsidR="00735747" w:rsidRDefault="00735747">
      <w:r>
        <w:separator/>
      </w:r>
    </w:p>
  </w:footnote>
  <w:footnote w:type="continuationSeparator" w:id="0">
    <w:p w14:paraId="1E9A0E90" w14:textId="77777777" w:rsidR="00735747" w:rsidRDefault="00735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019E5" w14:textId="7EDEACC9" w:rsidR="00337B2C" w:rsidRDefault="00337B2C">
    <w:pPr>
      <w:pStyle w:val="Header"/>
    </w:pPr>
    <w:r>
      <w:rPr>
        <w:noProof/>
      </w:rPr>
      <w:drawing>
        <wp:anchor distT="0" distB="0" distL="114300" distR="114300" simplePos="0" relativeHeight="251661312" behindDoc="1" locked="0" layoutInCell="1" allowOverlap="1" wp14:anchorId="1B00C896" wp14:editId="5AE4325C">
          <wp:simplePos x="0" y="0"/>
          <wp:positionH relativeFrom="column">
            <wp:posOffset>-338455</wp:posOffset>
          </wp:positionH>
          <wp:positionV relativeFrom="paragraph">
            <wp:posOffset>0</wp:posOffset>
          </wp:positionV>
          <wp:extent cx="7104888" cy="539496"/>
          <wp:effectExtent l="0" t="0" r="1270" b="0"/>
          <wp:wrapTight wrapText="bothSides">
            <wp:wrapPolygon edited="0">
              <wp:start x="0" y="0"/>
              <wp:lineTo x="0" y="20608"/>
              <wp:lineTo x="21546" y="20608"/>
              <wp:lineTo x="2154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4888" cy="539496"/>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31322" w14:textId="5C0288D8" w:rsidR="00A300CC" w:rsidRDefault="00337B2C">
    <w:pPr>
      <w:pStyle w:val="Header"/>
    </w:pPr>
    <w:r>
      <w:rPr>
        <w:noProof/>
      </w:rPr>
      <w:drawing>
        <wp:anchor distT="0" distB="0" distL="114300" distR="114300" simplePos="0" relativeHeight="251659264" behindDoc="1" locked="0" layoutInCell="1" allowOverlap="1" wp14:anchorId="6848A7E0" wp14:editId="40593E53">
          <wp:simplePos x="0" y="0"/>
          <wp:positionH relativeFrom="column">
            <wp:posOffset>-338455</wp:posOffset>
          </wp:positionH>
          <wp:positionV relativeFrom="paragraph">
            <wp:posOffset>0</wp:posOffset>
          </wp:positionV>
          <wp:extent cx="7104888" cy="539496"/>
          <wp:effectExtent l="0" t="0" r="1270" b="0"/>
          <wp:wrapTight wrapText="bothSides">
            <wp:wrapPolygon edited="0">
              <wp:start x="0" y="0"/>
              <wp:lineTo x="0" y="20608"/>
              <wp:lineTo x="21546" y="20608"/>
              <wp:lineTo x="2154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4888" cy="539496"/>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C0F12" w14:textId="437E73E2" w:rsidR="00C4299A" w:rsidRDefault="00C429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BD07" w14:textId="0514E32B" w:rsidR="00894415" w:rsidRPr="000905F4" w:rsidRDefault="00894415" w:rsidP="00894415">
    <w:pPr>
      <w:tabs>
        <w:tab w:val="right" w:pos="10080"/>
      </w:tabs>
      <w:jc w:val="center"/>
      <w:rPr>
        <w:color w:val="0000FF"/>
        <w:sz w:val="20"/>
      </w:rPr>
    </w:pPr>
    <w:r w:rsidRPr="00DB1BCD">
      <w:rPr>
        <w:color w:val="595959" w:themeColor="text1" w:themeTint="A6"/>
        <w:sz w:val="20"/>
      </w:rPr>
      <w:t>APR 1010 - 202</w:t>
    </w:r>
    <w:r>
      <w:rPr>
        <w:color w:val="595959" w:themeColor="text1" w:themeTint="A6"/>
        <w:sz w:val="20"/>
      </w:rPr>
      <w:t>6</w:t>
    </w:r>
    <w:r w:rsidRPr="00DB1BCD">
      <w:rPr>
        <w:color w:val="595959" w:themeColor="text1" w:themeTint="A6"/>
        <w:sz w:val="20"/>
      </w:rPr>
      <w:t>-</w:t>
    </w:r>
    <w:r w:rsidR="00E077A5">
      <w:rPr>
        <w:color w:val="595959" w:themeColor="text1" w:themeTint="A6"/>
        <w:sz w:val="20"/>
      </w:rPr>
      <w:t>1</w:t>
    </w:r>
    <w:r w:rsidRPr="00DB1BCD">
      <w:rPr>
        <w:color w:val="595959" w:themeColor="text1" w:themeTint="A6"/>
        <w:sz w:val="20"/>
      </w:rPr>
      <w:t>a</w:t>
    </w:r>
    <w:r>
      <w:rPr>
        <w:color w:val="595959" w:themeColor="text1" w:themeTint="A6"/>
        <w:sz w:val="20"/>
      </w:rPr>
      <w:tab/>
    </w:r>
    <w:r>
      <w:rPr>
        <w:color w:val="0000FF"/>
        <w:sz w:val="20"/>
      </w:rPr>
      <w:t>Facility Name</w:t>
    </w:r>
  </w:p>
  <w:p w14:paraId="43FD6BF1" w14:textId="77777777" w:rsidR="00894415" w:rsidRPr="000905F4" w:rsidRDefault="00894415" w:rsidP="00894415">
    <w:pPr>
      <w:jc w:val="right"/>
      <w:rPr>
        <w:color w:val="0000FF"/>
        <w:sz w:val="20"/>
      </w:rPr>
    </w:pPr>
    <w:r w:rsidRPr="000905F4">
      <w:rPr>
        <w:color w:val="0000FF"/>
        <w:sz w:val="20"/>
      </w:rPr>
      <w:t>X-XXXX, #XXXXXXX</w:t>
    </w:r>
  </w:p>
  <w:p w14:paraId="6C22D171" w14:textId="77777777" w:rsidR="00894415" w:rsidRDefault="00894415" w:rsidP="00894415">
    <w:pPr>
      <w:pBdr>
        <w:top w:val="single" w:sz="4" w:space="1" w:color="auto"/>
      </w:pBdr>
      <w:rPr>
        <w:sz w:val="20"/>
      </w:rPr>
    </w:pPr>
  </w:p>
  <w:p w14:paraId="0EC9D48A" w14:textId="77777777" w:rsidR="00894415" w:rsidRDefault="00894415" w:rsidP="00894415">
    <w:pPr>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5D0B" w14:textId="59314316" w:rsidR="00BD6391" w:rsidRDefault="00BD63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796"/>
    <w:multiLevelType w:val="hybridMultilevel"/>
    <w:tmpl w:val="076AD440"/>
    <w:lvl w:ilvl="0" w:tplc="9A1EF236">
      <w:start w:val="10"/>
      <w:numFmt w:val="bullet"/>
      <w:lvlText w:val="-"/>
      <w:lvlJc w:val="left"/>
      <w:pPr>
        <w:ind w:left="1236" w:hanging="360"/>
      </w:pPr>
      <w:rPr>
        <w:rFonts w:ascii="Arial" w:eastAsia="Times New Roman" w:hAnsi="Arial" w:cs="Arial"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1" w15:restartNumberingAfterBreak="0">
    <w:nsid w:val="00927C8C"/>
    <w:multiLevelType w:val="hybridMultilevel"/>
    <w:tmpl w:val="F0940110"/>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 w15:restartNumberingAfterBreak="0">
    <w:nsid w:val="03015BFE"/>
    <w:multiLevelType w:val="hybridMultilevel"/>
    <w:tmpl w:val="584019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742A6"/>
    <w:multiLevelType w:val="hybridMultilevel"/>
    <w:tmpl w:val="2788F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3D9579A"/>
    <w:multiLevelType w:val="hybridMultilevel"/>
    <w:tmpl w:val="AA1A1908"/>
    <w:lvl w:ilvl="0" w:tplc="6F1E3FE0">
      <w:start w:val="5"/>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0733586C"/>
    <w:multiLevelType w:val="hybridMultilevel"/>
    <w:tmpl w:val="EDA22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270718"/>
    <w:multiLevelType w:val="hybridMultilevel"/>
    <w:tmpl w:val="B460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17AC8"/>
    <w:multiLevelType w:val="hybridMultilevel"/>
    <w:tmpl w:val="67A6CA7C"/>
    <w:lvl w:ilvl="0" w:tplc="79205228">
      <w:start w:val="1"/>
      <w:numFmt w:val="lowerRoman"/>
      <w:lvlText w:val="(%1)"/>
      <w:lvlJc w:val="left"/>
      <w:pPr>
        <w:ind w:left="1224" w:hanging="360"/>
      </w:pPr>
      <w:rPr>
        <w:rFonts w:hint="default"/>
      </w:rPr>
    </w:lvl>
    <w:lvl w:ilvl="1" w:tplc="04090013">
      <w:start w:val="1"/>
      <w:numFmt w:val="upperRoman"/>
      <w:lvlText w:val="%2."/>
      <w:lvlJc w:val="righ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 w15:restartNumberingAfterBreak="0">
    <w:nsid w:val="169C2481"/>
    <w:multiLevelType w:val="hybridMultilevel"/>
    <w:tmpl w:val="83C239C0"/>
    <w:lvl w:ilvl="0" w:tplc="3D10F5A0">
      <w:start w:val="1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914893"/>
    <w:multiLevelType w:val="singleLevel"/>
    <w:tmpl w:val="DDCEB5E4"/>
    <w:lvl w:ilvl="0">
      <w:start w:val="1"/>
      <w:numFmt w:val="lowerLetter"/>
      <w:lvlText w:val="%1."/>
      <w:lvlJc w:val="left"/>
      <w:pPr>
        <w:tabs>
          <w:tab w:val="num" w:pos="2535"/>
        </w:tabs>
        <w:ind w:left="2535" w:hanging="375"/>
      </w:pPr>
      <w:rPr>
        <w:rFonts w:hint="default"/>
      </w:rPr>
    </w:lvl>
  </w:abstractNum>
  <w:abstractNum w:abstractNumId="10" w15:restartNumberingAfterBreak="0">
    <w:nsid w:val="1A5308BC"/>
    <w:multiLevelType w:val="hybridMultilevel"/>
    <w:tmpl w:val="7270AE40"/>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1" w15:restartNumberingAfterBreak="0">
    <w:nsid w:val="1B6D593F"/>
    <w:multiLevelType w:val="hybridMultilevel"/>
    <w:tmpl w:val="085E423A"/>
    <w:lvl w:ilvl="0" w:tplc="6F1E3FE0">
      <w:start w:val="1"/>
      <w:numFmt w:val="lowerLetter"/>
      <w:lvlText w:val="%1."/>
      <w:lvlJc w:val="left"/>
      <w:pPr>
        <w:ind w:left="1350"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12" w15:restartNumberingAfterBreak="0">
    <w:nsid w:val="1C3A15B1"/>
    <w:multiLevelType w:val="hybridMultilevel"/>
    <w:tmpl w:val="927AE742"/>
    <w:lvl w:ilvl="0" w:tplc="7722D54E">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D0E4D00"/>
    <w:multiLevelType w:val="hybridMultilevel"/>
    <w:tmpl w:val="6520D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517B2C"/>
    <w:multiLevelType w:val="hybridMultilevel"/>
    <w:tmpl w:val="FC282BB6"/>
    <w:lvl w:ilvl="0" w:tplc="2512A2B8">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8F2AD1"/>
    <w:multiLevelType w:val="hybridMultilevel"/>
    <w:tmpl w:val="8D78E0A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6" w15:restartNumberingAfterBreak="0">
    <w:nsid w:val="22FE2B48"/>
    <w:multiLevelType w:val="hybridMultilevel"/>
    <w:tmpl w:val="620E4726"/>
    <w:lvl w:ilvl="0" w:tplc="F9E45464">
      <w:start w:val="1"/>
      <w:numFmt w:val="bullet"/>
      <w:lvlText w:val=""/>
      <w:lvlJc w:val="left"/>
      <w:pPr>
        <w:tabs>
          <w:tab w:val="num" w:pos="540"/>
        </w:tabs>
        <w:ind w:left="540" w:hanging="360"/>
      </w:pPr>
      <w:rPr>
        <w:rFonts w:ascii="Symbol" w:hAnsi="Symbol" w:cs="Times New Roman" w:hint="default"/>
        <w:sz w:val="28"/>
      </w:rPr>
    </w:lvl>
    <w:lvl w:ilvl="1" w:tplc="04090003" w:tentative="1">
      <w:start w:val="1"/>
      <w:numFmt w:val="bullet"/>
      <w:lvlText w:val="o"/>
      <w:lvlJc w:val="left"/>
      <w:pPr>
        <w:tabs>
          <w:tab w:val="num" w:pos="252"/>
        </w:tabs>
        <w:ind w:left="252" w:hanging="360"/>
      </w:pPr>
      <w:rPr>
        <w:rFonts w:ascii="Courier New" w:hAnsi="Courier New" w:hint="default"/>
      </w:rPr>
    </w:lvl>
    <w:lvl w:ilvl="2" w:tplc="04090005" w:tentative="1">
      <w:start w:val="1"/>
      <w:numFmt w:val="bullet"/>
      <w:lvlText w:val=""/>
      <w:lvlJc w:val="left"/>
      <w:pPr>
        <w:tabs>
          <w:tab w:val="num" w:pos="972"/>
        </w:tabs>
        <w:ind w:left="972" w:hanging="360"/>
      </w:pPr>
      <w:rPr>
        <w:rFonts w:ascii="Wingdings" w:hAnsi="Wingdings" w:hint="default"/>
      </w:rPr>
    </w:lvl>
    <w:lvl w:ilvl="3" w:tplc="04090001" w:tentative="1">
      <w:start w:val="1"/>
      <w:numFmt w:val="bullet"/>
      <w:lvlText w:val=""/>
      <w:lvlJc w:val="left"/>
      <w:pPr>
        <w:tabs>
          <w:tab w:val="num" w:pos="1692"/>
        </w:tabs>
        <w:ind w:left="1692" w:hanging="360"/>
      </w:pPr>
      <w:rPr>
        <w:rFonts w:ascii="Symbol" w:hAnsi="Symbol" w:hint="default"/>
      </w:rPr>
    </w:lvl>
    <w:lvl w:ilvl="4" w:tplc="04090003" w:tentative="1">
      <w:start w:val="1"/>
      <w:numFmt w:val="bullet"/>
      <w:lvlText w:val="o"/>
      <w:lvlJc w:val="left"/>
      <w:pPr>
        <w:tabs>
          <w:tab w:val="num" w:pos="2412"/>
        </w:tabs>
        <w:ind w:left="2412" w:hanging="360"/>
      </w:pPr>
      <w:rPr>
        <w:rFonts w:ascii="Courier New" w:hAnsi="Courier New" w:hint="default"/>
      </w:rPr>
    </w:lvl>
    <w:lvl w:ilvl="5" w:tplc="04090005" w:tentative="1">
      <w:start w:val="1"/>
      <w:numFmt w:val="bullet"/>
      <w:lvlText w:val=""/>
      <w:lvlJc w:val="left"/>
      <w:pPr>
        <w:tabs>
          <w:tab w:val="num" w:pos="3132"/>
        </w:tabs>
        <w:ind w:left="3132" w:hanging="360"/>
      </w:pPr>
      <w:rPr>
        <w:rFonts w:ascii="Wingdings" w:hAnsi="Wingdings" w:hint="default"/>
      </w:rPr>
    </w:lvl>
    <w:lvl w:ilvl="6" w:tplc="04090001" w:tentative="1">
      <w:start w:val="1"/>
      <w:numFmt w:val="bullet"/>
      <w:lvlText w:val=""/>
      <w:lvlJc w:val="left"/>
      <w:pPr>
        <w:tabs>
          <w:tab w:val="num" w:pos="3852"/>
        </w:tabs>
        <w:ind w:left="3852" w:hanging="360"/>
      </w:pPr>
      <w:rPr>
        <w:rFonts w:ascii="Symbol" w:hAnsi="Symbol" w:hint="default"/>
      </w:rPr>
    </w:lvl>
    <w:lvl w:ilvl="7" w:tplc="04090003" w:tentative="1">
      <w:start w:val="1"/>
      <w:numFmt w:val="bullet"/>
      <w:lvlText w:val="o"/>
      <w:lvlJc w:val="left"/>
      <w:pPr>
        <w:tabs>
          <w:tab w:val="num" w:pos="4572"/>
        </w:tabs>
        <w:ind w:left="4572" w:hanging="360"/>
      </w:pPr>
      <w:rPr>
        <w:rFonts w:ascii="Courier New" w:hAnsi="Courier New" w:hint="default"/>
      </w:rPr>
    </w:lvl>
    <w:lvl w:ilvl="8" w:tplc="04090005" w:tentative="1">
      <w:start w:val="1"/>
      <w:numFmt w:val="bullet"/>
      <w:lvlText w:val=""/>
      <w:lvlJc w:val="left"/>
      <w:pPr>
        <w:tabs>
          <w:tab w:val="num" w:pos="5292"/>
        </w:tabs>
        <w:ind w:left="5292" w:hanging="360"/>
      </w:pPr>
      <w:rPr>
        <w:rFonts w:ascii="Wingdings" w:hAnsi="Wingdings" w:hint="default"/>
      </w:rPr>
    </w:lvl>
  </w:abstractNum>
  <w:abstractNum w:abstractNumId="17" w15:restartNumberingAfterBreak="0">
    <w:nsid w:val="29CB1094"/>
    <w:multiLevelType w:val="hybridMultilevel"/>
    <w:tmpl w:val="4ED6F2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AC90A3F"/>
    <w:multiLevelType w:val="hybridMultilevel"/>
    <w:tmpl w:val="A1C0E48C"/>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9" w15:restartNumberingAfterBreak="0">
    <w:nsid w:val="2D136602"/>
    <w:multiLevelType w:val="hybridMultilevel"/>
    <w:tmpl w:val="638A0568"/>
    <w:lvl w:ilvl="0" w:tplc="634A623E">
      <w:start w:val="1"/>
      <w:numFmt w:val="bullet"/>
      <w:lvlText w:val="­"/>
      <w:lvlJc w:val="left"/>
      <w:pPr>
        <w:ind w:left="1980" w:hanging="360"/>
      </w:pPr>
      <w:rPr>
        <w:rFonts w:ascii="Calibri" w:hAnsi="Calibri"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15:restartNumberingAfterBreak="0">
    <w:nsid w:val="30D75FE8"/>
    <w:multiLevelType w:val="hybridMultilevel"/>
    <w:tmpl w:val="1E560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3B4E0D"/>
    <w:multiLevelType w:val="hybridMultilevel"/>
    <w:tmpl w:val="D1A8A204"/>
    <w:lvl w:ilvl="0" w:tplc="04090013">
      <w:start w:val="1"/>
      <w:numFmt w:val="upperRoman"/>
      <w:lvlText w:val="%1."/>
      <w:lvlJc w:val="righ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5C91309"/>
    <w:multiLevelType w:val="multilevel"/>
    <w:tmpl w:val="F2FC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CB5A49"/>
    <w:multiLevelType w:val="hybridMultilevel"/>
    <w:tmpl w:val="FC98113E"/>
    <w:lvl w:ilvl="0" w:tplc="9068717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962548"/>
    <w:multiLevelType w:val="hybridMultilevel"/>
    <w:tmpl w:val="0CD474A2"/>
    <w:lvl w:ilvl="0" w:tplc="04090001">
      <w:start w:val="1"/>
      <w:numFmt w:val="bullet"/>
      <w:lvlText w:val=""/>
      <w:lvlJc w:val="left"/>
      <w:pPr>
        <w:ind w:left="1657" w:hanging="360"/>
      </w:pPr>
      <w:rPr>
        <w:rFonts w:ascii="Symbol" w:hAnsi="Symbol" w:hint="default"/>
      </w:rPr>
    </w:lvl>
    <w:lvl w:ilvl="1" w:tplc="04090003" w:tentative="1">
      <w:start w:val="1"/>
      <w:numFmt w:val="bullet"/>
      <w:lvlText w:val="o"/>
      <w:lvlJc w:val="left"/>
      <w:pPr>
        <w:ind w:left="2377" w:hanging="360"/>
      </w:pPr>
      <w:rPr>
        <w:rFonts w:ascii="Courier New" w:hAnsi="Courier New" w:cs="Courier New" w:hint="default"/>
      </w:rPr>
    </w:lvl>
    <w:lvl w:ilvl="2" w:tplc="04090005" w:tentative="1">
      <w:start w:val="1"/>
      <w:numFmt w:val="bullet"/>
      <w:lvlText w:val=""/>
      <w:lvlJc w:val="left"/>
      <w:pPr>
        <w:ind w:left="3097" w:hanging="360"/>
      </w:pPr>
      <w:rPr>
        <w:rFonts w:ascii="Wingdings" w:hAnsi="Wingdings" w:hint="default"/>
      </w:rPr>
    </w:lvl>
    <w:lvl w:ilvl="3" w:tplc="04090001" w:tentative="1">
      <w:start w:val="1"/>
      <w:numFmt w:val="bullet"/>
      <w:lvlText w:val=""/>
      <w:lvlJc w:val="left"/>
      <w:pPr>
        <w:ind w:left="3817" w:hanging="360"/>
      </w:pPr>
      <w:rPr>
        <w:rFonts w:ascii="Symbol" w:hAnsi="Symbol" w:hint="default"/>
      </w:rPr>
    </w:lvl>
    <w:lvl w:ilvl="4" w:tplc="04090003" w:tentative="1">
      <w:start w:val="1"/>
      <w:numFmt w:val="bullet"/>
      <w:lvlText w:val="o"/>
      <w:lvlJc w:val="left"/>
      <w:pPr>
        <w:ind w:left="4537" w:hanging="360"/>
      </w:pPr>
      <w:rPr>
        <w:rFonts w:ascii="Courier New" w:hAnsi="Courier New" w:cs="Courier New" w:hint="default"/>
      </w:rPr>
    </w:lvl>
    <w:lvl w:ilvl="5" w:tplc="04090005" w:tentative="1">
      <w:start w:val="1"/>
      <w:numFmt w:val="bullet"/>
      <w:lvlText w:val=""/>
      <w:lvlJc w:val="left"/>
      <w:pPr>
        <w:ind w:left="5257" w:hanging="360"/>
      </w:pPr>
      <w:rPr>
        <w:rFonts w:ascii="Wingdings" w:hAnsi="Wingdings" w:hint="default"/>
      </w:rPr>
    </w:lvl>
    <w:lvl w:ilvl="6" w:tplc="04090001" w:tentative="1">
      <w:start w:val="1"/>
      <w:numFmt w:val="bullet"/>
      <w:lvlText w:val=""/>
      <w:lvlJc w:val="left"/>
      <w:pPr>
        <w:ind w:left="5977" w:hanging="360"/>
      </w:pPr>
      <w:rPr>
        <w:rFonts w:ascii="Symbol" w:hAnsi="Symbol" w:hint="default"/>
      </w:rPr>
    </w:lvl>
    <w:lvl w:ilvl="7" w:tplc="04090003" w:tentative="1">
      <w:start w:val="1"/>
      <w:numFmt w:val="bullet"/>
      <w:lvlText w:val="o"/>
      <w:lvlJc w:val="left"/>
      <w:pPr>
        <w:ind w:left="6697" w:hanging="360"/>
      </w:pPr>
      <w:rPr>
        <w:rFonts w:ascii="Courier New" w:hAnsi="Courier New" w:cs="Courier New" w:hint="default"/>
      </w:rPr>
    </w:lvl>
    <w:lvl w:ilvl="8" w:tplc="04090005" w:tentative="1">
      <w:start w:val="1"/>
      <w:numFmt w:val="bullet"/>
      <w:lvlText w:val=""/>
      <w:lvlJc w:val="left"/>
      <w:pPr>
        <w:ind w:left="7417" w:hanging="360"/>
      </w:pPr>
      <w:rPr>
        <w:rFonts w:ascii="Wingdings" w:hAnsi="Wingdings" w:hint="default"/>
      </w:rPr>
    </w:lvl>
  </w:abstractNum>
  <w:abstractNum w:abstractNumId="25" w15:restartNumberingAfterBreak="0">
    <w:nsid w:val="3D54785A"/>
    <w:multiLevelType w:val="hybridMultilevel"/>
    <w:tmpl w:val="ACC8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D36E3C"/>
    <w:multiLevelType w:val="hybridMultilevel"/>
    <w:tmpl w:val="6CC420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16B77D5"/>
    <w:multiLevelType w:val="hybridMultilevel"/>
    <w:tmpl w:val="149E327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8" w15:restartNumberingAfterBreak="0">
    <w:nsid w:val="42B56194"/>
    <w:multiLevelType w:val="hybridMultilevel"/>
    <w:tmpl w:val="EDD4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401F54"/>
    <w:multiLevelType w:val="hybridMultilevel"/>
    <w:tmpl w:val="1D02536C"/>
    <w:lvl w:ilvl="0" w:tplc="04090001">
      <w:start w:val="1"/>
      <w:numFmt w:val="bullet"/>
      <w:lvlText w:val=""/>
      <w:lvlJc w:val="left"/>
      <w:pPr>
        <w:ind w:left="2664" w:hanging="360"/>
      </w:pPr>
      <w:rPr>
        <w:rFonts w:ascii="Symbol" w:hAnsi="Symbol" w:hint="default"/>
      </w:rPr>
    </w:lvl>
    <w:lvl w:ilvl="1" w:tplc="04090003" w:tentative="1">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30" w15:restartNumberingAfterBreak="0">
    <w:nsid w:val="449711A1"/>
    <w:multiLevelType w:val="hybridMultilevel"/>
    <w:tmpl w:val="DF58F12E"/>
    <w:lvl w:ilvl="0" w:tplc="68ACFB54">
      <w:start w:val="1"/>
      <w:numFmt w:val="lowerRoman"/>
      <w:lvlText w:val="(%1)"/>
      <w:lvlJc w:val="left"/>
      <w:pPr>
        <w:ind w:left="360" w:hanging="360"/>
      </w:pPr>
      <w:rPr>
        <w:rFonts w:hint="default"/>
      </w:rPr>
    </w:lvl>
    <w:lvl w:ilvl="1" w:tplc="04090013">
      <w:start w:val="1"/>
      <w:numFmt w:val="upp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60B478E"/>
    <w:multiLevelType w:val="hybridMultilevel"/>
    <w:tmpl w:val="9E3A9566"/>
    <w:lvl w:ilvl="0" w:tplc="B032EAC8">
      <w:start w:val="1"/>
      <w:numFmt w:val="lowerLetter"/>
      <w:lvlText w:val="%1."/>
      <w:lvlJc w:val="left"/>
      <w:pPr>
        <w:ind w:left="2520" w:hanging="360"/>
      </w:pPr>
      <w:rPr>
        <w:rFonts w:hint="default"/>
        <w:b/>
        <w:color w:val="auto"/>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46950754"/>
    <w:multiLevelType w:val="hybridMultilevel"/>
    <w:tmpl w:val="91D04BB8"/>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3" w15:restartNumberingAfterBreak="0">
    <w:nsid w:val="4CB3473F"/>
    <w:multiLevelType w:val="hybridMultilevel"/>
    <w:tmpl w:val="9CC009F8"/>
    <w:lvl w:ilvl="0" w:tplc="04090001">
      <w:start w:val="1"/>
      <w:numFmt w:val="bullet"/>
      <w:lvlText w:val=""/>
      <w:lvlJc w:val="left"/>
      <w:pPr>
        <w:tabs>
          <w:tab w:val="num" w:pos="1170"/>
        </w:tabs>
        <w:ind w:left="1170" w:hanging="360"/>
      </w:pPr>
      <w:rPr>
        <w:rFonts w:ascii="Symbol" w:hAnsi="Symbol" w:hint="default"/>
      </w:rPr>
    </w:lvl>
    <w:lvl w:ilvl="1" w:tplc="04090011">
      <w:start w:val="1"/>
      <w:numFmt w:val="decimal"/>
      <w:lvlText w:val="%2)"/>
      <w:lvlJc w:val="left"/>
      <w:pPr>
        <w:tabs>
          <w:tab w:val="num" w:pos="1890"/>
        </w:tabs>
        <w:ind w:left="1890" w:hanging="360"/>
      </w:pPr>
    </w:lvl>
    <w:lvl w:ilvl="2" w:tplc="72187362">
      <w:start w:val="11"/>
      <w:numFmt w:val="decimal"/>
      <w:lvlText w:val="%3."/>
      <w:lvlJc w:val="left"/>
      <w:pPr>
        <w:tabs>
          <w:tab w:val="num" w:pos="2685"/>
        </w:tabs>
        <w:ind w:left="2685" w:hanging="435"/>
      </w:pPr>
      <w:rPr>
        <w:rFont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4" w15:restartNumberingAfterBreak="0">
    <w:nsid w:val="4D6C62F5"/>
    <w:multiLevelType w:val="hybridMultilevel"/>
    <w:tmpl w:val="556A36E8"/>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5" w15:restartNumberingAfterBreak="0">
    <w:nsid w:val="4DE45706"/>
    <w:multiLevelType w:val="hybridMultilevel"/>
    <w:tmpl w:val="D3C4A00A"/>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3F63E56"/>
    <w:multiLevelType w:val="hybridMultilevel"/>
    <w:tmpl w:val="88465DFC"/>
    <w:lvl w:ilvl="0" w:tplc="04090013">
      <w:start w:val="1"/>
      <w:numFmt w:val="upperRoman"/>
      <w:lvlText w:val="%1."/>
      <w:lvlJc w:val="right"/>
      <w:pPr>
        <w:ind w:left="1440" w:hanging="360"/>
      </w:pPr>
      <w:rPr>
        <w:rFonts w:hint="default"/>
      </w:rPr>
    </w:lvl>
    <w:lvl w:ilvl="1" w:tplc="04090017">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5C777BF"/>
    <w:multiLevelType w:val="hybridMultilevel"/>
    <w:tmpl w:val="C8D88F84"/>
    <w:lvl w:ilvl="0" w:tplc="DDCEB5E4">
      <w:start w:val="1"/>
      <w:numFmt w:val="lowerLetter"/>
      <w:lvlText w:val="%1."/>
      <w:lvlJc w:val="lef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15:restartNumberingAfterBreak="0">
    <w:nsid w:val="5FD70228"/>
    <w:multiLevelType w:val="hybridMultilevel"/>
    <w:tmpl w:val="BEE03E1C"/>
    <w:lvl w:ilvl="0" w:tplc="B8D44464">
      <w:start w:val="1"/>
      <w:numFmt w:val="bullet"/>
      <w:lvlText w:val=""/>
      <w:lvlJc w:val="left"/>
      <w:pPr>
        <w:tabs>
          <w:tab w:val="num" w:pos="720"/>
        </w:tabs>
        <w:ind w:left="720" w:hanging="360"/>
      </w:pPr>
      <w:rPr>
        <w:rFonts w:ascii="Symbol" w:hAnsi="Symbol" w:hint="default"/>
        <w:sz w:val="28"/>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3A219E5"/>
    <w:multiLevelType w:val="hybridMultilevel"/>
    <w:tmpl w:val="67A6CA7C"/>
    <w:lvl w:ilvl="0" w:tplc="79205228">
      <w:start w:val="1"/>
      <w:numFmt w:val="lowerRoman"/>
      <w:lvlText w:val="(%1)"/>
      <w:lvlJc w:val="left"/>
      <w:pPr>
        <w:ind w:left="360" w:hanging="360"/>
      </w:pPr>
      <w:rPr>
        <w:rFonts w:hint="default"/>
      </w:rPr>
    </w:lvl>
    <w:lvl w:ilvl="1" w:tplc="04090013">
      <w:start w:val="1"/>
      <w:numFmt w:val="upp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7AD2E52"/>
    <w:multiLevelType w:val="hybridMultilevel"/>
    <w:tmpl w:val="0E5C2A68"/>
    <w:lvl w:ilvl="0" w:tplc="D40432B8">
      <w:start w:val="1"/>
      <w:numFmt w:val="decimal"/>
      <w:lvlText w:val="%1."/>
      <w:lvlJc w:val="left"/>
      <w:pPr>
        <w:tabs>
          <w:tab w:val="num" w:pos="1224"/>
        </w:tabs>
        <w:ind w:left="1224" w:hanging="360"/>
      </w:pPr>
      <w:rPr>
        <w:rFonts w:hint="default"/>
        <w:b/>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41" w15:restartNumberingAfterBreak="0">
    <w:nsid w:val="67CF3B2D"/>
    <w:multiLevelType w:val="hybridMultilevel"/>
    <w:tmpl w:val="1868989C"/>
    <w:lvl w:ilvl="0" w:tplc="E72076D4">
      <w:start w:val="1"/>
      <w:numFmt w:val="bullet"/>
      <w:lvlText w:val="-"/>
      <w:lvlJc w:val="left"/>
      <w:pPr>
        <w:ind w:left="2737" w:hanging="360"/>
      </w:pPr>
      <w:rPr>
        <w:rFonts w:ascii="Arial" w:eastAsia="Times New Roman" w:hAnsi="Arial" w:cs="Arial" w:hint="default"/>
      </w:rPr>
    </w:lvl>
    <w:lvl w:ilvl="1" w:tplc="04090003">
      <w:start w:val="1"/>
      <w:numFmt w:val="bullet"/>
      <w:lvlText w:val="o"/>
      <w:lvlJc w:val="left"/>
      <w:pPr>
        <w:ind w:left="3457" w:hanging="360"/>
      </w:pPr>
      <w:rPr>
        <w:rFonts w:ascii="Courier New" w:hAnsi="Courier New" w:cs="Courier New" w:hint="default"/>
      </w:rPr>
    </w:lvl>
    <w:lvl w:ilvl="2" w:tplc="04090005">
      <w:start w:val="1"/>
      <w:numFmt w:val="bullet"/>
      <w:lvlText w:val=""/>
      <w:lvlJc w:val="left"/>
      <w:pPr>
        <w:ind w:left="4177" w:hanging="360"/>
      </w:pPr>
      <w:rPr>
        <w:rFonts w:ascii="Wingdings" w:hAnsi="Wingdings" w:hint="default"/>
      </w:rPr>
    </w:lvl>
    <w:lvl w:ilvl="3" w:tplc="04090001">
      <w:start w:val="1"/>
      <w:numFmt w:val="bullet"/>
      <w:lvlText w:val=""/>
      <w:lvlJc w:val="left"/>
      <w:pPr>
        <w:ind w:left="4897" w:hanging="360"/>
      </w:pPr>
      <w:rPr>
        <w:rFonts w:ascii="Symbol" w:hAnsi="Symbol" w:hint="default"/>
      </w:rPr>
    </w:lvl>
    <w:lvl w:ilvl="4" w:tplc="04090003">
      <w:start w:val="1"/>
      <w:numFmt w:val="bullet"/>
      <w:lvlText w:val="o"/>
      <w:lvlJc w:val="left"/>
      <w:pPr>
        <w:ind w:left="5617" w:hanging="360"/>
      </w:pPr>
      <w:rPr>
        <w:rFonts w:ascii="Courier New" w:hAnsi="Courier New" w:cs="Courier New" w:hint="default"/>
      </w:rPr>
    </w:lvl>
    <w:lvl w:ilvl="5" w:tplc="04090005">
      <w:start w:val="1"/>
      <w:numFmt w:val="bullet"/>
      <w:lvlText w:val=""/>
      <w:lvlJc w:val="left"/>
      <w:pPr>
        <w:ind w:left="6337" w:hanging="360"/>
      </w:pPr>
      <w:rPr>
        <w:rFonts w:ascii="Wingdings" w:hAnsi="Wingdings" w:hint="default"/>
      </w:rPr>
    </w:lvl>
    <w:lvl w:ilvl="6" w:tplc="04090001">
      <w:start w:val="1"/>
      <w:numFmt w:val="bullet"/>
      <w:lvlText w:val=""/>
      <w:lvlJc w:val="left"/>
      <w:pPr>
        <w:ind w:left="7057" w:hanging="360"/>
      </w:pPr>
      <w:rPr>
        <w:rFonts w:ascii="Symbol" w:hAnsi="Symbol" w:hint="default"/>
      </w:rPr>
    </w:lvl>
    <w:lvl w:ilvl="7" w:tplc="04090003">
      <w:start w:val="1"/>
      <w:numFmt w:val="bullet"/>
      <w:lvlText w:val="o"/>
      <w:lvlJc w:val="left"/>
      <w:pPr>
        <w:ind w:left="7777" w:hanging="360"/>
      </w:pPr>
      <w:rPr>
        <w:rFonts w:ascii="Courier New" w:hAnsi="Courier New" w:cs="Courier New" w:hint="default"/>
      </w:rPr>
    </w:lvl>
    <w:lvl w:ilvl="8" w:tplc="04090005">
      <w:start w:val="1"/>
      <w:numFmt w:val="bullet"/>
      <w:lvlText w:val=""/>
      <w:lvlJc w:val="left"/>
      <w:pPr>
        <w:ind w:left="8497" w:hanging="360"/>
      </w:pPr>
      <w:rPr>
        <w:rFonts w:ascii="Wingdings" w:hAnsi="Wingdings" w:hint="default"/>
      </w:rPr>
    </w:lvl>
  </w:abstractNum>
  <w:abstractNum w:abstractNumId="42" w15:restartNumberingAfterBreak="0">
    <w:nsid w:val="6AEB07A7"/>
    <w:multiLevelType w:val="singleLevel"/>
    <w:tmpl w:val="6DEA2142"/>
    <w:lvl w:ilvl="0">
      <w:start w:val="1"/>
      <w:numFmt w:val="decimal"/>
      <w:lvlText w:val="%1."/>
      <w:lvlJc w:val="left"/>
      <w:pPr>
        <w:tabs>
          <w:tab w:val="num" w:pos="1800"/>
        </w:tabs>
        <w:ind w:left="1800" w:hanging="360"/>
      </w:pPr>
      <w:rPr>
        <w:rFonts w:hint="default"/>
      </w:rPr>
    </w:lvl>
  </w:abstractNum>
  <w:abstractNum w:abstractNumId="43" w15:restartNumberingAfterBreak="0">
    <w:nsid w:val="6E2D0B6A"/>
    <w:multiLevelType w:val="hybridMultilevel"/>
    <w:tmpl w:val="2FDC7F8A"/>
    <w:lvl w:ilvl="0" w:tplc="10920420">
      <w:start w:val="1"/>
      <w:numFmt w:val="decimal"/>
      <w:lvlText w:val="%1."/>
      <w:lvlJc w:val="left"/>
      <w:pPr>
        <w:tabs>
          <w:tab w:val="num" w:pos="1224"/>
        </w:tabs>
        <w:ind w:left="122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23226AD"/>
    <w:multiLevelType w:val="hybridMultilevel"/>
    <w:tmpl w:val="F60CB5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7D6162"/>
    <w:multiLevelType w:val="hybridMultilevel"/>
    <w:tmpl w:val="4C8893BE"/>
    <w:lvl w:ilvl="0" w:tplc="F9E45464">
      <w:start w:val="1"/>
      <w:numFmt w:val="bullet"/>
      <w:lvlText w:val=""/>
      <w:lvlJc w:val="left"/>
      <w:pPr>
        <w:tabs>
          <w:tab w:val="num" w:pos="1224"/>
        </w:tabs>
        <w:ind w:left="1224" w:hanging="360"/>
      </w:pPr>
      <w:rPr>
        <w:rFonts w:ascii="Symbol" w:hAnsi="Symbol" w:cs="Times New Roman" w:hint="default"/>
        <w:sz w:val="28"/>
      </w:rPr>
    </w:lvl>
    <w:lvl w:ilvl="1" w:tplc="04090003" w:tentative="1">
      <w:start w:val="1"/>
      <w:numFmt w:val="bullet"/>
      <w:lvlText w:val="o"/>
      <w:lvlJc w:val="left"/>
      <w:pPr>
        <w:tabs>
          <w:tab w:val="num" w:pos="936"/>
        </w:tabs>
        <w:ind w:left="936" w:hanging="360"/>
      </w:pPr>
      <w:rPr>
        <w:rFonts w:ascii="Courier New" w:hAnsi="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46" w15:restartNumberingAfterBreak="0">
    <w:nsid w:val="7CE10EFF"/>
    <w:multiLevelType w:val="hybridMultilevel"/>
    <w:tmpl w:val="82A0CD9A"/>
    <w:lvl w:ilvl="0" w:tplc="7FF453BE">
      <w:start w:val="1"/>
      <w:numFmt w:val="bullet"/>
      <w:lvlText w:val=""/>
      <w:lvlJc w:val="left"/>
      <w:pPr>
        <w:tabs>
          <w:tab w:val="num" w:pos="720"/>
        </w:tabs>
        <w:ind w:left="720" w:hanging="360"/>
      </w:pPr>
      <w:rPr>
        <w:rFonts w:ascii="Symbol" w:hAnsi="Symbol" w:cs="Times New Roman" w:hint="default"/>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7D7D01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DCB1605"/>
    <w:multiLevelType w:val="hybridMultilevel"/>
    <w:tmpl w:val="82A0CD9A"/>
    <w:lvl w:ilvl="0" w:tplc="F9E45464">
      <w:start w:val="1"/>
      <w:numFmt w:val="bullet"/>
      <w:lvlText w:val=""/>
      <w:lvlJc w:val="left"/>
      <w:pPr>
        <w:tabs>
          <w:tab w:val="num" w:pos="720"/>
        </w:tabs>
        <w:ind w:left="720" w:hanging="360"/>
      </w:pPr>
      <w:rPr>
        <w:rFonts w:ascii="Symbol" w:hAnsi="Symbol" w:cs="Times New Roman" w:hint="default"/>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7E0B3177"/>
    <w:multiLevelType w:val="singleLevel"/>
    <w:tmpl w:val="E5744F34"/>
    <w:lvl w:ilvl="0">
      <w:start w:val="1"/>
      <w:numFmt w:val="bullet"/>
      <w:lvlText w:val=""/>
      <w:lvlJc w:val="left"/>
      <w:pPr>
        <w:tabs>
          <w:tab w:val="num" w:pos="360"/>
        </w:tabs>
        <w:ind w:left="360" w:hanging="360"/>
      </w:pPr>
      <w:rPr>
        <w:rFonts w:ascii="Symbol" w:hAnsi="Symbol" w:hint="default"/>
      </w:rPr>
    </w:lvl>
  </w:abstractNum>
  <w:num w:numId="1">
    <w:abstractNumId w:val="49"/>
  </w:num>
  <w:num w:numId="2">
    <w:abstractNumId w:val="47"/>
  </w:num>
  <w:num w:numId="3">
    <w:abstractNumId w:val="40"/>
  </w:num>
  <w:num w:numId="4">
    <w:abstractNumId w:val="16"/>
  </w:num>
  <w:num w:numId="5">
    <w:abstractNumId w:val="45"/>
  </w:num>
  <w:num w:numId="6">
    <w:abstractNumId w:val="46"/>
  </w:num>
  <w:num w:numId="7">
    <w:abstractNumId w:val="48"/>
  </w:num>
  <w:num w:numId="8">
    <w:abstractNumId w:val="38"/>
  </w:num>
  <w:num w:numId="9">
    <w:abstractNumId w:val="23"/>
  </w:num>
  <w:num w:numId="10">
    <w:abstractNumId w:val="42"/>
  </w:num>
  <w:num w:numId="11">
    <w:abstractNumId w:val="9"/>
  </w:num>
  <w:num w:numId="12">
    <w:abstractNumId w:val="44"/>
  </w:num>
  <w:num w:numId="13">
    <w:abstractNumId w:val="22"/>
  </w:num>
  <w:num w:numId="14">
    <w:abstractNumId w:val="43"/>
  </w:num>
  <w:num w:numId="15">
    <w:abstractNumId w:val="10"/>
  </w:num>
  <w:num w:numId="16">
    <w:abstractNumId w:val="17"/>
  </w:num>
  <w:num w:numId="17">
    <w:abstractNumId w:val="1"/>
  </w:num>
  <w:num w:numId="18">
    <w:abstractNumId w:val="7"/>
  </w:num>
  <w:num w:numId="19">
    <w:abstractNumId w:val="36"/>
  </w:num>
  <w:num w:numId="20">
    <w:abstractNumId w:val="21"/>
  </w:num>
  <w:num w:numId="21">
    <w:abstractNumId w:val="29"/>
  </w:num>
  <w:num w:numId="22">
    <w:abstractNumId w:val="18"/>
  </w:num>
  <w:num w:numId="23">
    <w:abstractNumId w:val="11"/>
  </w:num>
  <w:num w:numId="24">
    <w:abstractNumId w:val="31"/>
  </w:num>
  <w:num w:numId="25">
    <w:abstractNumId w:val="25"/>
  </w:num>
  <w:num w:numId="26">
    <w:abstractNumId w:val="35"/>
  </w:num>
  <w:num w:numId="27">
    <w:abstractNumId w:val="37"/>
  </w:num>
  <w:num w:numId="28">
    <w:abstractNumId w:val="39"/>
  </w:num>
  <w:num w:numId="29">
    <w:abstractNumId w:val="30"/>
  </w:num>
  <w:num w:numId="30">
    <w:abstractNumId w:val="26"/>
  </w:num>
  <w:num w:numId="31">
    <w:abstractNumId w:val="14"/>
  </w:num>
  <w:num w:numId="32">
    <w:abstractNumId w:val="28"/>
  </w:num>
  <w:num w:numId="33">
    <w:abstractNumId w:val="24"/>
  </w:num>
  <w:num w:numId="34">
    <w:abstractNumId w:val="34"/>
  </w:num>
  <w:num w:numId="35">
    <w:abstractNumId w:val="24"/>
  </w:num>
  <w:num w:numId="36">
    <w:abstractNumId w:val="41"/>
  </w:num>
  <w:num w:numId="37">
    <w:abstractNumId w:val="20"/>
  </w:num>
  <w:num w:numId="38">
    <w:abstractNumId w:val="27"/>
  </w:num>
  <w:num w:numId="39">
    <w:abstractNumId w:val="19"/>
  </w:num>
  <w:num w:numId="40">
    <w:abstractNumId w:val="12"/>
  </w:num>
  <w:num w:numId="41">
    <w:abstractNumId w:val="32"/>
  </w:num>
  <w:num w:numId="42">
    <w:abstractNumId w:val="8"/>
  </w:num>
  <w:num w:numId="43">
    <w:abstractNumId w:val="13"/>
  </w:num>
  <w:num w:numId="44">
    <w:abstractNumId w:val="4"/>
  </w:num>
  <w:num w:numId="45">
    <w:abstractNumId w:val="3"/>
  </w:num>
  <w:num w:numId="46">
    <w:abstractNumId w:val="5"/>
  </w:num>
  <w:num w:numId="47">
    <w:abstractNumId w:val="6"/>
  </w:num>
  <w:num w:numId="48">
    <w:abstractNumId w:val="15"/>
  </w:num>
  <w:num w:numId="49">
    <w:abstractNumId w:val="0"/>
  </w:num>
  <w:num w:numId="50">
    <w:abstractNumId w:val="33"/>
  </w:num>
  <w:num w:numId="51">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FF"/>
    <w:rsid w:val="00000AE2"/>
    <w:rsid w:val="00000DAD"/>
    <w:rsid w:val="00000F96"/>
    <w:rsid w:val="000019CD"/>
    <w:rsid w:val="00001C56"/>
    <w:rsid w:val="00001FF5"/>
    <w:rsid w:val="000032FC"/>
    <w:rsid w:val="000037D5"/>
    <w:rsid w:val="000047C3"/>
    <w:rsid w:val="000063C5"/>
    <w:rsid w:val="0000648E"/>
    <w:rsid w:val="0000699E"/>
    <w:rsid w:val="0001087B"/>
    <w:rsid w:val="00010DA9"/>
    <w:rsid w:val="00010F14"/>
    <w:rsid w:val="0001108E"/>
    <w:rsid w:val="00011C20"/>
    <w:rsid w:val="00011E3D"/>
    <w:rsid w:val="0001230D"/>
    <w:rsid w:val="00013697"/>
    <w:rsid w:val="000139F9"/>
    <w:rsid w:val="00014701"/>
    <w:rsid w:val="000148D2"/>
    <w:rsid w:val="00016096"/>
    <w:rsid w:val="00016C0D"/>
    <w:rsid w:val="000172A0"/>
    <w:rsid w:val="0001758C"/>
    <w:rsid w:val="00017663"/>
    <w:rsid w:val="000177D5"/>
    <w:rsid w:val="000179D5"/>
    <w:rsid w:val="000208D7"/>
    <w:rsid w:val="00020BF3"/>
    <w:rsid w:val="00020F4F"/>
    <w:rsid w:val="000216B5"/>
    <w:rsid w:val="00021C3A"/>
    <w:rsid w:val="0002277F"/>
    <w:rsid w:val="00022F7E"/>
    <w:rsid w:val="000232CE"/>
    <w:rsid w:val="000242F2"/>
    <w:rsid w:val="000249A3"/>
    <w:rsid w:val="00024EFE"/>
    <w:rsid w:val="00024F98"/>
    <w:rsid w:val="000253A4"/>
    <w:rsid w:val="00025EE5"/>
    <w:rsid w:val="00026904"/>
    <w:rsid w:val="000276E7"/>
    <w:rsid w:val="00030E2B"/>
    <w:rsid w:val="00031979"/>
    <w:rsid w:val="000321D4"/>
    <w:rsid w:val="00033CBE"/>
    <w:rsid w:val="000353FE"/>
    <w:rsid w:val="00037232"/>
    <w:rsid w:val="00037709"/>
    <w:rsid w:val="00041167"/>
    <w:rsid w:val="00041AA5"/>
    <w:rsid w:val="00041EB5"/>
    <w:rsid w:val="00042509"/>
    <w:rsid w:val="00043208"/>
    <w:rsid w:val="0004329F"/>
    <w:rsid w:val="00043E53"/>
    <w:rsid w:val="000445BA"/>
    <w:rsid w:val="00044C25"/>
    <w:rsid w:val="000458C4"/>
    <w:rsid w:val="000462DD"/>
    <w:rsid w:val="00047C89"/>
    <w:rsid w:val="000508A4"/>
    <w:rsid w:val="00051B20"/>
    <w:rsid w:val="00052FBB"/>
    <w:rsid w:val="00054CD7"/>
    <w:rsid w:val="00054F30"/>
    <w:rsid w:val="00055C5A"/>
    <w:rsid w:val="00056DC8"/>
    <w:rsid w:val="00056F76"/>
    <w:rsid w:val="00057882"/>
    <w:rsid w:val="00060523"/>
    <w:rsid w:val="00060BD2"/>
    <w:rsid w:val="00061135"/>
    <w:rsid w:val="00062048"/>
    <w:rsid w:val="00062ACA"/>
    <w:rsid w:val="00063165"/>
    <w:rsid w:val="000635B5"/>
    <w:rsid w:val="000636E0"/>
    <w:rsid w:val="00063710"/>
    <w:rsid w:val="00063A93"/>
    <w:rsid w:val="00063AD8"/>
    <w:rsid w:val="00063DC9"/>
    <w:rsid w:val="00064711"/>
    <w:rsid w:val="000660BC"/>
    <w:rsid w:val="00070208"/>
    <w:rsid w:val="000707F3"/>
    <w:rsid w:val="00071040"/>
    <w:rsid w:val="00071D42"/>
    <w:rsid w:val="000723DF"/>
    <w:rsid w:val="00072A66"/>
    <w:rsid w:val="00073022"/>
    <w:rsid w:val="000732F9"/>
    <w:rsid w:val="000733D2"/>
    <w:rsid w:val="00073D27"/>
    <w:rsid w:val="000744C2"/>
    <w:rsid w:val="0007537B"/>
    <w:rsid w:val="00075421"/>
    <w:rsid w:val="000762BC"/>
    <w:rsid w:val="00076630"/>
    <w:rsid w:val="00076E65"/>
    <w:rsid w:val="000778A7"/>
    <w:rsid w:val="000800F1"/>
    <w:rsid w:val="000813B6"/>
    <w:rsid w:val="0008159F"/>
    <w:rsid w:val="00081930"/>
    <w:rsid w:val="00081F29"/>
    <w:rsid w:val="00083AD4"/>
    <w:rsid w:val="00083BFC"/>
    <w:rsid w:val="000840D9"/>
    <w:rsid w:val="000842AD"/>
    <w:rsid w:val="000843A7"/>
    <w:rsid w:val="00085446"/>
    <w:rsid w:val="0008649F"/>
    <w:rsid w:val="000864AF"/>
    <w:rsid w:val="0008788B"/>
    <w:rsid w:val="0008799B"/>
    <w:rsid w:val="00087B20"/>
    <w:rsid w:val="000905F4"/>
    <w:rsid w:val="00091508"/>
    <w:rsid w:val="00091A7F"/>
    <w:rsid w:val="00092EEB"/>
    <w:rsid w:val="0009342B"/>
    <w:rsid w:val="0009357B"/>
    <w:rsid w:val="0009367F"/>
    <w:rsid w:val="00093869"/>
    <w:rsid w:val="00093BAD"/>
    <w:rsid w:val="00093C23"/>
    <w:rsid w:val="000941E2"/>
    <w:rsid w:val="00094B53"/>
    <w:rsid w:val="00095302"/>
    <w:rsid w:val="00095693"/>
    <w:rsid w:val="000962ED"/>
    <w:rsid w:val="00096B1A"/>
    <w:rsid w:val="00096DCB"/>
    <w:rsid w:val="00096FD5"/>
    <w:rsid w:val="000A045D"/>
    <w:rsid w:val="000A06E3"/>
    <w:rsid w:val="000A06E8"/>
    <w:rsid w:val="000A0BE1"/>
    <w:rsid w:val="000A0FAF"/>
    <w:rsid w:val="000A1636"/>
    <w:rsid w:val="000A16CD"/>
    <w:rsid w:val="000A1B3E"/>
    <w:rsid w:val="000A22AC"/>
    <w:rsid w:val="000A26BF"/>
    <w:rsid w:val="000A27B9"/>
    <w:rsid w:val="000A3538"/>
    <w:rsid w:val="000A35EF"/>
    <w:rsid w:val="000A457C"/>
    <w:rsid w:val="000A49D9"/>
    <w:rsid w:val="000A6119"/>
    <w:rsid w:val="000A721B"/>
    <w:rsid w:val="000A74A7"/>
    <w:rsid w:val="000B180F"/>
    <w:rsid w:val="000B1880"/>
    <w:rsid w:val="000B1CF8"/>
    <w:rsid w:val="000B1E9C"/>
    <w:rsid w:val="000B31E4"/>
    <w:rsid w:val="000B3DD0"/>
    <w:rsid w:val="000B428B"/>
    <w:rsid w:val="000B4B59"/>
    <w:rsid w:val="000B5F56"/>
    <w:rsid w:val="000B6826"/>
    <w:rsid w:val="000B6923"/>
    <w:rsid w:val="000B74EE"/>
    <w:rsid w:val="000C06DA"/>
    <w:rsid w:val="000C0867"/>
    <w:rsid w:val="000C20B6"/>
    <w:rsid w:val="000C2887"/>
    <w:rsid w:val="000C2F87"/>
    <w:rsid w:val="000C307C"/>
    <w:rsid w:val="000C37F3"/>
    <w:rsid w:val="000C408E"/>
    <w:rsid w:val="000C5CD5"/>
    <w:rsid w:val="000C633C"/>
    <w:rsid w:val="000D13FC"/>
    <w:rsid w:val="000D1A27"/>
    <w:rsid w:val="000D2D31"/>
    <w:rsid w:val="000D40F1"/>
    <w:rsid w:val="000D4E32"/>
    <w:rsid w:val="000D51E9"/>
    <w:rsid w:val="000D5861"/>
    <w:rsid w:val="000D58CC"/>
    <w:rsid w:val="000D7348"/>
    <w:rsid w:val="000D777E"/>
    <w:rsid w:val="000D778E"/>
    <w:rsid w:val="000D7CDF"/>
    <w:rsid w:val="000E0827"/>
    <w:rsid w:val="000E0F65"/>
    <w:rsid w:val="000E208F"/>
    <w:rsid w:val="000E2770"/>
    <w:rsid w:val="000E37A3"/>
    <w:rsid w:val="000E3C59"/>
    <w:rsid w:val="000E4963"/>
    <w:rsid w:val="000E5AA8"/>
    <w:rsid w:val="000E605C"/>
    <w:rsid w:val="000E7110"/>
    <w:rsid w:val="000F16F7"/>
    <w:rsid w:val="000F1B9D"/>
    <w:rsid w:val="000F290E"/>
    <w:rsid w:val="000F314E"/>
    <w:rsid w:val="000F4138"/>
    <w:rsid w:val="000F4538"/>
    <w:rsid w:val="000F4D86"/>
    <w:rsid w:val="000F512C"/>
    <w:rsid w:val="000F5595"/>
    <w:rsid w:val="000F5627"/>
    <w:rsid w:val="000F564C"/>
    <w:rsid w:val="000F5AD8"/>
    <w:rsid w:val="000F76D1"/>
    <w:rsid w:val="000F7DCD"/>
    <w:rsid w:val="0010001B"/>
    <w:rsid w:val="00100486"/>
    <w:rsid w:val="0010079F"/>
    <w:rsid w:val="00100A05"/>
    <w:rsid w:val="00100FEE"/>
    <w:rsid w:val="0010148D"/>
    <w:rsid w:val="0010248B"/>
    <w:rsid w:val="00102B4F"/>
    <w:rsid w:val="00103B17"/>
    <w:rsid w:val="00103FF7"/>
    <w:rsid w:val="0010415E"/>
    <w:rsid w:val="00104A17"/>
    <w:rsid w:val="00105D19"/>
    <w:rsid w:val="00106389"/>
    <w:rsid w:val="00106D1D"/>
    <w:rsid w:val="00107B67"/>
    <w:rsid w:val="00110678"/>
    <w:rsid w:val="001155B1"/>
    <w:rsid w:val="00115D37"/>
    <w:rsid w:val="00116299"/>
    <w:rsid w:val="001165D9"/>
    <w:rsid w:val="00116B7D"/>
    <w:rsid w:val="001178E0"/>
    <w:rsid w:val="00120FF1"/>
    <w:rsid w:val="001212F9"/>
    <w:rsid w:val="00121AEA"/>
    <w:rsid w:val="00122459"/>
    <w:rsid w:val="001229CD"/>
    <w:rsid w:val="0012334C"/>
    <w:rsid w:val="001233A2"/>
    <w:rsid w:val="001236B5"/>
    <w:rsid w:val="001236D8"/>
    <w:rsid w:val="00125282"/>
    <w:rsid w:val="0012543E"/>
    <w:rsid w:val="00125B79"/>
    <w:rsid w:val="00125B7C"/>
    <w:rsid w:val="001272A6"/>
    <w:rsid w:val="00127D56"/>
    <w:rsid w:val="0013092F"/>
    <w:rsid w:val="00132B62"/>
    <w:rsid w:val="00133769"/>
    <w:rsid w:val="001337F5"/>
    <w:rsid w:val="001347EE"/>
    <w:rsid w:val="00135906"/>
    <w:rsid w:val="00136F70"/>
    <w:rsid w:val="00137E2A"/>
    <w:rsid w:val="00140459"/>
    <w:rsid w:val="00141066"/>
    <w:rsid w:val="0014129B"/>
    <w:rsid w:val="001416D1"/>
    <w:rsid w:val="0014224E"/>
    <w:rsid w:val="00142825"/>
    <w:rsid w:val="00142F05"/>
    <w:rsid w:val="00143207"/>
    <w:rsid w:val="0014357B"/>
    <w:rsid w:val="00143C2B"/>
    <w:rsid w:val="00145880"/>
    <w:rsid w:val="00146267"/>
    <w:rsid w:val="00146424"/>
    <w:rsid w:val="00146856"/>
    <w:rsid w:val="00146E25"/>
    <w:rsid w:val="0014742A"/>
    <w:rsid w:val="001475E7"/>
    <w:rsid w:val="00150030"/>
    <w:rsid w:val="00151011"/>
    <w:rsid w:val="0015128C"/>
    <w:rsid w:val="00151336"/>
    <w:rsid w:val="00153CA7"/>
    <w:rsid w:val="00154673"/>
    <w:rsid w:val="00154DE7"/>
    <w:rsid w:val="001554D2"/>
    <w:rsid w:val="00155628"/>
    <w:rsid w:val="00156015"/>
    <w:rsid w:val="001577B3"/>
    <w:rsid w:val="00157AFA"/>
    <w:rsid w:val="00157E00"/>
    <w:rsid w:val="00160352"/>
    <w:rsid w:val="00160DFF"/>
    <w:rsid w:val="001611FF"/>
    <w:rsid w:val="001614F5"/>
    <w:rsid w:val="0016193E"/>
    <w:rsid w:val="00161A24"/>
    <w:rsid w:val="0016238A"/>
    <w:rsid w:val="00163A73"/>
    <w:rsid w:val="00163B71"/>
    <w:rsid w:val="00164D32"/>
    <w:rsid w:val="00165055"/>
    <w:rsid w:val="0016557C"/>
    <w:rsid w:val="0016599F"/>
    <w:rsid w:val="00165AE1"/>
    <w:rsid w:val="001667BD"/>
    <w:rsid w:val="00166EBB"/>
    <w:rsid w:val="0017080D"/>
    <w:rsid w:val="00170C2C"/>
    <w:rsid w:val="00171BFB"/>
    <w:rsid w:val="00171DB0"/>
    <w:rsid w:val="0017251F"/>
    <w:rsid w:val="00172E2A"/>
    <w:rsid w:val="00173C66"/>
    <w:rsid w:val="0017458A"/>
    <w:rsid w:val="001746F1"/>
    <w:rsid w:val="0017553D"/>
    <w:rsid w:val="00176E64"/>
    <w:rsid w:val="0017724C"/>
    <w:rsid w:val="00177F56"/>
    <w:rsid w:val="0018002F"/>
    <w:rsid w:val="0018153B"/>
    <w:rsid w:val="00183454"/>
    <w:rsid w:val="001835A1"/>
    <w:rsid w:val="001845A3"/>
    <w:rsid w:val="00184639"/>
    <w:rsid w:val="00184CAD"/>
    <w:rsid w:val="00184FB5"/>
    <w:rsid w:val="00186848"/>
    <w:rsid w:val="00186C9F"/>
    <w:rsid w:val="00186FEB"/>
    <w:rsid w:val="00187107"/>
    <w:rsid w:val="00187935"/>
    <w:rsid w:val="00191A96"/>
    <w:rsid w:val="00192D00"/>
    <w:rsid w:val="0019436E"/>
    <w:rsid w:val="001947BF"/>
    <w:rsid w:val="00194BA1"/>
    <w:rsid w:val="001954EA"/>
    <w:rsid w:val="00196005"/>
    <w:rsid w:val="001968E6"/>
    <w:rsid w:val="00196B91"/>
    <w:rsid w:val="00196CC1"/>
    <w:rsid w:val="001978D1"/>
    <w:rsid w:val="00197BB6"/>
    <w:rsid w:val="001A0664"/>
    <w:rsid w:val="001A0F92"/>
    <w:rsid w:val="001A1A0B"/>
    <w:rsid w:val="001A1A0D"/>
    <w:rsid w:val="001A1B0E"/>
    <w:rsid w:val="001A2DDA"/>
    <w:rsid w:val="001A3FCA"/>
    <w:rsid w:val="001A5222"/>
    <w:rsid w:val="001A561D"/>
    <w:rsid w:val="001A5699"/>
    <w:rsid w:val="001A5773"/>
    <w:rsid w:val="001A672C"/>
    <w:rsid w:val="001A71C7"/>
    <w:rsid w:val="001B0AF4"/>
    <w:rsid w:val="001B0C55"/>
    <w:rsid w:val="001B0C74"/>
    <w:rsid w:val="001B1092"/>
    <w:rsid w:val="001B120D"/>
    <w:rsid w:val="001B1E4A"/>
    <w:rsid w:val="001B2162"/>
    <w:rsid w:val="001B3BFE"/>
    <w:rsid w:val="001B3DD2"/>
    <w:rsid w:val="001B46BD"/>
    <w:rsid w:val="001B53F2"/>
    <w:rsid w:val="001B544B"/>
    <w:rsid w:val="001B6068"/>
    <w:rsid w:val="001B612D"/>
    <w:rsid w:val="001B69A3"/>
    <w:rsid w:val="001B77D3"/>
    <w:rsid w:val="001C0341"/>
    <w:rsid w:val="001C0D3A"/>
    <w:rsid w:val="001C1283"/>
    <w:rsid w:val="001C12A6"/>
    <w:rsid w:val="001C1326"/>
    <w:rsid w:val="001C2242"/>
    <w:rsid w:val="001C2F0D"/>
    <w:rsid w:val="001C424C"/>
    <w:rsid w:val="001C42FB"/>
    <w:rsid w:val="001C4FCB"/>
    <w:rsid w:val="001C592F"/>
    <w:rsid w:val="001C616C"/>
    <w:rsid w:val="001C7723"/>
    <w:rsid w:val="001D113C"/>
    <w:rsid w:val="001D1AC6"/>
    <w:rsid w:val="001D1B54"/>
    <w:rsid w:val="001D3048"/>
    <w:rsid w:val="001D32E2"/>
    <w:rsid w:val="001D4701"/>
    <w:rsid w:val="001D4761"/>
    <w:rsid w:val="001D61F6"/>
    <w:rsid w:val="001D7190"/>
    <w:rsid w:val="001D7401"/>
    <w:rsid w:val="001D7510"/>
    <w:rsid w:val="001D78B2"/>
    <w:rsid w:val="001E05E5"/>
    <w:rsid w:val="001E08EA"/>
    <w:rsid w:val="001E19A1"/>
    <w:rsid w:val="001E32B5"/>
    <w:rsid w:val="001E3712"/>
    <w:rsid w:val="001E37B3"/>
    <w:rsid w:val="001E4427"/>
    <w:rsid w:val="001E4A64"/>
    <w:rsid w:val="001E5263"/>
    <w:rsid w:val="001E5366"/>
    <w:rsid w:val="001E5B1D"/>
    <w:rsid w:val="001E6198"/>
    <w:rsid w:val="001E6562"/>
    <w:rsid w:val="001E6775"/>
    <w:rsid w:val="001E69B8"/>
    <w:rsid w:val="001E6D7D"/>
    <w:rsid w:val="001E6D80"/>
    <w:rsid w:val="001E6E71"/>
    <w:rsid w:val="001E72E6"/>
    <w:rsid w:val="001E73CD"/>
    <w:rsid w:val="001E775D"/>
    <w:rsid w:val="001E786D"/>
    <w:rsid w:val="001E7BD0"/>
    <w:rsid w:val="001F0B7D"/>
    <w:rsid w:val="001F0D14"/>
    <w:rsid w:val="001F0FE5"/>
    <w:rsid w:val="001F182D"/>
    <w:rsid w:val="001F29EB"/>
    <w:rsid w:val="001F3F10"/>
    <w:rsid w:val="001F46C7"/>
    <w:rsid w:val="001F4EC2"/>
    <w:rsid w:val="001F572E"/>
    <w:rsid w:val="001F5F0B"/>
    <w:rsid w:val="001F749D"/>
    <w:rsid w:val="001F7AD1"/>
    <w:rsid w:val="002000D5"/>
    <w:rsid w:val="00200DBC"/>
    <w:rsid w:val="0020113A"/>
    <w:rsid w:val="0020144A"/>
    <w:rsid w:val="0020264B"/>
    <w:rsid w:val="00202D2D"/>
    <w:rsid w:val="002046A1"/>
    <w:rsid w:val="002049E0"/>
    <w:rsid w:val="00204A2F"/>
    <w:rsid w:val="002052A9"/>
    <w:rsid w:val="002052EB"/>
    <w:rsid w:val="00206D3F"/>
    <w:rsid w:val="00206E6C"/>
    <w:rsid w:val="00207052"/>
    <w:rsid w:val="002071F4"/>
    <w:rsid w:val="0021007B"/>
    <w:rsid w:val="00210426"/>
    <w:rsid w:val="002104C7"/>
    <w:rsid w:val="00210FD3"/>
    <w:rsid w:val="0021169E"/>
    <w:rsid w:val="0021191A"/>
    <w:rsid w:val="00211EBF"/>
    <w:rsid w:val="00212ECD"/>
    <w:rsid w:val="00214DBC"/>
    <w:rsid w:val="0021551C"/>
    <w:rsid w:val="00216135"/>
    <w:rsid w:val="00216E6C"/>
    <w:rsid w:val="0021760B"/>
    <w:rsid w:val="00217C9D"/>
    <w:rsid w:val="00220CB6"/>
    <w:rsid w:val="00221D14"/>
    <w:rsid w:val="0022213C"/>
    <w:rsid w:val="00222FD8"/>
    <w:rsid w:val="002243EF"/>
    <w:rsid w:val="0022478D"/>
    <w:rsid w:val="00224B9A"/>
    <w:rsid w:val="00225143"/>
    <w:rsid w:val="0022581D"/>
    <w:rsid w:val="00226B2A"/>
    <w:rsid w:val="00226D0B"/>
    <w:rsid w:val="00226F12"/>
    <w:rsid w:val="0023010A"/>
    <w:rsid w:val="00230657"/>
    <w:rsid w:val="00232E48"/>
    <w:rsid w:val="002344D6"/>
    <w:rsid w:val="002347AE"/>
    <w:rsid w:val="00234ACF"/>
    <w:rsid w:val="00234F8F"/>
    <w:rsid w:val="002355A7"/>
    <w:rsid w:val="002359C4"/>
    <w:rsid w:val="002360CA"/>
    <w:rsid w:val="002369A6"/>
    <w:rsid w:val="00236BC9"/>
    <w:rsid w:val="00236C44"/>
    <w:rsid w:val="00236DE6"/>
    <w:rsid w:val="002373AA"/>
    <w:rsid w:val="00237768"/>
    <w:rsid w:val="0024002D"/>
    <w:rsid w:val="00240806"/>
    <w:rsid w:val="00240B10"/>
    <w:rsid w:val="00241152"/>
    <w:rsid w:val="00241DC4"/>
    <w:rsid w:val="0024220A"/>
    <w:rsid w:val="002429DE"/>
    <w:rsid w:val="00243155"/>
    <w:rsid w:val="002432E4"/>
    <w:rsid w:val="00243758"/>
    <w:rsid w:val="00243F67"/>
    <w:rsid w:val="00245089"/>
    <w:rsid w:val="002450E2"/>
    <w:rsid w:val="00245956"/>
    <w:rsid w:val="00245CF9"/>
    <w:rsid w:val="002465D2"/>
    <w:rsid w:val="00250AFB"/>
    <w:rsid w:val="002510A0"/>
    <w:rsid w:val="00251329"/>
    <w:rsid w:val="00251BC8"/>
    <w:rsid w:val="002520B0"/>
    <w:rsid w:val="002527AC"/>
    <w:rsid w:val="00252BD9"/>
    <w:rsid w:val="002540F1"/>
    <w:rsid w:val="002549A4"/>
    <w:rsid w:val="00254DE7"/>
    <w:rsid w:val="00255F4F"/>
    <w:rsid w:val="0025614E"/>
    <w:rsid w:val="00256A9C"/>
    <w:rsid w:val="002578EE"/>
    <w:rsid w:val="00261E36"/>
    <w:rsid w:val="00262208"/>
    <w:rsid w:val="002627A4"/>
    <w:rsid w:val="00263B19"/>
    <w:rsid w:val="00264CD0"/>
    <w:rsid w:val="00265603"/>
    <w:rsid w:val="00265C75"/>
    <w:rsid w:val="00266504"/>
    <w:rsid w:val="00267035"/>
    <w:rsid w:val="0026750B"/>
    <w:rsid w:val="00267607"/>
    <w:rsid w:val="0026782D"/>
    <w:rsid w:val="00267AC6"/>
    <w:rsid w:val="0027002B"/>
    <w:rsid w:val="002700E5"/>
    <w:rsid w:val="00270E33"/>
    <w:rsid w:val="002713B1"/>
    <w:rsid w:val="002713F6"/>
    <w:rsid w:val="002715E8"/>
    <w:rsid w:val="00271FE8"/>
    <w:rsid w:val="00272034"/>
    <w:rsid w:val="002721DD"/>
    <w:rsid w:val="002729AD"/>
    <w:rsid w:val="00272E64"/>
    <w:rsid w:val="00273314"/>
    <w:rsid w:val="00273AE9"/>
    <w:rsid w:val="00273D5B"/>
    <w:rsid w:val="00275145"/>
    <w:rsid w:val="0027536F"/>
    <w:rsid w:val="002760AA"/>
    <w:rsid w:val="00276611"/>
    <w:rsid w:val="002772F6"/>
    <w:rsid w:val="00281500"/>
    <w:rsid w:val="00281C63"/>
    <w:rsid w:val="0028375D"/>
    <w:rsid w:val="00283BDF"/>
    <w:rsid w:val="00284750"/>
    <w:rsid w:val="0028508D"/>
    <w:rsid w:val="0028653F"/>
    <w:rsid w:val="00286C03"/>
    <w:rsid w:val="00286D9E"/>
    <w:rsid w:val="002871AC"/>
    <w:rsid w:val="002902ED"/>
    <w:rsid w:val="00290AA9"/>
    <w:rsid w:val="0029165C"/>
    <w:rsid w:val="002916B5"/>
    <w:rsid w:val="0029212C"/>
    <w:rsid w:val="002924DC"/>
    <w:rsid w:val="0029258A"/>
    <w:rsid w:val="002928B1"/>
    <w:rsid w:val="002929DE"/>
    <w:rsid w:val="002940B0"/>
    <w:rsid w:val="00294262"/>
    <w:rsid w:val="0029448F"/>
    <w:rsid w:val="00294769"/>
    <w:rsid w:val="00294A5C"/>
    <w:rsid w:val="0029533E"/>
    <w:rsid w:val="0029563E"/>
    <w:rsid w:val="00296262"/>
    <w:rsid w:val="0029678F"/>
    <w:rsid w:val="002A000F"/>
    <w:rsid w:val="002A0C0A"/>
    <w:rsid w:val="002A0D12"/>
    <w:rsid w:val="002A0FAA"/>
    <w:rsid w:val="002A278E"/>
    <w:rsid w:val="002A3278"/>
    <w:rsid w:val="002A3711"/>
    <w:rsid w:val="002A3F7C"/>
    <w:rsid w:val="002A42DA"/>
    <w:rsid w:val="002A4FA3"/>
    <w:rsid w:val="002A51AB"/>
    <w:rsid w:val="002A530B"/>
    <w:rsid w:val="002A6B75"/>
    <w:rsid w:val="002A6D59"/>
    <w:rsid w:val="002A7063"/>
    <w:rsid w:val="002A787A"/>
    <w:rsid w:val="002B1132"/>
    <w:rsid w:val="002B2610"/>
    <w:rsid w:val="002B2AE4"/>
    <w:rsid w:val="002B30B2"/>
    <w:rsid w:val="002B3302"/>
    <w:rsid w:val="002B3A31"/>
    <w:rsid w:val="002B3DEB"/>
    <w:rsid w:val="002B3F49"/>
    <w:rsid w:val="002B43B0"/>
    <w:rsid w:val="002B49A5"/>
    <w:rsid w:val="002B53C5"/>
    <w:rsid w:val="002B5C49"/>
    <w:rsid w:val="002B675B"/>
    <w:rsid w:val="002B77EE"/>
    <w:rsid w:val="002B79B6"/>
    <w:rsid w:val="002C21EF"/>
    <w:rsid w:val="002C23F8"/>
    <w:rsid w:val="002C3304"/>
    <w:rsid w:val="002C6474"/>
    <w:rsid w:val="002C7337"/>
    <w:rsid w:val="002D0531"/>
    <w:rsid w:val="002D1898"/>
    <w:rsid w:val="002D1914"/>
    <w:rsid w:val="002D1EA7"/>
    <w:rsid w:val="002D24C6"/>
    <w:rsid w:val="002D2B1B"/>
    <w:rsid w:val="002D2E63"/>
    <w:rsid w:val="002D3AE6"/>
    <w:rsid w:val="002D49E8"/>
    <w:rsid w:val="002D6358"/>
    <w:rsid w:val="002D6BCF"/>
    <w:rsid w:val="002D7538"/>
    <w:rsid w:val="002D7C0E"/>
    <w:rsid w:val="002E0313"/>
    <w:rsid w:val="002E1399"/>
    <w:rsid w:val="002E14E0"/>
    <w:rsid w:val="002E1C62"/>
    <w:rsid w:val="002E1F0F"/>
    <w:rsid w:val="002E2129"/>
    <w:rsid w:val="002E21C4"/>
    <w:rsid w:val="002E255D"/>
    <w:rsid w:val="002E301D"/>
    <w:rsid w:val="002E32F7"/>
    <w:rsid w:val="002E3B61"/>
    <w:rsid w:val="002E3F00"/>
    <w:rsid w:val="002E4C09"/>
    <w:rsid w:val="002E6377"/>
    <w:rsid w:val="002E7C7B"/>
    <w:rsid w:val="002F1AE1"/>
    <w:rsid w:val="002F2049"/>
    <w:rsid w:val="002F2271"/>
    <w:rsid w:val="002F2318"/>
    <w:rsid w:val="002F3641"/>
    <w:rsid w:val="002F3779"/>
    <w:rsid w:val="002F4166"/>
    <w:rsid w:val="002F4A86"/>
    <w:rsid w:val="002F4E2A"/>
    <w:rsid w:val="002F5D52"/>
    <w:rsid w:val="002F612D"/>
    <w:rsid w:val="002F6BD8"/>
    <w:rsid w:val="002F70EF"/>
    <w:rsid w:val="002F728B"/>
    <w:rsid w:val="002F7605"/>
    <w:rsid w:val="002F7C9F"/>
    <w:rsid w:val="003014FA"/>
    <w:rsid w:val="00302233"/>
    <w:rsid w:val="003023E0"/>
    <w:rsid w:val="00303C34"/>
    <w:rsid w:val="003045BD"/>
    <w:rsid w:val="00304923"/>
    <w:rsid w:val="00304A92"/>
    <w:rsid w:val="00304FF8"/>
    <w:rsid w:val="003053F7"/>
    <w:rsid w:val="00305CC1"/>
    <w:rsid w:val="00306100"/>
    <w:rsid w:val="00306C9B"/>
    <w:rsid w:val="003070F8"/>
    <w:rsid w:val="0030728A"/>
    <w:rsid w:val="00307514"/>
    <w:rsid w:val="003106C7"/>
    <w:rsid w:val="00312526"/>
    <w:rsid w:val="00312C28"/>
    <w:rsid w:val="0031333B"/>
    <w:rsid w:val="00313357"/>
    <w:rsid w:val="003142BA"/>
    <w:rsid w:val="003159BA"/>
    <w:rsid w:val="00315E10"/>
    <w:rsid w:val="00316307"/>
    <w:rsid w:val="00316678"/>
    <w:rsid w:val="00316872"/>
    <w:rsid w:val="003170F1"/>
    <w:rsid w:val="00317635"/>
    <w:rsid w:val="00320134"/>
    <w:rsid w:val="003202FE"/>
    <w:rsid w:val="00320379"/>
    <w:rsid w:val="003205EE"/>
    <w:rsid w:val="00320954"/>
    <w:rsid w:val="00320A5B"/>
    <w:rsid w:val="00321861"/>
    <w:rsid w:val="00322408"/>
    <w:rsid w:val="0032261A"/>
    <w:rsid w:val="00322B63"/>
    <w:rsid w:val="00322CF8"/>
    <w:rsid w:val="00323A09"/>
    <w:rsid w:val="0032475B"/>
    <w:rsid w:val="00324BBC"/>
    <w:rsid w:val="00325BC2"/>
    <w:rsid w:val="00326020"/>
    <w:rsid w:val="00326CCE"/>
    <w:rsid w:val="00326ECF"/>
    <w:rsid w:val="003277A6"/>
    <w:rsid w:val="00330560"/>
    <w:rsid w:val="0033090E"/>
    <w:rsid w:val="00330BC7"/>
    <w:rsid w:val="00331451"/>
    <w:rsid w:val="00331CEE"/>
    <w:rsid w:val="00332939"/>
    <w:rsid w:val="0033373E"/>
    <w:rsid w:val="00333756"/>
    <w:rsid w:val="003348D7"/>
    <w:rsid w:val="0033553F"/>
    <w:rsid w:val="0033622A"/>
    <w:rsid w:val="00336606"/>
    <w:rsid w:val="0033756F"/>
    <w:rsid w:val="00337B2C"/>
    <w:rsid w:val="003400FC"/>
    <w:rsid w:val="00340BCD"/>
    <w:rsid w:val="00340EE8"/>
    <w:rsid w:val="003412B2"/>
    <w:rsid w:val="003415B3"/>
    <w:rsid w:val="003418B4"/>
    <w:rsid w:val="0034356B"/>
    <w:rsid w:val="00344FB1"/>
    <w:rsid w:val="00345342"/>
    <w:rsid w:val="00345582"/>
    <w:rsid w:val="0034592F"/>
    <w:rsid w:val="00345B09"/>
    <w:rsid w:val="00346611"/>
    <w:rsid w:val="00346796"/>
    <w:rsid w:val="00346B85"/>
    <w:rsid w:val="00347052"/>
    <w:rsid w:val="00347932"/>
    <w:rsid w:val="00351BF2"/>
    <w:rsid w:val="003523EC"/>
    <w:rsid w:val="00352417"/>
    <w:rsid w:val="00352F31"/>
    <w:rsid w:val="00353271"/>
    <w:rsid w:val="0035428D"/>
    <w:rsid w:val="003544A9"/>
    <w:rsid w:val="00355E28"/>
    <w:rsid w:val="00356129"/>
    <w:rsid w:val="003576FF"/>
    <w:rsid w:val="00361747"/>
    <w:rsid w:val="0036319A"/>
    <w:rsid w:val="003645BF"/>
    <w:rsid w:val="00364C62"/>
    <w:rsid w:val="00366F05"/>
    <w:rsid w:val="00367001"/>
    <w:rsid w:val="0036713D"/>
    <w:rsid w:val="003678E4"/>
    <w:rsid w:val="00367A8A"/>
    <w:rsid w:val="0037035A"/>
    <w:rsid w:val="003708DF"/>
    <w:rsid w:val="003724D2"/>
    <w:rsid w:val="00373A6F"/>
    <w:rsid w:val="00375205"/>
    <w:rsid w:val="003758B5"/>
    <w:rsid w:val="003802F2"/>
    <w:rsid w:val="00380635"/>
    <w:rsid w:val="00380E29"/>
    <w:rsid w:val="003819CB"/>
    <w:rsid w:val="00382387"/>
    <w:rsid w:val="00382482"/>
    <w:rsid w:val="00382F99"/>
    <w:rsid w:val="00384694"/>
    <w:rsid w:val="00385A1B"/>
    <w:rsid w:val="0038628B"/>
    <w:rsid w:val="00386F43"/>
    <w:rsid w:val="00386FC4"/>
    <w:rsid w:val="0038733E"/>
    <w:rsid w:val="003879A0"/>
    <w:rsid w:val="00390088"/>
    <w:rsid w:val="0039074E"/>
    <w:rsid w:val="003915AD"/>
    <w:rsid w:val="00391DA0"/>
    <w:rsid w:val="0039271F"/>
    <w:rsid w:val="003927AE"/>
    <w:rsid w:val="00393328"/>
    <w:rsid w:val="0039337A"/>
    <w:rsid w:val="003934C9"/>
    <w:rsid w:val="0039397A"/>
    <w:rsid w:val="003939D8"/>
    <w:rsid w:val="00393E25"/>
    <w:rsid w:val="00393E53"/>
    <w:rsid w:val="00394612"/>
    <w:rsid w:val="00394F98"/>
    <w:rsid w:val="003951A6"/>
    <w:rsid w:val="00395F79"/>
    <w:rsid w:val="0039676E"/>
    <w:rsid w:val="003968BF"/>
    <w:rsid w:val="003979D0"/>
    <w:rsid w:val="00397C02"/>
    <w:rsid w:val="003A031E"/>
    <w:rsid w:val="003A0604"/>
    <w:rsid w:val="003A0A0D"/>
    <w:rsid w:val="003A0D29"/>
    <w:rsid w:val="003A1316"/>
    <w:rsid w:val="003A152D"/>
    <w:rsid w:val="003A22C4"/>
    <w:rsid w:val="003A26DA"/>
    <w:rsid w:val="003A2C7E"/>
    <w:rsid w:val="003A3879"/>
    <w:rsid w:val="003A479B"/>
    <w:rsid w:val="003A4ABC"/>
    <w:rsid w:val="003A598F"/>
    <w:rsid w:val="003A671F"/>
    <w:rsid w:val="003A70B5"/>
    <w:rsid w:val="003A7508"/>
    <w:rsid w:val="003B0931"/>
    <w:rsid w:val="003B1D2D"/>
    <w:rsid w:val="003B2D2A"/>
    <w:rsid w:val="003B3814"/>
    <w:rsid w:val="003B4C77"/>
    <w:rsid w:val="003B5A72"/>
    <w:rsid w:val="003B5AE6"/>
    <w:rsid w:val="003B5C2E"/>
    <w:rsid w:val="003B7776"/>
    <w:rsid w:val="003B7BD1"/>
    <w:rsid w:val="003C04A7"/>
    <w:rsid w:val="003C1E40"/>
    <w:rsid w:val="003C2C76"/>
    <w:rsid w:val="003C30CD"/>
    <w:rsid w:val="003C3475"/>
    <w:rsid w:val="003C3926"/>
    <w:rsid w:val="003C46A8"/>
    <w:rsid w:val="003C48CB"/>
    <w:rsid w:val="003C5BEF"/>
    <w:rsid w:val="003D062B"/>
    <w:rsid w:val="003D06AC"/>
    <w:rsid w:val="003D0764"/>
    <w:rsid w:val="003D091A"/>
    <w:rsid w:val="003D0AE4"/>
    <w:rsid w:val="003D129B"/>
    <w:rsid w:val="003D1559"/>
    <w:rsid w:val="003D2C1E"/>
    <w:rsid w:val="003D3770"/>
    <w:rsid w:val="003D496B"/>
    <w:rsid w:val="003D4E56"/>
    <w:rsid w:val="003D53DF"/>
    <w:rsid w:val="003D611E"/>
    <w:rsid w:val="003E0119"/>
    <w:rsid w:val="003E0917"/>
    <w:rsid w:val="003E0B32"/>
    <w:rsid w:val="003E147B"/>
    <w:rsid w:val="003E1C91"/>
    <w:rsid w:val="003E1E23"/>
    <w:rsid w:val="003E3230"/>
    <w:rsid w:val="003E3286"/>
    <w:rsid w:val="003E5221"/>
    <w:rsid w:val="003E67BB"/>
    <w:rsid w:val="003F00B8"/>
    <w:rsid w:val="003F033C"/>
    <w:rsid w:val="003F0C16"/>
    <w:rsid w:val="003F3117"/>
    <w:rsid w:val="003F346F"/>
    <w:rsid w:val="003F3AAE"/>
    <w:rsid w:val="003F3FAC"/>
    <w:rsid w:val="003F445B"/>
    <w:rsid w:val="003F46B1"/>
    <w:rsid w:val="003F4B6D"/>
    <w:rsid w:val="003F5100"/>
    <w:rsid w:val="003F511C"/>
    <w:rsid w:val="003F6494"/>
    <w:rsid w:val="003F6BED"/>
    <w:rsid w:val="003F7E6C"/>
    <w:rsid w:val="003F7ECE"/>
    <w:rsid w:val="00400453"/>
    <w:rsid w:val="00400CD0"/>
    <w:rsid w:val="00400D13"/>
    <w:rsid w:val="00401C2C"/>
    <w:rsid w:val="004028F3"/>
    <w:rsid w:val="00403233"/>
    <w:rsid w:val="0040450B"/>
    <w:rsid w:val="004045EF"/>
    <w:rsid w:val="004047BE"/>
    <w:rsid w:val="004049CB"/>
    <w:rsid w:val="00405195"/>
    <w:rsid w:val="0040569B"/>
    <w:rsid w:val="00405801"/>
    <w:rsid w:val="004058C1"/>
    <w:rsid w:val="00406347"/>
    <w:rsid w:val="004072EE"/>
    <w:rsid w:val="00407F3F"/>
    <w:rsid w:val="0041037A"/>
    <w:rsid w:val="00410A48"/>
    <w:rsid w:val="00410F16"/>
    <w:rsid w:val="0041105A"/>
    <w:rsid w:val="0041151F"/>
    <w:rsid w:val="00411656"/>
    <w:rsid w:val="004119C2"/>
    <w:rsid w:val="00411CB4"/>
    <w:rsid w:val="00411F44"/>
    <w:rsid w:val="00414009"/>
    <w:rsid w:val="0041472B"/>
    <w:rsid w:val="00415B23"/>
    <w:rsid w:val="00415BCD"/>
    <w:rsid w:val="0041600F"/>
    <w:rsid w:val="00417BA3"/>
    <w:rsid w:val="00417BEF"/>
    <w:rsid w:val="00417CB9"/>
    <w:rsid w:val="00417D45"/>
    <w:rsid w:val="004210F4"/>
    <w:rsid w:val="00421596"/>
    <w:rsid w:val="00421BAB"/>
    <w:rsid w:val="00421ED6"/>
    <w:rsid w:val="00423172"/>
    <w:rsid w:val="00424EA6"/>
    <w:rsid w:val="0042504E"/>
    <w:rsid w:val="00425249"/>
    <w:rsid w:val="0042645C"/>
    <w:rsid w:val="00426CB0"/>
    <w:rsid w:val="00427A66"/>
    <w:rsid w:val="00430223"/>
    <w:rsid w:val="0043052E"/>
    <w:rsid w:val="00430C28"/>
    <w:rsid w:val="004311A6"/>
    <w:rsid w:val="00431DB0"/>
    <w:rsid w:val="00432046"/>
    <w:rsid w:val="00432258"/>
    <w:rsid w:val="004323CA"/>
    <w:rsid w:val="004329E9"/>
    <w:rsid w:val="00432AF5"/>
    <w:rsid w:val="004333AB"/>
    <w:rsid w:val="00436918"/>
    <w:rsid w:val="004373B9"/>
    <w:rsid w:val="004404D1"/>
    <w:rsid w:val="004406D9"/>
    <w:rsid w:val="00441AF3"/>
    <w:rsid w:val="004452AB"/>
    <w:rsid w:val="004456D8"/>
    <w:rsid w:val="00446942"/>
    <w:rsid w:val="00446F71"/>
    <w:rsid w:val="004508B4"/>
    <w:rsid w:val="00450B45"/>
    <w:rsid w:val="00450F24"/>
    <w:rsid w:val="00451026"/>
    <w:rsid w:val="00452933"/>
    <w:rsid w:val="004541AD"/>
    <w:rsid w:val="00454C84"/>
    <w:rsid w:val="004550DA"/>
    <w:rsid w:val="00455605"/>
    <w:rsid w:val="0045708F"/>
    <w:rsid w:val="004573F5"/>
    <w:rsid w:val="00460463"/>
    <w:rsid w:val="00460891"/>
    <w:rsid w:val="00461A55"/>
    <w:rsid w:val="00461BE9"/>
    <w:rsid w:val="0046208B"/>
    <w:rsid w:val="0046265A"/>
    <w:rsid w:val="00462B97"/>
    <w:rsid w:val="00462FCC"/>
    <w:rsid w:val="004632B2"/>
    <w:rsid w:val="00463C39"/>
    <w:rsid w:val="004643DF"/>
    <w:rsid w:val="00464832"/>
    <w:rsid w:val="00464993"/>
    <w:rsid w:val="00464A15"/>
    <w:rsid w:val="004651B3"/>
    <w:rsid w:val="0046568D"/>
    <w:rsid w:val="00465C71"/>
    <w:rsid w:val="00467C05"/>
    <w:rsid w:val="00467C28"/>
    <w:rsid w:val="00467E1F"/>
    <w:rsid w:val="00470562"/>
    <w:rsid w:val="004710C3"/>
    <w:rsid w:val="0047159E"/>
    <w:rsid w:val="0047185E"/>
    <w:rsid w:val="00472C3E"/>
    <w:rsid w:val="00472C7B"/>
    <w:rsid w:val="004734B8"/>
    <w:rsid w:val="0047410A"/>
    <w:rsid w:val="004747A9"/>
    <w:rsid w:val="00474A03"/>
    <w:rsid w:val="00475402"/>
    <w:rsid w:val="00475601"/>
    <w:rsid w:val="00475A42"/>
    <w:rsid w:val="00475EE8"/>
    <w:rsid w:val="00476A00"/>
    <w:rsid w:val="00476BB8"/>
    <w:rsid w:val="004814D2"/>
    <w:rsid w:val="00481BC4"/>
    <w:rsid w:val="00481E22"/>
    <w:rsid w:val="00483002"/>
    <w:rsid w:val="00483888"/>
    <w:rsid w:val="00483DE1"/>
    <w:rsid w:val="00483ECA"/>
    <w:rsid w:val="00485545"/>
    <w:rsid w:val="0048580A"/>
    <w:rsid w:val="00485BF1"/>
    <w:rsid w:val="00485CFB"/>
    <w:rsid w:val="0048636F"/>
    <w:rsid w:val="0048770F"/>
    <w:rsid w:val="00487F2D"/>
    <w:rsid w:val="0049078B"/>
    <w:rsid w:val="0049171A"/>
    <w:rsid w:val="0049208F"/>
    <w:rsid w:val="0049245D"/>
    <w:rsid w:val="00493572"/>
    <w:rsid w:val="00493C28"/>
    <w:rsid w:val="00493E11"/>
    <w:rsid w:val="0049428D"/>
    <w:rsid w:val="0049573F"/>
    <w:rsid w:val="00495D94"/>
    <w:rsid w:val="00496216"/>
    <w:rsid w:val="00496462"/>
    <w:rsid w:val="00497BED"/>
    <w:rsid w:val="004A0440"/>
    <w:rsid w:val="004A05BA"/>
    <w:rsid w:val="004A0D65"/>
    <w:rsid w:val="004A1641"/>
    <w:rsid w:val="004A20BE"/>
    <w:rsid w:val="004A2688"/>
    <w:rsid w:val="004A39B7"/>
    <w:rsid w:val="004A3E93"/>
    <w:rsid w:val="004A435A"/>
    <w:rsid w:val="004A59A7"/>
    <w:rsid w:val="004A5DFD"/>
    <w:rsid w:val="004A6DD1"/>
    <w:rsid w:val="004A6EFF"/>
    <w:rsid w:val="004A79E0"/>
    <w:rsid w:val="004B0F06"/>
    <w:rsid w:val="004B10E4"/>
    <w:rsid w:val="004B1214"/>
    <w:rsid w:val="004B3814"/>
    <w:rsid w:val="004B4CDF"/>
    <w:rsid w:val="004B52F3"/>
    <w:rsid w:val="004B62EF"/>
    <w:rsid w:val="004B6CB0"/>
    <w:rsid w:val="004B7D95"/>
    <w:rsid w:val="004B7F2F"/>
    <w:rsid w:val="004C080C"/>
    <w:rsid w:val="004C10AA"/>
    <w:rsid w:val="004C1834"/>
    <w:rsid w:val="004C269C"/>
    <w:rsid w:val="004C32CC"/>
    <w:rsid w:val="004C457D"/>
    <w:rsid w:val="004C5102"/>
    <w:rsid w:val="004C61F4"/>
    <w:rsid w:val="004C6A44"/>
    <w:rsid w:val="004C6D42"/>
    <w:rsid w:val="004C70C3"/>
    <w:rsid w:val="004C75C5"/>
    <w:rsid w:val="004C7E1E"/>
    <w:rsid w:val="004D1638"/>
    <w:rsid w:val="004D1639"/>
    <w:rsid w:val="004D206C"/>
    <w:rsid w:val="004D2162"/>
    <w:rsid w:val="004D2F2A"/>
    <w:rsid w:val="004D389A"/>
    <w:rsid w:val="004D432F"/>
    <w:rsid w:val="004D5FA5"/>
    <w:rsid w:val="004D762C"/>
    <w:rsid w:val="004E05A8"/>
    <w:rsid w:val="004E2546"/>
    <w:rsid w:val="004E45B5"/>
    <w:rsid w:val="004E4D91"/>
    <w:rsid w:val="004E5057"/>
    <w:rsid w:val="004E5988"/>
    <w:rsid w:val="004E62E0"/>
    <w:rsid w:val="004E7D1D"/>
    <w:rsid w:val="004F01D2"/>
    <w:rsid w:val="004F0F25"/>
    <w:rsid w:val="004F1F6E"/>
    <w:rsid w:val="004F30F3"/>
    <w:rsid w:val="004F38B5"/>
    <w:rsid w:val="004F459B"/>
    <w:rsid w:val="004F4742"/>
    <w:rsid w:val="004F5527"/>
    <w:rsid w:val="004F5535"/>
    <w:rsid w:val="004F64E5"/>
    <w:rsid w:val="005009B8"/>
    <w:rsid w:val="0050343C"/>
    <w:rsid w:val="005038CA"/>
    <w:rsid w:val="00503D59"/>
    <w:rsid w:val="00504DBC"/>
    <w:rsid w:val="005057C1"/>
    <w:rsid w:val="00505E9F"/>
    <w:rsid w:val="00506AC4"/>
    <w:rsid w:val="00507816"/>
    <w:rsid w:val="00507E94"/>
    <w:rsid w:val="005104C0"/>
    <w:rsid w:val="005105C8"/>
    <w:rsid w:val="005107CC"/>
    <w:rsid w:val="00511A05"/>
    <w:rsid w:val="00511AED"/>
    <w:rsid w:val="00512189"/>
    <w:rsid w:val="005121D5"/>
    <w:rsid w:val="0051585A"/>
    <w:rsid w:val="005159CC"/>
    <w:rsid w:val="00516B06"/>
    <w:rsid w:val="005178F8"/>
    <w:rsid w:val="005205F3"/>
    <w:rsid w:val="005212D7"/>
    <w:rsid w:val="00522667"/>
    <w:rsid w:val="00522BCD"/>
    <w:rsid w:val="00522F18"/>
    <w:rsid w:val="00523CFA"/>
    <w:rsid w:val="0052578A"/>
    <w:rsid w:val="00525F89"/>
    <w:rsid w:val="00526144"/>
    <w:rsid w:val="005301DF"/>
    <w:rsid w:val="0053057C"/>
    <w:rsid w:val="005313F6"/>
    <w:rsid w:val="005325B0"/>
    <w:rsid w:val="00533329"/>
    <w:rsid w:val="00534A65"/>
    <w:rsid w:val="00534AE1"/>
    <w:rsid w:val="0053693A"/>
    <w:rsid w:val="00536CF3"/>
    <w:rsid w:val="005370E0"/>
    <w:rsid w:val="00537793"/>
    <w:rsid w:val="00537A24"/>
    <w:rsid w:val="00537C3E"/>
    <w:rsid w:val="00537DD6"/>
    <w:rsid w:val="005402D7"/>
    <w:rsid w:val="00540597"/>
    <w:rsid w:val="005411F4"/>
    <w:rsid w:val="005414C3"/>
    <w:rsid w:val="00541520"/>
    <w:rsid w:val="00542D59"/>
    <w:rsid w:val="0054422C"/>
    <w:rsid w:val="00544769"/>
    <w:rsid w:val="00545278"/>
    <w:rsid w:val="0054619D"/>
    <w:rsid w:val="00546A43"/>
    <w:rsid w:val="005471FB"/>
    <w:rsid w:val="0054737A"/>
    <w:rsid w:val="00547472"/>
    <w:rsid w:val="00547E2A"/>
    <w:rsid w:val="00550462"/>
    <w:rsid w:val="00550B63"/>
    <w:rsid w:val="00550C5B"/>
    <w:rsid w:val="00550FB3"/>
    <w:rsid w:val="00551734"/>
    <w:rsid w:val="00552219"/>
    <w:rsid w:val="00552C95"/>
    <w:rsid w:val="00552EE5"/>
    <w:rsid w:val="00554AE3"/>
    <w:rsid w:val="00554C1E"/>
    <w:rsid w:val="00554E34"/>
    <w:rsid w:val="005554A3"/>
    <w:rsid w:val="00555775"/>
    <w:rsid w:val="00555EE2"/>
    <w:rsid w:val="00555F21"/>
    <w:rsid w:val="00557048"/>
    <w:rsid w:val="0055707E"/>
    <w:rsid w:val="00557484"/>
    <w:rsid w:val="005604DF"/>
    <w:rsid w:val="005605C0"/>
    <w:rsid w:val="005611D1"/>
    <w:rsid w:val="00561DC0"/>
    <w:rsid w:val="00562120"/>
    <w:rsid w:val="005621FE"/>
    <w:rsid w:val="005628AD"/>
    <w:rsid w:val="0056314B"/>
    <w:rsid w:val="005638B8"/>
    <w:rsid w:val="00563B92"/>
    <w:rsid w:val="005649E9"/>
    <w:rsid w:val="00565028"/>
    <w:rsid w:val="00565623"/>
    <w:rsid w:val="00565AED"/>
    <w:rsid w:val="00565E44"/>
    <w:rsid w:val="00566EB6"/>
    <w:rsid w:val="00567224"/>
    <w:rsid w:val="00567DD8"/>
    <w:rsid w:val="00570B7E"/>
    <w:rsid w:val="00570D64"/>
    <w:rsid w:val="005719F3"/>
    <w:rsid w:val="00571A9A"/>
    <w:rsid w:val="00572307"/>
    <w:rsid w:val="00572A21"/>
    <w:rsid w:val="00572D14"/>
    <w:rsid w:val="00573824"/>
    <w:rsid w:val="005744C8"/>
    <w:rsid w:val="00574726"/>
    <w:rsid w:val="00574A43"/>
    <w:rsid w:val="00574A8D"/>
    <w:rsid w:val="0057580E"/>
    <w:rsid w:val="00576247"/>
    <w:rsid w:val="00580C6B"/>
    <w:rsid w:val="005815D6"/>
    <w:rsid w:val="00581B08"/>
    <w:rsid w:val="00582165"/>
    <w:rsid w:val="00582BB7"/>
    <w:rsid w:val="005839E0"/>
    <w:rsid w:val="0058474E"/>
    <w:rsid w:val="00584812"/>
    <w:rsid w:val="0058486B"/>
    <w:rsid w:val="00584CC2"/>
    <w:rsid w:val="0058523B"/>
    <w:rsid w:val="00585B29"/>
    <w:rsid w:val="00586422"/>
    <w:rsid w:val="00586469"/>
    <w:rsid w:val="005869F5"/>
    <w:rsid w:val="00586C34"/>
    <w:rsid w:val="005870F3"/>
    <w:rsid w:val="00590736"/>
    <w:rsid w:val="005907E0"/>
    <w:rsid w:val="00591BCA"/>
    <w:rsid w:val="00591ED0"/>
    <w:rsid w:val="00592E1D"/>
    <w:rsid w:val="005938D3"/>
    <w:rsid w:val="005955C1"/>
    <w:rsid w:val="0059652A"/>
    <w:rsid w:val="00596BE7"/>
    <w:rsid w:val="005A1168"/>
    <w:rsid w:val="005A1526"/>
    <w:rsid w:val="005A15C6"/>
    <w:rsid w:val="005A1B24"/>
    <w:rsid w:val="005A1E7F"/>
    <w:rsid w:val="005A3D4C"/>
    <w:rsid w:val="005A3F8F"/>
    <w:rsid w:val="005A45A0"/>
    <w:rsid w:val="005A4947"/>
    <w:rsid w:val="005A4AF4"/>
    <w:rsid w:val="005A4C7C"/>
    <w:rsid w:val="005A4E33"/>
    <w:rsid w:val="005A55CA"/>
    <w:rsid w:val="005A55DD"/>
    <w:rsid w:val="005A5695"/>
    <w:rsid w:val="005A5EDC"/>
    <w:rsid w:val="005A69A5"/>
    <w:rsid w:val="005A6BD6"/>
    <w:rsid w:val="005A70DB"/>
    <w:rsid w:val="005A7450"/>
    <w:rsid w:val="005B02E1"/>
    <w:rsid w:val="005B06D6"/>
    <w:rsid w:val="005B216D"/>
    <w:rsid w:val="005B21EB"/>
    <w:rsid w:val="005B33C5"/>
    <w:rsid w:val="005B467A"/>
    <w:rsid w:val="005B509B"/>
    <w:rsid w:val="005B5B5C"/>
    <w:rsid w:val="005B7CC4"/>
    <w:rsid w:val="005B7D03"/>
    <w:rsid w:val="005C01CD"/>
    <w:rsid w:val="005C024A"/>
    <w:rsid w:val="005C05BE"/>
    <w:rsid w:val="005C0FD7"/>
    <w:rsid w:val="005C15A6"/>
    <w:rsid w:val="005C18A0"/>
    <w:rsid w:val="005C2991"/>
    <w:rsid w:val="005C2BB8"/>
    <w:rsid w:val="005C40FD"/>
    <w:rsid w:val="005C4FC8"/>
    <w:rsid w:val="005C6313"/>
    <w:rsid w:val="005C70CF"/>
    <w:rsid w:val="005C748A"/>
    <w:rsid w:val="005C797C"/>
    <w:rsid w:val="005D27B7"/>
    <w:rsid w:val="005D32DB"/>
    <w:rsid w:val="005D3A61"/>
    <w:rsid w:val="005D45B8"/>
    <w:rsid w:val="005D4879"/>
    <w:rsid w:val="005D4A6D"/>
    <w:rsid w:val="005D4E7A"/>
    <w:rsid w:val="005D4FDF"/>
    <w:rsid w:val="005D5F97"/>
    <w:rsid w:val="005D6B7F"/>
    <w:rsid w:val="005D7124"/>
    <w:rsid w:val="005D7671"/>
    <w:rsid w:val="005E055F"/>
    <w:rsid w:val="005E0F0B"/>
    <w:rsid w:val="005E340C"/>
    <w:rsid w:val="005E3554"/>
    <w:rsid w:val="005E36B7"/>
    <w:rsid w:val="005E483A"/>
    <w:rsid w:val="005E532D"/>
    <w:rsid w:val="005E6044"/>
    <w:rsid w:val="005E63C4"/>
    <w:rsid w:val="005E64CE"/>
    <w:rsid w:val="005E6982"/>
    <w:rsid w:val="005E6DA1"/>
    <w:rsid w:val="005E6FC0"/>
    <w:rsid w:val="005E7DDA"/>
    <w:rsid w:val="005F058C"/>
    <w:rsid w:val="005F0B48"/>
    <w:rsid w:val="005F0CE0"/>
    <w:rsid w:val="005F1F8A"/>
    <w:rsid w:val="005F25A0"/>
    <w:rsid w:val="005F311B"/>
    <w:rsid w:val="005F33B2"/>
    <w:rsid w:val="005F445D"/>
    <w:rsid w:val="005F4B53"/>
    <w:rsid w:val="005F5239"/>
    <w:rsid w:val="005F65E2"/>
    <w:rsid w:val="005F6F9B"/>
    <w:rsid w:val="005F7277"/>
    <w:rsid w:val="00600DBC"/>
    <w:rsid w:val="006012F2"/>
    <w:rsid w:val="00602151"/>
    <w:rsid w:val="00602F4E"/>
    <w:rsid w:val="0060343F"/>
    <w:rsid w:val="0060369F"/>
    <w:rsid w:val="00604877"/>
    <w:rsid w:val="00605C8E"/>
    <w:rsid w:val="00606575"/>
    <w:rsid w:val="006069E9"/>
    <w:rsid w:val="00606C45"/>
    <w:rsid w:val="00610215"/>
    <w:rsid w:val="00610403"/>
    <w:rsid w:val="0061054D"/>
    <w:rsid w:val="00610CA5"/>
    <w:rsid w:val="006118C3"/>
    <w:rsid w:val="00611941"/>
    <w:rsid w:val="0061352C"/>
    <w:rsid w:val="00613972"/>
    <w:rsid w:val="0061431C"/>
    <w:rsid w:val="0061432D"/>
    <w:rsid w:val="006143D5"/>
    <w:rsid w:val="006146A7"/>
    <w:rsid w:val="006153B7"/>
    <w:rsid w:val="00615699"/>
    <w:rsid w:val="00615BBE"/>
    <w:rsid w:val="00615F71"/>
    <w:rsid w:val="0061656C"/>
    <w:rsid w:val="00617B6C"/>
    <w:rsid w:val="00621172"/>
    <w:rsid w:val="00621DBE"/>
    <w:rsid w:val="00623599"/>
    <w:rsid w:val="006239F0"/>
    <w:rsid w:val="00623D5A"/>
    <w:rsid w:val="0062447A"/>
    <w:rsid w:val="006244F1"/>
    <w:rsid w:val="00624B4A"/>
    <w:rsid w:val="00625874"/>
    <w:rsid w:val="00625C06"/>
    <w:rsid w:val="00626C70"/>
    <w:rsid w:val="00627140"/>
    <w:rsid w:val="006306F6"/>
    <w:rsid w:val="00630B5D"/>
    <w:rsid w:val="0063101B"/>
    <w:rsid w:val="0063293F"/>
    <w:rsid w:val="006335EE"/>
    <w:rsid w:val="00633B72"/>
    <w:rsid w:val="0063412E"/>
    <w:rsid w:val="006344F5"/>
    <w:rsid w:val="006346EB"/>
    <w:rsid w:val="00634977"/>
    <w:rsid w:val="0063579C"/>
    <w:rsid w:val="0063581E"/>
    <w:rsid w:val="00635E02"/>
    <w:rsid w:val="0063701C"/>
    <w:rsid w:val="006403B6"/>
    <w:rsid w:val="0064040B"/>
    <w:rsid w:val="00640D98"/>
    <w:rsid w:val="006425A8"/>
    <w:rsid w:val="00642D61"/>
    <w:rsid w:val="00645473"/>
    <w:rsid w:val="00645B5A"/>
    <w:rsid w:val="006466FD"/>
    <w:rsid w:val="0064688F"/>
    <w:rsid w:val="00646948"/>
    <w:rsid w:val="0064698F"/>
    <w:rsid w:val="00646C6D"/>
    <w:rsid w:val="00647454"/>
    <w:rsid w:val="00647590"/>
    <w:rsid w:val="00650053"/>
    <w:rsid w:val="00650D7E"/>
    <w:rsid w:val="00652D8D"/>
    <w:rsid w:val="00653670"/>
    <w:rsid w:val="006552FA"/>
    <w:rsid w:val="006555AF"/>
    <w:rsid w:val="00656E6F"/>
    <w:rsid w:val="00660650"/>
    <w:rsid w:val="006611CB"/>
    <w:rsid w:val="006616E4"/>
    <w:rsid w:val="00661806"/>
    <w:rsid w:val="006622D6"/>
    <w:rsid w:val="006623E4"/>
    <w:rsid w:val="006626FF"/>
    <w:rsid w:val="00662FA1"/>
    <w:rsid w:val="006630B3"/>
    <w:rsid w:val="0066396D"/>
    <w:rsid w:val="00664C69"/>
    <w:rsid w:val="00664E07"/>
    <w:rsid w:val="00664F7F"/>
    <w:rsid w:val="006654DD"/>
    <w:rsid w:val="00665DB1"/>
    <w:rsid w:val="00666713"/>
    <w:rsid w:val="0066717D"/>
    <w:rsid w:val="00670065"/>
    <w:rsid w:val="00670762"/>
    <w:rsid w:val="00671179"/>
    <w:rsid w:val="00671388"/>
    <w:rsid w:val="006713C3"/>
    <w:rsid w:val="0067168F"/>
    <w:rsid w:val="006716FF"/>
    <w:rsid w:val="00671EDE"/>
    <w:rsid w:val="006725E8"/>
    <w:rsid w:val="00672B22"/>
    <w:rsid w:val="00672BD3"/>
    <w:rsid w:val="00673544"/>
    <w:rsid w:val="006737B2"/>
    <w:rsid w:val="00673A45"/>
    <w:rsid w:val="00673C9D"/>
    <w:rsid w:val="006742B9"/>
    <w:rsid w:val="006745E8"/>
    <w:rsid w:val="00675018"/>
    <w:rsid w:val="0067699D"/>
    <w:rsid w:val="00676C49"/>
    <w:rsid w:val="00676C6A"/>
    <w:rsid w:val="0067729F"/>
    <w:rsid w:val="00677470"/>
    <w:rsid w:val="00677802"/>
    <w:rsid w:val="006778FC"/>
    <w:rsid w:val="006779A7"/>
    <w:rsid w:val="006779E6"/>
    <w:rsid w:val="006802B4"/>
    <w:rsid w:val="0068047B"/>
    <w:rsid w:val="00680B4E"/>
    <w:rsid w:val="00680EE7"/>
    <w:rsid w:val="00681981"/>
    <w:rsid w:val="006826FA"/>
    <w:rsid w:val="0068393F"/>
    <w:rsid w:val="006846D9"/>
    <w:rsid w:val="00686194"/>
    <w:rsid w:val="00686771"/>
    <w:rsid w:val="00686AE4"/>
    <w:rsid w:val="00687A42"/>
    <w:rsid w:val="00687B4B"/>
    <w:rsid w:val="00687E17"/>
    <w:rsid w:val="00691A79"/>
    <w:rsid w:val="00691A81"/>
    <w:rsid w:val="00691FA6"/>
    <w:rsid w:val="006922B2"/>
    <w:rsid w:val="006928A4"/>
    <w:rsid w:val="0069292A"/>
    <w:rsid w:val="00692A1A"/>
    <w:rsid w:val="00692C5D"/>
    <w:rsid w:val="006930A0"/>
    <w:rsid w:val="00693304"/>
    <w:rsid w:val="00693C25"/>
    <w:rsid w:val="00693D29"/>
    <w:rsid w:val="00694F9C"/>
    <w:rsid w:val="00695174"/>
    <w:rsid w:val="00696D3A"/>
    <w:rsid w:val="00696DF7"/>
    <w:rsid w:val="00697148"/>
    <w:rsid w:val="0069767E"/>
    <w:rsid w:val="006A009C"/>
    <w:rsid w:val="006A03DE"/>
    <w:rsid w:val="006A11AD"/>
    <w:rsid w:val="006A1CB3"/>
    <w:rsid w:val="006A3286"/>
    <w:rsid w:val="006A369E"/>
    <w:rsid w:val="006A4826"/>
    <w:rsid w:val="006A4DD3"/>
    <w:rsid w:val="006A59F4"/>
    <w:rsid w:val="006A5A49"/>
    <w:rsid w:val="006A5A5A"/>
    <w:rsid w:val="006A5ADC"/>
    <w:rsid w:val="006A6131"/>
    <w:rsid w:val="006A6CEA"/>
    <w:rsid w:val="006A6E4B"/>
    <w:rsid w:val="006A7035"/>
    <w:rsid w:val="006A7050"/>
    <w:rsid w:val="006A76C1"/>
    <w:rsid w:val="006A78DC"/>
    <w:rsid w:val="006B01F8"/>
    <w:rsid w:val="006B0475"/>
    <w:rsid w:val="006B18F0"/>
    <w:rsid w:val="006B317F"/>
    <w:rsid w:val="006B318F"/>
    <w:rsid w:val="006B3DF4"/>
    <w:rsid w:val="006B408A"/>
    <w:rsid w:val="006B7014"/>
    <w:rsid w:val="006B7343"/>
    <w:rsid w:val="006B7D18"/>
    <w:rsid w:val="006B7DD9"/>
    <w:rsid w:val="006B7ED0"/>
    <w:rsid w:val="006C1124"/>
    <w:rsid w:val="006C1267"/>
    <w:rsid w:val="006C171D"/>
    <w:rsid w:val="006C1FDC"/>
    <w:rsid w:val="006C327F"/>
    <w:rsid w:val="006C367F"/>
    <w:rsid w:val="006C3F40"/>
    <w:rsid w:val="006C4263"/>
    <w:rsid w:val="006C4FAF"/>
    <w:rsid w:val="006C66E7"/>
    <w:rsid w:val="006C6799"/>
    <w:rsid w:val="006C7730"/>
    <w:rsid w:val="006C7BDB"/>
    <w:rsid w:val="006C7DAB"/>
    <w:rsid w:val="006D0000"/>
    <w:rsid w:val="006D03FC"/>
    <w:rsid w:val="006D177B"/>
    <w:rsid w:val="006D21D8"/>
    <w:rsid w:val="006D2DED"/>
    <w:rsid w:val="006D3FB4"/>
    <w:rsid w:val="006D47A8"/>
    <w:rsid w:val="006D47CF"/>
    <w:rsid w:val="006D4C4F"/>
    <w:rsid w:val="006D5C1E"/>
    <w:rsid w:val="006D680D"/>
    <w:rsid w:val="006D6E8F"/>
    <w:rsid w:val="006D6ECA"/>
    <w:rsid w:val="006E16FE"/>
    <w:rsid w:val="006E264B"/>
    <w:rsid w:val="006E29E6"/>
    <w:rsid w:val="006E2CE7"/>
    <w:rsid w:val="006E2E18"/>
    <w:rsid w:val="006E3CF5"/>
    <w:rsid w:val="006E469D"/>
    <w:rsid w:val="006E579A"/>
    <w:rsid w:val="006E6CB9"/>
    <w:rsid w:val="006E6DA9"/>
    <w:rsid w:val="006E6DD9"/>
    <w:rsid w:val="006E76BE"/>
    <w:rsid w:val="006F191D"/>
    <w:rsid w:val="006F2293"/>
    <w:rsid w:val="006F3D33"/>
    <w:rsid w:val="006F40D1"/>
    <w:rsid w:val="006F42DF"/>
    <w:rsid w:val="006F47A8"/>
    <w:rsid w:val="006F55B9"/>
    <w:rsid w:val="006F5F9E"/>
    <w:rsid w:val="006F61B6"/>
    <w:rsid w:val="00700442"/>
    <w:rsid w:val="007012DB"/>
    <w:rsid w:val="007012FE"/>
    <w:rsid w:val="00704F46"/>
    <w:rsid w:val="0070597E"/>
    <w:rsid w:val="00706E14"/>
    <w:rsid w:val="00710D7A"/>
    <w:rsid w:val="00711F51"/>
    <w:rsid w:val="00712B1B"/>
    <w:rsid w:val="007132B7"/>
    <w:rsid w:val="007137DB"/>
    <w:rsid w:val="00713DF6"/>
    <w:rsid w:val="00715103"/>
    <w:rsid w:val="0071607F"/>
    <w:rsid w:val="00716B4C"/>
    <w:rsid w:val="007178E0"/>
    <w:rsid w:val="0071797B"/>
    <w:rsid w:val="00720AA8"/>
    <w:rsid w:val="0072146A"/>
    <w:rsid w:val="00723216"/>
    <w:rsid w:val="00723350"/>
    <w:rsid w:val="00723468"/>
    <w:rsid w:val="00724983"/>
    <w:rsid w:val="0072501D"/>
    <w:rsid w:val="007250C1"/>
    <w:rsid w:val="00725113"/>
    <w:rsid w:val="00725165"/>
    <w:rsid w:val="00725843"/>
    <w:rsid w:val="00726323"/>
    <w:rsid w:val="00726A24"/>
    <w:rsid w:val="0072782B"/>
    <w:rsid w:val="00730F02"/>
    <w:rsid w:val="007325AC"/>
    <w:rsid w:val="0073260B"/>
    <w:rsid w:val="007328A3"/>
    <w:rsid w:val="00734DBF"/>
    <w:rsid w:val="00735474"/>
    <w:rsid w:val="00735747"/>
    <w:rsid w:val="0073583D"/>
    <w:rsid w:val="00736DD6"/>
    <w:rsid w:val="00736E9E"/>
    <w:rsid w:val="00737155"/>
    <w:rsid w:val="00737533"/>
    <w:rsid w:val="00737CFC"/>
    <w:rsid w:val="0074066E"/>
    <w:rsid w:val="00740679"/>
    <w:rsid w:val="00740690"/>
    <w:rsid w:val="00740E03"/>
    <w:rsid w:val="0074207A"/>
    <w:rsid w:val="00742121"/>
    <w:rsid w:val="00742D4B"/>
    <w:rsid w:val="00742E09"/>
    <w:rsid w:val="00743B95"/>
    <w:rsid w:val="00744288"/>
    <w:rsid w:val="00745E04"/>
    <w:rsid w:val="0074606B"/>
    <w:rsid w:val="00746F63"/>
    <w:rsid w:val="00747BBC"/>
    <w:rsid w:val="00750ED9"/>
    <w:rsid w:val="00751B49"/>
    <w:rsid w:val="007520E3"/>
    <w:rsid w:val="007522C3"/>
    <w:rsid w:val="0075323A"/>
    <w:rsid w:val="0075513D"/>
    <w:rsid w:val="007557F7"/>
    <w:rsid w:val="0075645A"/>
    <w:rsid w:val="00756654"/>
    <w:rsid w:val="0075765C"/>
    <w:rsid w:val="00757897"/>
    <w:rsid w:val="00757EED"/>
    <w:rsid w:val="007614BC"/>
    <w:rsid w:val="007620A0"/>
    <w:rsid w:val="00763278"/>
    <w:rsid w:val="00763D30"/>
    <w:rsid w:val="00764378"/>
    <w:rsid w:val="007648B2"/>
    <w:rsid w:val="00764EBA"/>
    <w:rsid w:val="00765F1F"/>
    <w:rsid w:val="00766525"/>
    <w:rsid w:val="007666F8"/>
    <w:rsid w:val="00766953"/>
    <w:rsid w:val="00770E83"/>
    <w:rsid w:val="00771870"/>
    <w:rsid w:val="00771D11"/>
    <w:rsid w:val="0077269C"/>
    <w:rsid w:val="0077393C"/>
    <w:rsid w:val="00773C90"/>
    <w:rsid w:val="00774377"/>
    <w:rsid w:val="00775E77"/>
    <w:rsid w:val="00777694"/>
    <w:rsid w:val="00780E9B"/>
    <w:rsid w:val="00781C12"/>
    <w:rsid w:val="007827DC"/>
    <w:rsid w:val="00783C4E"/>
    <w:rsid w:val="0078515F"/>
    <w:rsid w:val="007853EE"/>
    <w:rsid w:val="007858E8"/>
    <w:rsid w:val="00785EC9"/>
    <w:rsid w:val="00785F13"/>
    <w:rsid w:val="0078762A"/>
    <w:rsid w:val="007876F5"/>
    <w:rsid w:val="00791983"/>
    <w:rsid w:val="00792D6E"/>
    <w:rsid w:val="00792E2E"/>
    <w:rsid w:val="007936FD"/>
    <w:rsid w:val="00793DA6"/>
    <w:rsid w:val="0079449F"/>
    <w:rsid w:val="0079519E"/>
    <w:rsid w:val="00795C7E"/>
    <w:rsid w:val="00795F51"/>
    <w:rsid w:val="00796068"/>
    <w:rsid w:val="00796A74"/>
    <w:rsid w:val="007972FD"/>
    <w:rsid w:val="00797548"/>
    <w:rsid w:val="007A217C"/>
    <w:rsid w:val="007A3339"/>
    <w:rsid w:val="007A44C6"/>
    <w:rsid w:val="007A4FE6"/>
    <w:rsid w:val="007A60F3"/>
    <w:rsid w:val="007A7E4D"/>
    <w:rsid w:val="007B03AA"/>
    <w:rsid w:val="007B0408"/>
    <w:rsid w:val="007B058F"/>
    <w:rsid w:val="007B1387"/>
    <w:rsid w:val="007B16D1"/>
    <w:rsid w:val="007B3D86"/>
    <w:rsid w:val="007B3FB2"/>
    <w:rsid w:val="007B4052"/>
    <w:rsid w:val="007B45FC"/>
    <w:rsid w:val="007B4F3B"/>
    <w:rsid w:val="007B4F47"/>
    <w:rsid w:val="007B5396"/>
    <w:rsid w:val="007B5DF1"/>
    <w:rsid w:val="007B5E14"/>
    <w:rsid w:val="007B5F86"/>
    <w:rsid w:val="007B6483"/>
    <w:rsid w:val="007B64A6"/>
    <w:rsid w:val="007B71EC"/>
    <w:rsid w:val="007B72E4"/>
    <w:rsid w:val="007C0452"/>
    <w:rsid w:val="007C0948"/>
    <w:rsid w:val="007C09C5"/>
    <w:rsid w:val="007C10C6"/>
    <w:rsid w:val="007C1ED2"/>
    <w:rsid w:val="007C3063"/>
    <w:rsid w:val="007C32F8"/>
    <w:rsid w:val="007C3952"/>
    <w:rsid w:val="007C3E0C"/>
    <w:rsid w:val="007C4432"/>
    <w:rsid w:val="007C459D"/>
    <w:rsid w:val="007C4A15"/>
    <w:rsid w:val="007C5232"/>
    <w:rsid w:val="007C5B94"/>
    <w:rsid w:val="007C6596"/>
    <w:rsid w:val="007C6995"/>
    <w:rsid w:val="007C73B1"/>
    <w:rsid w:val="007C76C9"/>
    <w:rsid w:val="007C7976"/>
    <w:rsid w:val="007D04D7"/>
    <w:rsid w:val="007D0B53"/>
    <w:rsid w:val="007D1076"/>
    <w:rsid w:val="007D12E1"/>
    <w:rsid w:val="007D2CC7"/>
    <w:rsid w:val="007D2F3E"/>
    <w:rsid w:val="007D305B"/>
    <w:rsid w:val="007D3462"/>
    <w:rsid w:val="007D38C2"/>
    <w:rsid w:val="007D4175"/>
    <w:rsid w:val="007D4392"/>
    <w:rsid w:val="007D44E6"/>
    <w:rsid w:val="007D5359"/>
    <w:rsid w:val="007D5886"/>
    <w:rsid w:val="007D68E9"/>
    <w:rsid w:val="007D6CD8"/>
    <w:rsid w:val="007D7AED"/>
    <w:rsid w:val="007E0171"/>
    <w:rsid w:val="007E09DB"/>
    <w:rsid w:val="007E17A5"/>
    <w:rsid w:val="007E182C"/>
    <w:rsid w:val="007E282B"/>
    <w:rsid w:val="007E28D9"/>
    <w:rsid w:val="007E2E99"/>
    <w:rsid w:val="007E31C7"/>
    <w:rsid w:val="007E4885"/>
    <w:rsid w:val="007E4DBC"/>
    <w:rsid w:val="007E4EDA"/>
    <w:rsid w:val="007E70B9"/>
    <w:rsid w:val="007E71E1"/>
    <w:rsid w:val="007E76F1"/>
    <w:rsid w:val="007E7CCF"/>
    <w:rsid w:val="007F02B9"/>
    <w:rsid w:val="007F09DC"/>
    <w:rsid w:val="007F0F37"/>
    <w:rsid w:val="007F25BF"/>
    <w:rsid w:val="007F3CB9"/>
    <w:rsid w:val="007F3D42"/>
    <w:rsid w:val="007F4140"/>
    <w:rsid w:val="007F4F1B"/>
    <w:rsid w:val="007F5F96"/>
    <w:rsid w:val="007F715C"/>
    <w:rsid w:val="007F7418"/>
    <w:rsid w:val="007F79D2"/>
    <w:rsid w:val="00802223"/>
    <w:rsid w:val="00803589"/>
    <w:rsid w:val="0080390D"/>
    <w:rsid w:val="00804E13"/>
    <w:rsid w:val="00806FA7"/>
    <w:rsid w:val="00807814"/>
    <w:rsid w:val="0081187C"/>
    <w:rsid w:val="00811F5E"/>
    <w:rsid w:val="008127F4"/>
    <w:rsid w:val="00813772"/>
    <w:rsid w:val="00814219"/>
    <w:rsid w:val="008144C0"/>
    <w:rsid w:val="00815CA6"/>
    <w:rsid w:val="008164AB"/>
    <w:rsid w:val="008167D9"/>
    <w:rsid w:val="008168CD"/>
    <w:rsid w:val="00817045"/>
    <w:rsid w:val="00817573"/>
    <w:rsid w:val="0081764F"/>
    <w:rsid w:val="00820320"/>
    <w:rsid w:val="008208F3"/>
    <w:rsid w:val="00820CA9"/>
    <w:rsid w:val="0082189A"/>
    <w:rsid w:val="00821BB8"/>
    <w:rsid w:val="00822798"/>
    <w:rsid w:val="0082331D"/>
    <w:rsid w:val="00823EAF"/>
    <w:rsid w:val="00824342"/>
    <w:rsid w:val="0082511D"/>
    <w:rsid w:val="00825F9B"/>
    <w:rsid w:val="00826067"/>
    <w:rsid w:val="00826184"/>
    <w:rsid w:val="0082691F"/>
    <w:rsid w:val="0082709B"/>
    <w:rsid w:val="008270E4"/>
    <w:rsid w:val="008272A6"/>
    <w:rsid w:val="0083018F"/>
    <w:rsid w:val="00830252"/>
    <w:rsid w:val="00830982"/>
    <w:rsid w:val="008309C8"/>
    <w:rsid w:val="00830DD1"/>
    <w:rsid w:val="00830F64"/>
    <w:rsid w:val="00831038"/>
    <w:rsid w:val="008316DF"/>
    <w:rsid w:val="008319E8"/>
    <w:rsid w:val="00831C0B"/>
    <w:rsid w:val="00832316"/>
    <w:rsid w:val="0083235A"/>
    <w:rsid w:val="008326F2"/>
    <w:rsid w:val="00833535"/>
    <w:rsid w:val="008338D9"/>
    <w:rsid w:val="00833FF6"/>
    <w:rsid w:val="00834FF4"/>
    <w:rsid w:val="00835259"/>
    <w:rsid w:val="0083659A"/>
    <w:rsid w:val="0084065C"/>
    <w:rsid w:val="008407A0"/>
    <w:rsid w:val="00841C06"/>
    <w:rsid w:val="00842032"/>
    <w:rsid w:val="0084214E"/>
    <w:rsid w:val="00842D0C"/>
    <w:rsid w:val="00843738"/>
    <w:rsid w:val="00843AC6"/>
    <w:rsid w:val="00843B32"/>
    <w:rsid w:val="00844978"/>
    <w:rsid w:val="00845226"/>
    <w:rsid w:val="00846CB6"/>
    <w:rsid w:val="00847475"/>
    <w:rsid w:val="00847889"/>
    <w:rsid w:val="0085076F"/>
    <w:rsid w:val="008512AF"/>
    <w:rsid w:val="008515E4"/>
    <w:rsid w:val="00852BDB"/>
    <w:rsid w:val="008543EA"/>
    <w:rsid w:val="00854A6D"/>
    <w:rsid w:val="00854EBB"/>
    <w:rsid w:val="00856175"/>
    <w:rsid w:val="00856FA9"/>
    <w:rsid w:val="008578CE"/>
    <w:rsid w:val="00862135"/>
    <w:rsid w:val="00862699"/>
    <w:rsid w:val="00863059"/>
    <w:rsid w:val="008639F4"/>
    <w:rsid w:val="00864D66"/>
    <w:rsid w:val="00865257"/>
    <w:rsid w:val="008653BA"/>
    <w:rsid w:val="0086566F"/>
    <w:rsid w:val="0086724C"/>
    <w:rsid w:val="0086777D"/>
    <w:rsid w:val="00870586"/>
    <w:rsid w:val="00870886"/>
    <w:rsid w:val="00870A30"/>
    <w:rsid w:val="00873475"/>
    <w:rsid w:val="008737AA"/>
    <w:rsid w:val="00876460"/>
    <w:rsid w:val="0087658C"/>
    <w:rsid w:val="00877C80"/>
    <w:rsid w:val="00880108"/>
    <w:rsid w:val="008803C4"/>
    <w:rsid w:val="0088068C"/>
    <w:rsid w:val="00880FD1"/>
    <w:rsid w:val="008822E6"/>
    <w:rsid w:val="00882992"/>
    <w:rsid w:val="00882BF0"/>
    <w:rsid w:val="00882C2F"/>
    <w:rsid w:val="008844DF"/>
    <w:rsid w:val="008852CB"/>
    <w:rsid w:val="008857CF"/>
    <w:rsid w:val="008859C3"/>
    <w:rsid w:val="008877B6"/>
    <w:rsid w:val="00887C93"/>
    <w:rsid w:val="00890444"/>
    <w:rsid w:val="0089048B"/>
    <w:rsid w:val="008919A0"/>
    <w:rsid w:val="008919B5"/>
    <w:rsid w:val="00891F89"/>
    <w:rsid w:val="00893577"/>
    <w:rsid w:val="00893DBE"/>
    <w:rsid w:val="00894415"/>
    <w:rsid w:val="00894943"/>
    <w:rsid w:val="008949A4"/>
    <w:rsid w:val="00895890"/>
    <w:rsid w:val="00895F77"/>
    <w:rsid w:val="00896032"/>
    <w:rsid w:val="00896BDC"/>
    <w:rsid w:val="0089739B"/>
    <w:rsid w:val="008974C8"/>
    <w:rsid w:val="008A0932"/>
    <w:rsid w:val="008A133B"/>
    <w:rsid w:val="008A14F5"/>
    <w:rsid w:val="008A1FB9"/>
    <w:rsid w:val="008A3700"/>
    <w:rsid w:val="008A395D"/>
    <w:rsid w:val="008A454D"/>
    <w:rsid w:val="008A48EB"/>
    <w:rsid w:val="008A4C94"/>
    <w:rsid w:val="008A58AC"/>
    <w:rsid w:val="008A5DA4"/>
    <w:rsid w:val="008A667E"/>
    <w:rsid w:val="008B0288"/>
    <w:rsid w:val="008B0291"/>
    <w:rsid w:val="008B275A"/>
    <w:rsid w:val="008B48F0"/>
    <w:rsid w:val="008B5596"/>
    <w:rsid w:val="008B5734"/>
    <w:rsid w:val="008B5E7B"/>
    <w:rsid w:val="008B6052"/>
    <w:rsid w:val="008B6B1D"/>
    <w:rsid w:val="008C0243"/>
    <w:rsid w:val="008C054A"/>
    <w:rsid w:val="008C21DC"/>
    <w:rsid w:val="008C270A"/>
    <w:rsid w:val="008C2AA7"/>
    <w:rsid w:val="008C3611"/>
    <w:rsid w:val="008C3B58"/>
    <w:rsid w:val="008C4152"/>
    <w:rsid w:val="008C4A7B"/>
    <w:rsid w:val="008C4E02"/>
    <w:rsid w:val="008C5848"/>
    <w:rsid w:val="008C5D52"/>
    <w:rsid w:val="008C5E5D"/>
    <w:rsid w:val="008C5F30"/>
    <w:rsid w:val="008C647C"/>
    <w:rsid w:val="008C6C14"/>
    <w:rsid w:val="008C6EEA"/>
    <w:rsid w:val="008C6FCD"/>
    <w:rsid w:val="008D00AB"/>
    <w:rsid w:val="008D03B9"/>
    <w:rsid w:val="008D07DC"/>
    <w:rsid w:val="008D0C27"/>
    <w:rsid w:val="008D1988"/>
    <w:rsid w:val="008D1F24"/>
    <w:rsid w:val="008D2B76"/>
    <w:rsid w:val="008D3EC9"/>
    <w:rsid w:val="008D3F33"/>
    <w:rsid w:val="008D4E68"/>
    <w:rsid w:val="008D5406"/>
    <w:rsid w:val="008D5BCF"/>
    <w:rsid w:val="008D5E8F"/>
    <w:rsid w:val="008D63FE"/>
    <w:rsid w:val="008D6AC2"/>
    <w:rsid w:val="008D7775"/>
    <w:rsid w:val="008D7ED2"/>
    <w:rsid w:val="008E02CC"/>
    <w:rsid w:val="008E0552"/>
    <w:rsid w:val="008E12AE"/>
    <w:rsid w:val="008E1F8A"/>
    <w:rsid w:val="008E1FF8"/>
    <w:rsid w:val="008E4529"/>
    <w:rsid w:val="008E4FB2"/>
    <w:rsid w:val="008E4FF3"/>
    <w:rsid w:val="008E51D3"/>
    <w:rsid w:val="008E5396"/>
    <w:rsid w:val="008E5DB3"/>
    <w:rsid w:val="008E7969"/>
    <w:rsid w:val="008E7C62"/>
    <w:rsid w:val="008F04F7"/>
    <w:rsid w:val="008F1B3A"/>
    <w:rsid w:val="008F1CCC"/>
    <w:rsid w:val="008F20D3"/>
    <w:rsid w:val="008F2178"/>
    <w:rsid w:val="008F2678"/>
    <w:rsid w:val="008F2BA0"/>
    <w:rsid w:val="008F2CE3"/>
    <w:rsid w:val="008F4308"/>
    <w:rsid w:val="008F4A14"/>
    <w:rsid w:val="008F535B"/>
    <w:rsid w:val="008F5E23"/>
    <w:rsid w:val="008F5EAD"/>
    <w:rsid w:val="008F630E"/>
    <w:rsid w:val="008F6518"/>
    <w:rsid w:val="008F6BB4"/>
    <w:rsid w:val="008F7AB2"/>
    <w:rsid w:val="009004BE"/>
    <w:rsid w:val="009005C4"/>
    <w:rsid w:val="00900935"/>
    <w:rsid w:val="0090104E"/>
    <w:rsid w:val="00901B6C"/>
    <w:rsid w:val="00901FE2"/>
    <w:rsid w:val="009027C8"/>
    <w:rsid w:val="0090395C"/>
    <w:rsid w:val="00903C8D"/>
    <w:rsid w:val="00905101"/>
    <w:rsid w:val="00905805"/>
    <w:rsid w:val="009059A6"/>
    <w:rsid w:val="00906213"/>
    <w:rsid w:val="0090690D"/>
    <w:rsid w:val="00907935"/>
    <w:rsid w:val="00907A83"/>
    <w:rsid w:val="00907F6E"/>
    <w:rsid w:val="0091065C"/>
    <w:rsid w:val="00910CCC"/>
    <w:rsid w:val="00911123"/>
    <w:rsid w:val="0091168F"/>
    <w:rsid w:val="00911FA7"/>
    <w:rsid w:val="00912110"/>
    <w:rsid w:val="0091443F"/>
    <w:rsid w:val="00914911"/>
    <w:rsid w:val="00914C44"/>
    <w:rsid w:val="00914F1A"/>
    <w:rsid w:val="0091504E"/>
    <w:rsid w:val="00915067"/>
    <w:rsid w:val="0091511A"/>
    <w:rsid w:val="0091521B"/>
    <w:rsid w:val="00915636"/>
    <w:rsid w:val="009162F9"/>
    <w:rsid w:val="00916630"/>
    <w:rsid w:val="00916FDC"/>
    <w:rsid w:val="00917174"/>
    <w:rsid w:val="009179ED"/>
    <w:rsid w:val="00917A63"/>
    <w:rsid w:val="00917D33"/>
    <w:rsid w:val="00920378"/>
    <w:rsid w:val="0092082F"/>
    <w:rsid w:val="00920B1A"/>
    <w:rsid w:val="009211C6"/>
    <w:rsid w:val="0092238A"/>
    <w:rsid w:val="009226AD"/>
    <w:rsid w:val="00922818"/>
    <w:rsid w:val="0092296B"/>
    <w:rsid w:val="00922E87"/>
    <w:rsid w:val="00923063"/>
    <w:rsid w:val="00923130"/>
    <w:rsid w:val="00923208"/>
    <w:rsid w:val="0092460D"/>
    <w:rsid w:val="00924633"/>
    <w:rsid w:val="00924EEC"/>
    <w:rsid w:val="00925180"/>
    <w:rsid w:val="009258F3"/>
    <w:rsid w:val="009259FB"/>
    <w:rsid w:val="0092611C"/>
    <w:rsid w:val="00926598"/>
    <w:rsid w:val="00927772"/>
    <w:rsid w:val="00930AF2"/>
    <w:rsid w:val="00931F97"/>
    <w:rsid w:val="009334DB"/>
    <w:rsid w:val="0093445D"/>
    <w:rsid w:val="009349B7"/>
    <w:rsid w:val="00934A9E"/>
    <w:rsid w:val="00934B94"/>
    <w:rsid w:val="009357CF"/>
    <w:rsid w:val="00935E08"/>
    <w:rsid w:val="009363C7"/>
    <w:rsid w:val="009369BE"/>
    <w:rsid w:val="00936EDC"/>
    <w:rsid w:val="009372E6"/>
    <w:rsid w:val="00937642"/>
    <w:rsid w:val="00937B9A"/>
    <w:rsid w:val="0094053C"/>
    <w:rsid w:val="00941514"/>
    <w:rsid w:val="00941DEC"/>
    <w:rsid w:val="00942551"/>
    <w:rsid w:val="009426D7"/>
    <w:rsid w:val="00943AD4"/>
    <w:rsid w:val="00943F47"/>
    <w:rsid w:val="00944C13"/>
    <w:rsid w:val="00944FCD"/>
    <w:rsid w:val="00945462"/>
    <w:rsid w:val="00945BDF"/>
    <w:rsid w:val="009461B0"/>
    <w:rsid w:val="00946FBD"/>
    <w:rsid w:val="00947183"/>
    <w:rsid w:val="00947C7F"/>
    <w:rsid w:val="00951C4E"/>
    <w:rsid w:val="00951DDD"/>
    <w:rsid w:val="009529EB"/>
    <w:rsid w:val="009535DB"/>
    <w:rsid w:val="00953DF5"/>
    <w:rsid w:val="00954CE8"/>
    <w:rsid w:val="0095590C"/>
    <w:rsid w:val="00956158"/>
    <w:rsid w:val="0096015B"/>
    <w:rsid w:val="009602D7"/>
    <w:rsid w:val="0096064C"/>
    <w:rsid w:val="00962A77"/>
    <w:rsid w:val="00962DD1"/>
    <w:rsid w:val="00963916"/>
    <w:rsid w:val="00964276"/>
    <w:rsid w:val="009649A3"/>
    <w:rsid w:val="00965056"/>
    <w:rsid w:val="00965AF5"/>
    <w:rsid w:val="00966CC4"/>
    <w:rsid w:val="00966E32"/>
    <w:rsid w:val="00967220"/>
    <w:rsid w:val="009676E1"/>
    <w:rsid w:val="00970628"/>
    <w:rsid w:val="0097106A"/>
    <w:rsid w:val="00972785"/>
    <w:rsid w:val="00972904"/>
    <w:rsid w:val="0097296C"/>
    <w:rsid w:val="009735F5"/>
    <w:rsid w:val="009740C9"/>
    <w:rsid w:val="00974AAE"/>
    <w:rsid w:val="00974B9D"/>
    <w:rsid w:val="00974D42"/>
    <w:rsid w:val="009750C4"/>
    <w:rsid w:val="00975ABA"/>
    <w:rsid w:val="009773DB"/>
    <w:rsid w:val="00977AD9"/>
    <w:rsid w:val="0098057D"/>
    <w:rsid w:val="009808FD"/>
    <w:rsid w:val="00980980"/>
    <w:rsid w:val="009812D6"/>
    <w:rsid w:val="0098176B"/>
    <w:rsid w:val="0098213C"/>
    <w:rsid w:val="00982472"/>
    <w:rsid w:val="009827F7"/>
    <w:rsid w:val="00982B1B"/>
    <w:rsid w:val="009838D6"/>
    <w:rsid w:val="00984839"/>
    <w:rsid w:val="00984D07"/>
    <w:rsid w:val="00985B5B"/>
    <w:rsid w:val="00985E45"/>
    <w:rsid w:val="00986D52"/>
    <w:rsid w:val="00987C0A"/>
    <w:rsid w:val="00987C65"/>
    <w:rsid w:val="00987CCC"/>
    <w:rsid w:val="009903E6"/>
    <w:rsid w:val="0099090F"/>
    <w:rsid w:val="00991103"/>
    <w:rsid w:val="00991461"/>
    <w:rsid w:val="00992DC8"/>
    <w:rsid w:val="00992E62"/>
    <w:rsid w:val="00993B55"/>
    <w:rsid w:val="00994AC8"/>
    <w:rsid w:val="009951D6"/>
    <w:rsid w:val="00995FFC"/>
    <w:rsid w:val="009964D2"/>
    <w:rsid w:val="00996874"/>
    <w:rsid w:val="00997078"/>
    <w:rsid w:val="009977C7"/>
    <w:rsid w:val="00997878"/>
    <w:rsid w:val="00997DB2"/>
    <w:rsid w:val="009A03E5"/>
    <w:rsid w:val="009A06FC"/>
    <w:rsid w:val="009A135D"/>
    <w:rsid w:val="009A1754"/>
    <w:rsid w:val="009A216D"/>
    <w:rsid w:val="009A287A"/>
    <w:rsid w:val="009A2968"/>
    <w:rsid w:val="009A2A51"/>
    <w:rsid w:val="009A2CFD"/>
    <w:rsid w:val="009A2D61"/>
    <w:rsid w:val="009A38CD"/>
    <w:rsid w:val="009A402E"/>
    <w:rsid w:val="009A4142"/>
    <w:rsid w:val="009A420C"/>
    <w:rsid w:val="009A48E7"/>
    <w:rsid w:val="009A4A0D"/>
    <w:rsid w:val="009A50A6"/>
    <w:rsid w:val="009A573F"/>
    <w:rsid w:val="009A5999"/>
    <w:rsid w:val="009A5DC6"/>
    <w:rsid w:val="009A6F6A"/>
    <w:rsid w:val="009A7ECA"/>
    <w:rsid w:val="009B0148"/>
    <w:rsid w:val="009B0BB5"/>
    <w:rsid w:val="009B1702"/>
    <w:rsid w:val="009B1975"/>
    <w:rsid w:val="009B1B7D"/>
    <w:rsid w:val="009B1C59"/>
    <w:rsid w:val="009B1EBA"/>
    <w:rsid w:val="009B34E2"/>
    <w:rsid w:val="009B4F57"/>
    <w:rsid w:val="009B66EB"/>
    <w:rsid w:val="009B6B75"/>
    <w:rsid w:val="009B70B3"/>
    <w:rsid w:val="009B779E"/>
    <w:rsid w:val="009C0546"/>
    <w:rsid w:val="009C05AB"/>
    <w:rsid w:val="009C09BD"/>
    <w:rsid w:val="009C0D4D"/>
    <w:rsid w:val="009C1B03"/>
    <w:rsid w:val="009C28AB"/>
    <w:rsid w:val="009C2AF3"/>
    <w:rsid w:val="009C2F09"/>
    <w:rsid w:val="009C371B"/>
    <w:rsid w:val="009C3D1E"/>
    <w:rsid w:val="009C4E30"/>
    <w:rsid w:val="009C551C"/>
    <w:rsid w:val="009C713F"/>
    <w:rsid w:val="009C717F"/>
    <w:rsid w:val="009C7AFA"/>
    <w:rsid w:val="009D0B10"/>
    <w:rsid w:val="009D1C49"/>
    <w:rsid w:val="009D277C"/>
    <w:rsid w:val="009D31E1"/>
    <w:rsid w:val="009D367E"/>
    <w:rsid w:val="009D41E7"/>
    <w:rsid w:val="009D44A7"/>
    <w:rsid w:val="009D49B5"/>
    <w:rsid w:val="009D5237"/>
    <w:rsid w:val="009D5A23"/>
    <w:rsid w:val="009D5C2D"/>
    <w:rsid w:val="009D5FBA"/>
    <w:rsid w:val="009D61C8"/>
    <w:rsid w:val="009D6865"/>
    <w:rsid w:val="009D76A5"/>
    <w:rsid w:val="009E08FF"/>
    <w:rsid w:val="009E1460"/>
    <w:rsid w:val="009E1B5E"/>
    <w:rsid w:val="009E27B3"/>
    <w:rsid w:val="009E37FE"/>
    <w:rsid w:val="009E4291"/>
    <w:rsid w:val="009E47F3"/>
    <w:rsid w:val="009E59BD"/>
    <w:rsid w:val="009E5EC7"/>
    <w:rsid w:val="009E621E"/>
    <w:rsid w:val="009E7C2D"/>
    <w:rsid w:val="009E7FFC"/>
    <w:rsid w:val="009F007F"/>
    <w:rsid w:val="009F0AA2"/>
    <w:rsid w:val="009F0F37"/>
    <w:rsid w:val="009F103E"/>
    <w:rsid w:val="009F1549"/>
    <w:rsid w:val="009F1988"/>
    <w:rsid w:val="009F2700"/>
    <w:rsid w:val="009F2C08"/>
    <w:rsid w:val="009F3829"/>
    <w:rsid w:val="009F59AD"/>
    <w:rsid w:val="009F703C"/>
    <w:rsid w:val="009F7A18"/>
    <w:rsid w:val="00A00494"/>
    <w:rsid w:val="00A0229F"/>
    <w:rsid w:val="00A03D21"/>
    <w:rsid w:val="00A0501D"/>
    <w:rsid w:val="00A05F5C"/>
    <w:rsid w:val="00A0654F"/>
    <w:rsid w:val="00A06C1F"/>
    <w:rsid w:val="00A06C2A"/>
    <w:rsid w:val="00A07178"/>
    <w:rsid w:val="00A0749B"/>
    <w:rsid w:val="00A075EC"/>
    <w:rsid w:val="00A11B0C"/>
    <w:rsid w:val="00A1227F"/>
    <w:rsid w:val="00A12969"/>
    <w:rsid w:val="00A129F6"/>
    <w:rsid w:val="00A13525"/>
    <w:rsid w:val="00A146BF"/>
    <w:rsid w:val="00A15F59"/>
    <w:rsid w:val="00A164A8"/>
    <w:rsid w:val="00A1687B"/>
    <w:rsid w:val="00A16E08"/>
    <w:rsid w:val="00A171CD"/>
    <w:rsid w:val="00A173E4"/>
    <w:rsid w:val="00A2005C"/>
    <w:rsid w:val="00A20101"/>
    <w:rsid w:val="00A20C61"/>
    <w:rsid w:val="00A21CC9"/>
    <w:rsid w:val="00A22322"/>
    <w:rsid w:val="00A224C3"/>
    <w:rsid w:val="00A2314E"/>
    <w:rsid w:val="00A2328B"/>
    <w:rsid w:val="00A24109"/>
    <w:rsid w:val="00A2514F"/>
    <w:rsid w:val="00A2590C"/>
    <w:rsid w:val="00A25963"/>
    <w:rsid w:val="00A25B2F"/>
    <w:rsid w:val="00A25C83"/>
    <w:rsid w:val="00A300CC"/>
    <w:rsid w:val="00A30BFD"/>
    <w:rsid w:val="00A3129C"/>
    <w:rsid w:val="00A3183B"/>
    <w:rsid w:val="00A31FB8"/>
    <w:rsid w:val="00A3296C"/>
    <w:rsid w:val="00A33093"/>
    <w:rsid w:val="00A33A2B"/>
    <w:rsid w:val="00A34267"/>
    <w:rsid w:val="00A343DD"/>
    <w:rsid w:val="00A34E24"/>
    <w:rsid w:val="00A35399"/>
    <w:rsid w:val="00A35837"/>
    <w:rsid w:val="00A359F7"/>
    <w:rsid w:val="00A35D73"/>
    <w:rsid w:val="00A361F8"/>
    <w:rsid w:val="00A363F9"/>
    <w:rsid w:val="00A37ECB"/>
    <w:rsid w:val="00A40116"/>
    <w:rsid w:val="00A416C6"/>
    <w:rsid w:val="00A41A63"/>
    <w:rsid w:val="00A42076"/>
    <w:rsid w:val="00A42280"/>
    <w:rsid w:val="00A433A6"/>
    <w:rsid w:val="00A43786"/>
    <w:rsid w:val="00A43EB6"/>
    <w:rsid w:val="00A440A8"/>
    <w:rsid w:val="00A440D5"/>
    <w:rsid w:val="00A4463C"/>
    <w:rsid w:val="00A46716"/>
    <w:rsid w:val="00A467E1"/>
    <w:rsid w:val="00A46F82"/>
    <w:rsid w:val="00A470BC"/>
    <w:rsid w:val="00A506D1"/>
    <w:rsid w:val="00A5104C"/>
    <w:rsid w:val="00A51A1F"/>
    <w:rsid w:val="00A51C42"/>
    <w:rsid w:val="00A52630"/>
    <w:rsid w:val="00A528CD"/>
    <w:rsid w:val="00A53C70"/>
    <w:rsid w:val="00A547FC"/>
    <w:rsid w:val="00A56197"/>
    <w:rsid w:val="00A56CF4"/>
    <w:rsid w:val="00A56E69"/>
    <w:rsid w:val="00A57245"/>
    <w:rsid w:val="00A57AF9"/>
    <w:rsid w:val="00A57E58"/>
    <w:rsid w:val="00A57EC7"/>
    <w:rsid w:val="00A57F77"/>
    <w:rsid w:val="00A608F1"/>
    <w:rsid w:val="00A60DA0"/>
    <w:rsid w:val="00A61D0B"/>
    <w:rsid w:val="00A61E93"/>
    <w:rsid w:val="00A62513"/>
    <w:rsid w:val="00A647D4"/>
    <w:rsid w:val="00A65D26"/>
    <w:rsid w:val="00A66527"/>
    <w:rsid w:val="00A66580"/>
    <w:rsid w:val="00A66827"/>
    <w:rsid w:val="00A700A2"/>
    <w:rsid w:val="00A70453"/>
    <w:rsid w:val="00A704E5"/>
    <w:rsid w:val="00A71660"/>
    <w:rsid w:val="00A71C80"/>
    <w:rsid w:val="00A72316"/>
    <w:rsid w:val="00A74B58"/>
    <w:rsid w:val="00A74E20"/>
    <w:rsid w:val="00A7596C"/>
    <w:rsid w:val="00A7625E"/>
    <w:rsid w:val="00A77AA8"/>
    <w:rsid w:val="00A77FC3"/>
    <w:rsid w:val="00A813BC"/>
    <w:rsid w:val="00A81A47"/>
    <w:rsid w:val="00A829E4"/>
    <w:rsid w:val="00A82A7B"/>
    <w:rsid w:val="00A82F71"/>
    <w:rsid w:val="00A838E4"/>
    <w:rsid w:val="00A8482A"/>
    <w:rsid w:val="00A85664"/>
    <w:rsid w:val="00A85812"/>
    <w:rsid w:val="00A86E2C"/>
    <w:rsid w:val="00A8720E"/>
    <w:rsid w:val="00A8744C"/>
    <w:rsid w:val="00A874F8"/>
    <w:rsid w:val="00A906E8"/>
    <w:rsid w:val="00A90749"/>
    <w:rsid w:val="00A90D56"/>
    <w:rsid w:val="00A913A2"/>
    <w:rsid w:val="00A91F5F"/>
    <w:rsid w:val="00A930C1"/>
    <w:rsid w:val="00A94779"/>
    <w:rsid w:val="00A95286"/>
    <w:rsid w:val="00A9541D"/>
    <w:rsid w:val="00A978CF"/>
    <w:rsid w:val="00AA0177"/>
    <w:rsid w:val="00AA165E"/>
    <w:rsid w:val="00AA2755"/>
    <w:rsid w:val="00AA2E25"/>
    <w:rsid w:val="00AA3183"/>
    <w:rsid w:val="00AA3312"/>
    <w:rsid w:val="00AA3755"/>
    <w:rsid w:val="00AA387F"/>
    <w:rsid w:val="00AA3968"/>
    <w:rsid w:val="00AA46D7"/>
    <w:rsid w:val="00AA474B"/>
    <w:rsid w:val="00AA47A7"/>
    <w:rsid w:val="00AA578C"/>
    <w:rsid w:val="00AA737C"/>
    <w:rsid w:val="00AA7415"/>
    <w:rsid w:val="00AB0C03"/>
    <w:rsid w:val="00AB12F0"/>
    <w:rsid w:val="00AB1344"/>
    <w:rsid w:val="00AB30E0"/>
    <w:rsid w:val="00AB3252"/>
    <w:rsid w:val="00AB375A"/>
    <w:rsid w:val="00AB41F5"/>
    <w:rsid w:val="00AB4B04"/>
    <w:rsid w:val="00AB590A"/>
    <w:rsid w:val="00AB6E6F"/>
    <w:rsid w:val="00AC016E"/>
    <w:rsid w:val="00AC04D8"/>
    <w:rsid w:val="00AC073E"/>
    <w:rsid w:val="00AC0903"/>
    <w:rsid w:val="00AC098C"/>
    <w:rsid w:val="00AC233E"/>
    <w:rsid w:val="00AC2EED"/>
    <w:rsid w:val="00AC3682"/>
    <w:rsid w:val="00AC3753"/>
    <w:rsid w:val="00AC40D3"/>
    <w:rsid w:val="00AC481B"/>
    <w:rsid w:val="00AC510C"/>
    <w:rsid w:val="00AC5150"/>
    <w:rsid w:val="00AC5B30"/>
    <w:rsid w:val="00AC619E"/>
    <w:rsid w:val="00AC6701"/>
    <w:rsid w:val="00AC68A1"/>
    <w:rsid w:val="00AC6F27"/>
    <w:rsid w:val="00AC701C"/>
    <w:rsid w:val="00AC71EA"/>
    <w:rsid w:val="00AC77C3"/>
    <w:rsid w:val="00AC79F1"/>
    <w:rsid w:val="00AC7B4D"/>
    <w:rsid w:val="00AD1EC4"/>
    <w:rsid w:val="00AD26B5"/>
    <w:rsid w:val="00AD322A"/>
    <w:rsid w:val="00AD3B81"/>
    <w:rsid w:val="00AD3E0D"/>
    <w:rsid w:val="00AD4154"/>
    <w:rsid w:val="00AD42FC"/>
    <w:rsid w:val="00AD44A1"/>
    <w:rsid w:val="00AD5C3B"/>
    <w:rsid w:val="00AE07D6"/>
    <w:rsid w:val="00AE1AC9"/>
    <w:rsid w:val="00AE1EDF"/>
    <w:rsid w:val="00AE397B"/>
    <w:rsid w:val="00AE4BC5"/>
    <w:rsid w:val="00AE4CC2"/>
    <w:rsid w:val="00AE54BC"/>
    <w:rsid w:val="00AE612D"/>
    <w:rsid w:val="00AE74B1"/>
    <w:rsid w:val="00AE7C60"/>
    <w:rsid w:val="00AE7F43"/>
    <w:rsid w:val="00AF0777"/>
    <w:rsid w:val="00AF08E8"/>
    <w:rsid w:val="00AF1225"/>
    <w:rsid w:val="00AF2232"/>
    <w:rsid w:val="00AF2C23"/>
    <w:rsid w:val="00AF2DD6"/>
    <w:rsid w:val="00AF2FB0"/>
    <w:rsid w:val="00AF32AF"/>
    <w:rsid w:val="00AF32C5"/>
    <w:rsid w:val="00AF3462"/>
    <w:rsid w:val="00AF3DC5"/>
    <w:rsid w:val="00AF4B59"/>
    <w:rsid w:val="00AF4FFB"/>
    <w:rsid w:val="00AF55F6"/>
    <w:rsid w:val="00AF588F"/>
    <w:rsid w:val="00AF60E8"/>
    <w:rsid w:val="00AF6A1E"/>
    <w:rsid w:val="00AF6ABE"/>
    <w:rsid w:val="00AF7F82"/>
    <w:rsid w:val="00B00AF2"/>
    <w:rsid w:val="00B0181C"/>
    <w:rsid w:val="00B01B0A"/>
    <w:rsid w:val="00B02A87"/>
    <w:rsid w:val="00B02CEB"/>
    <w:rsid w:val="00B02D7B"/>
    <w:rsid w:val="00B02DED"/>
    <w:rsid w:val="00B0329F"/>
    <w:rsid w:val="00B03D6F"/>
    <w:rsid w:val="00B06557"/>
    <w:rsid w:val="00B06795"/>
    <w:rsid w:val="00B1046A"/>
    <w:rsid w:val="00B10754"/>
    <w:rsid w:val="00B11656"/>
    <w:rsid w:val="00B118BC"/>
    <w:rsid w:val="00B11CB0"/>
    <w:rsid w:val="00B129C1"/>
    <w:rsid w:val="00B13162"/>
    <w:rsid w:val="00B1582D"/>
    <w:rsid w:val="00B15FE1"/>
    <w:rsid w:val="00B16F9B"/>
    <w:rsid w:val="00B17B8A"/>
    <w:rsid w:val="00B210D0"/>
    <w:rsid w:val="00B23334"/>
    <w:rsid w:val="00B24294"/>
    <w:rsid w:val="00B2482F"/>
    <w:rsid w:val="00B248BC"/>
    <w:rsid w:val="00B24EEE"/>
    <w:rsid w:val="00B26CB4"/>
    <w:rsid w:val="00B272A0"/>
    <w:rsid w:val="00B2787B"/>
    <w:rsid w:val="00B30624"/>
    <w:rsid w:val="00B31211"/>
    <w:rsid w:val="00B31232"/>
    <w:rsid w:val="00B31369"/>
    <w:rsid w:val="00B31591"/>
    <w:rsid w:val="00B3409F"/>
    <w:rsid w:val="00B34356"/>
    <w:rsid w:val="00B347E9"/>
    <w:rsid w:val="00B35A21"/>
    <w:rsid w:val="00B37631"/>
    <w:rsid w:val="00B37B2F"/>
    <w:rsid w:val="00B37E9A"/>
    <w:rsid w:val="00B40148"/>
    <w:rsid w:val="00B40557"/>
    <w:rsid w:val="00B4172B"/>
    <w:rsid w:val="00B425AD"/>
    <w:rsid w:val="00B42F97"/>
    <w:rsid w:val="00B43C53"/>
    <w:rsid w:val="00B44300"/>
    <w:rsid w:val="00B449A8"/>
    <w:rsid w:val="00B452E6"/>
    <w:rsid w:val="00B45419"/>
    <w:rsid w:val="00B456FD"/>
    <w:rsid w:val="00B462CA"/>
    <w:rsid w:val="00B46541"/>
    <w:rsid w:val="00B46A5B"/>
    <w:rsid w:val="00B46A97"/>
    <w:rsid w:val="00B46D7B"/>
    <w:rsid w:val="00B47E63"/>
    <w:rsid w:val="00B50485"/>
    <w:rsid w:val="00B52BE0"/>
    <w:rsid w:val="00B53335"/>
    <w:rsid w:val="00B53E8C"/>
    <w:rsid w:val="00B546BB"/>
    <w:rsid w:val="00B55048"/>
    <w:rsid w:val="00B5645B"/>
    <w:rsid w:val="00B5720D"/>
    <w:rsid w:val="00B57374"/>
    <w:rsid w:val="00B60B90"/>
    <w:rsid w:val="00B60C6E"/>
    <w:rsid w:val="00B61942"/>
    <w:rsid w:val="00B62AE4"/>
    <w:rsid w:val="00B63027"/>
    <w:rsid w:val="00B63306"/>
    <w:rsid w:val="00B650AE"/>
    <w:rsid w:val="00B65AAD"/>
    <w:rsid w:val="00B660B9"/>
    <w:rsid w:val="00B66537"/>
    <w:rsid w:val="00B66DCB"/>
    <w:rsid w:val="00B66F18"/>
    <w:rsid w:val="00B6776B"/>
    <w:rsid w:val="00B67F0D"/>
    <w:rsid w:val="00B70127"/>
    <w:rsid w:val="00B711F1"/>
    <w:rsid w:val="00B7186A"/>
    <w:rsid w:val="00B723CC"/>
    <w:rsid w:val="00B72C8E"/>
    <w:rsid w:val="00B7381D"/>
    <w:rsid w:val="00B738D9"/>
    <w:rsid w:val="00B7437E"/>
    <w:rsid w:val="00B74590"/>
    <w:rsid w:val="00B745DE"/>
    <w:rsid w:val="00B746E4"/>
    <w:rsid w:val="00B74F52"/>
    <w:rsid w:val="00B7527F"/>
    <w:rsid w:val="00B75903"/>
    <w:rsid w:val="00B75AA5"/>
    <w:rsid w:val="00B75FA5"/>
    <w:rsid w:val="00B76CB8"/>
    <w:rsid w:val="00B804D7"/>
    <w:rsid w:val="00B80926"/>
    <w:rsid w:val="00B8210F"/>
    <w:rsid w:val="00B82A25"/>
    <w:rsid w:val="00B82AD3"/>
    <w:rsid w:val="00B82D7A"/>
    <w:rsid w:val="00B83311"/>
    <w:rsid w:val="00B83BAC"/>
    <w:rsid w:val="00B83E0D"/>
    <w:rsid w:val="00B845A4"/>
    <w:rsid w:val="00B84DD6"/>
    <w:rsid w:val="00B85770"/>
    <w:rsid w:val="00B85B8D"/>
    <w:rsid w:val="00B85D4B"/>
    <w:rsid w:val="00B86FD9"/>
    <w:rsid w:val="00B875DD"/>
    <w:rsid w:val="00B90362"/>
    <w:rsid w:val="00B905CD"/>
    <w:rsid w:val="00B905D7"/>
    <w:rsid w:val="00B92080"/>
    <w:rsid w:val="00B9241E"/>
    <w:rsid w:val="00B92797"/>
    <w:rsid w:val="00B92F10"/>
    <w:rsid w:val="00B9386B"/>
    <w:rsid w:val="00B93B60"/>
    <w:rsid w:val="00B94B6F"/>
    <w:rsid w:val="00B9550E"/>
    <w:rsid w:val="00B96AD4"/>
    <w:rsid w:val="00B97E8C"/>
    <w:rsid w:val="00BA04B3"/>
    <w:rsid w:val="00BA163A"/>
    <w:rsid w:val="00BA21DF"/>
    <w:rsid w:val="00BA3F1D"/>
    <w:rsid w:val="00BA4B24"/>
    <w:rsid w:val="00BA5799"/>
    <w:rsid w:val="00BA5A59"/>
    <w:rsid w:val="00BA66F2"/>
    <w:rsid w:val="00BA70FF"/>
    <w:rsid w:val="00BA766B"/>
    <w:rsid w:val="00BA7D01"/>
    <w:rsid w:val="00BB0835"/>
    <w:rsid w:val="00BB090F"/>
    <w:rsid w:val="00BB09CF"/>
    <w:rsid w:val="00BB1BB4"/>
    <w:rsid w:val="00BB1EBC"/>
    <w:rsid w:val="00BB3002"/>
    <w:rsid w:val="00BB3122"/>
    <w:rsid w:val="00BB3191"/>
    <w:rsid w:val="00BB39B6"/>
    <w:rsid w:val="00BB4437"/>
    <w:rsid w:val="00BB4477"/>
    <w:rsid w:val="00BB45F0"/>
    <w:rsid w:val="00BB4EAA"/>
    <w:rsid w:val="00BB5A4B"/>
    <w:rsid w:val="00BB7456"/>
    <w:rsid w:val="00BB7C2F"/>
    <w:rsid w:val="00BB7D4F"/>
    <w:rsid w:val="00BC049A"/>
    <w:rsid w:val="00BC1895"/>
    <w:rsid w:val="00BC1E34"/>
    <w:rsid w:val="00BC227B"/>
    <w:rsid w:val="00BC2E66"/>
    <w:rsid w:val="00BC3C30"/>
    <w:rsid w:val="00BC4D76"/>
    <w:rsid w:val="00BC61C9"/>
    <w:rsid w:val="00BC7734"/>
    <w:rsid w:val="00BD0965"/>
    <w:rsid w:val="00BD0EC4"/>
    <w:rsid w:val="00BD5B1B"/>
    <w:rsid w:val="00BD5BF9"/>
    <w:rsid w:val="00BD6391"/>
    <w:rsid w:val="00BD65B0"/>
    <w:rsid w:val="00BD6998"/>
    <w:rsid w:val="00BE005B"/>
    <w:rsid w:val="00BE0D8F"/>
    <w:rsid w:val="00BE1346"/>
    <w:rsid w:val="00BE31EB"/>
    <w:rsid w:val="00BE3E99"/>
    <w:rsid w:val="00BE4235"/>
    <w:rsid w:val="00BE42C0"/>
    <w:rsid w:val="00BE48F9"/>
    <w:rsid w:val="00BE49E7"/>
    <w:rsid w:val="00BE512E"/>
    <w:rsid w:val="00BE53FA"/>
    <w:rsid w:val="00BE5732"/>
    <w:rsid w:val="00BE57DF"/>
    <w:rsid w:val="00BE5DB1"/>
    <w:rsid w:val="00BE6B54"/>
    <w:rsid w:val="00BE70D2"/>
    <w:rsid w:val="00BE78FB"/>
    <w:rsid w:val="00BF0288"/>
    <w:rsid w:val="00BF0944"/>
    <w:rsid w:val="00BF26EF"/>
    <w:rsid w:val="00BF32EF"/>
    <w:rsid w:val="00BF4374"/>
    <w:rsid w:val="00BF45AF"/>
    <w:rsid w:val="00BF5676"/>
    <w:rsid w:val="00BF6067"/>
    <w:rsid w:val="00BF6808"/>
    <w:rsid w:val="00BF6C66"/>
    <w:rsid w:val="00BF7A6E"/>
    <w:rsid w:val="00C000AB"/>
    <w:rsid w:val="00C008F5"/>
    <w:rsid w:val="00C00FFC"/>
    <w:rsid w:val="00C020DB"/>
    <w:rsid w:val="00C02398"/>
    <w:rsid w:val="00C03647"/>
    <w:rsid w:val="00C04F46"/>
    <w:rsid w:val="00C05C36"/>
    <w:rsid w:val="00C05F54"/>
    <w:rsid w:val="00C062A0"/>
    <w:rsid w:val="00C06477"/>
    <w:rsid w:val="00C06BF0"/>
    <w:rsid w:val="00C07422"/>
    <w:rsid w:val="00C10B94"/>
    <w:rsid w:val="00C11A85"/>
    <w:rsid w:val="00C1242F"/>
    <w:rsid w:val="00C12D4A"/>
    <w:rsid w:val="00C13EF7"/>
    <w:rsid w:val="00C13FD2"/>
    <w:rsid w:val="00C146AD"/>
    <w:rsid w:val="00C16522"/>
    <w:rsid w:val="00C170F2"/>
    <w:rsid w:val="00C17199"/>
    <w:rsid w:val="00C174C2"/>
    <w:rsid w:val="00C201D5"/>
    <w:rsid w:val="00C203A0"/>
    <w:rsid w:val="00C20B80"/>
    <w:rsid w:val="00C21BE3"/>
    <w:rsid w:val="00C22039"/>
    <w:rsid w:val="00C228D1"/>
    <w:rsid w:val="00C232B3"/>
    <w:rsid w:val="00C23651"/>
    <w:rsid w:val="00C2365A"/>
    <w:rsid w:val="00C23A64"/>
    <w:rsid w:val="00C24645"/>
    <w:rsid w:val="00C25D4E"/>
    <w:rsid w:val="00C25FFB"/>
    <w:rsid w:val="00C26075"/>
    <w:rsid w:val="00C27890"/>
    <w:rsid w:val="00C278B7"/>
    <w:rsid w:val="00C279E1"/>
    <w:rsid w:val="00C30873"/>
    <w:rsid w:val="00C315EB"/>
    <w:rsid w:val="00C33BCD"/>
    <w:rsid w:val="00C34CCE"/>
    <w:rsid w:val="00C34F42"/>
    <w:rsid w:val="00C368B7"/>
    <w:rsid w:val="00C3758B"/>
    <w:rsid w:val="00C410D4"/>
    <w:rsid w:val="00C4115E"/>
    <w:rsid w:val="00C41D58"/>
    <w:rsid w:val="00C4214F"/>
    <w:rsid w:val="00C4299A"/>
    <w:rsid w:val="00C4329B"/>
    <w:rsid w:val="00C43CA1"/>
    <w:rsid w:val="00C448A5"/>
    <w:rsid w:val="00C44A3C"/>
    <w:rsid w:val="00C45335"/>
    <w:rsid w:val="00C47AAB"/>
    <w:rsid w:val="00C47C40"/>
    <w:rsid w:val="00C47CE3"/>
    <w:rsid w:val="00C50B8D"/>
    <w:rsid w:val="00C532EB"/>
    <w:rsid w:val="00C53DBC"/>
    <w:rsid w:val="00C53EBF"/>
    <w:rsid w:val="00C53F80"/>
    <w:rsid w:val="00C545AD"/>
    <w:rsid w:val="00C55038"/>
    <w:rsid w:val="00C56EAA"/>
    <w:rsid w:val="00C57CC6"/>
    <w:rsid w:val="00C6050F"/>
    <w:rsid w:val="00C629B9"/>
    <w:rsid w:val="00C62D2F"/>
    <w:rsid w:val="00C63630"/>
    <w:rsid w:val="00C63DE1"/>
    <w:rsid w:val="00C641BB"/>
    <w:rsid w:val="00C6444A"/>
    <w:rsid w:val="00C64470"/>
    <w:rsid w:val="00C64DBC"/>
    <w:rsid w:val="00C65256"/>
    <w:rsid w:val="00C66CDB"/>
    <w:rsid w:val="00C71671"/>
    <w:rsid w:val="00C717A2"/>
    <w:rsid w:val="00C72652"/>
    <w:rsid w:val="00C727DD"/>
    <w:rsid w:val="00C73DAE"/>
    <w:rsid w:val="00C748ED"/>
    <w:rsid w:val="00C758F1"/>
    <w:rsid w:val="00C759B5"/>
    <w:rsid w:val="00C75BE0"/>
    <w:rsid w:val="00C75F01"/>
    <w:rsid w:val="00C766A3"/>
    <w:rsid w:val="00C768B0"/>
    <w:rsid w:val="00C774E2"/>
    <w:rsid w:val="00C77A15"/>
    <w:rsid w:val="00C80287"/>
    <w:rsid w:val="00C80332"/>
    <w:rsid w:val="00C808A6"/>
    <w:rsid w:val="00C818F6"/>
    <w:rsid w:val="00C81BF8"/>
    <w:rsid w:val="00C81CA1"/>
    <w:rsid w:val="00C82C08"/>
    <w:rsid w:val="00C840C1"/>
    <w:rsid w:val="00C845B5"/>
    <w:rsid w:val="00C845C1"/>
    <w:rsid w:val="00C84887"/>
    <w:rsid w:val="00C84F7D"/>
    <w:rsid w:val="00C85539"/>
    <w:rsid w:val="00C857A7"/>
    <w:rsid w:val="00C85943"/>
    <w:rsid w:val="00C90AE4"/>
    <w:rsid w:val="00C9171E"/>
    <w:rsid w:val="00C922D5"/>
    <w:rsid w:val="00C9369E"/>
    <w:rsid w:val="00C93D26"/>
    <w:rsid w:val="00C9457D"/>
    <w:rsid w:val="00C96B6B"/>
    <w:rsid w:val="00C96D49"/>
    <w:rsid w:val="00C96E2C"/>
    <w:rsid w:val="00C9740A"/>
    <w:rsid w:val="00CA0A99"/>
    <w:rsid w:val="00CA1CEF"/>
    <w:rsid w:val="00CA1DDC"/>
    <w:rsid w:val="00CA24E1"/>
    <w:rsid w:val="00CA254B"/>
    <w:rsid w:val="00CA28B6"/>
    <w:rsid w:val="00CA36C1"/>
    <w:rsid w:val="00CA4C8B"/>
    <w:rsid w:val="00CA5217"/>
    <w:rsid w:val="00CA52EB"/>
    <w:rsid w:val="00CA560D"/>
    <w:rsid w:val="00CA5B1C"/>
    <w:rsid w:val="00CA5D05"/>
    <w:rsid w:val="00CA5F7B"/>
    <w:rsid w:val="00CA6FE8"/>
    <w:rsid w:val="00CA7E86"/>
    <w:rsid w:val="00CB00FA"/>
    <w:rsid w:val="00CB1314"/>
    <w:rsid w:val="00CB1AB2"/>
    <w:rsid w:val="00CB1C77"/>
    <w:rsid w:val="00CB3290"/>
    <w:rsid w:val="00CB3610"/>
    <w:rsid w:val="00CB3710"/>
    <w:rsid w:val="00CB4644"/>
    <w:rsid w:val="00CB53EA"/>
    <w:rsid w:val="00CB5810"/>
    <w:rsid w:val="00CB6505"/>
    <w:rsid w:val="00CB744A"/>
    <w:rsid w:val="00CB78EC"/>
    <w:rsid w:val="00CB79C7"/>
    <w:rsid w:val="00CC00C3"/>
    <w:rsid w:val="00CC160F"/>
    <w:rsid w:val="00CC1CF3"/>
    <w:rsid w:val="00CC2DCA"/>
    <w:rsid w:val="00CC34A4"/>
    <w:rsid w:val="00CC3764"/>
    <w:rsid w:val="00CC39F6"/>
    <w:rsid w:val="00CC3EDF"/>
    <w:rsid w:val="00CC48C3"/>
    <w:rsid w:val="00CC5E0B"/>
    <w:rsid w:val="00CC662A"/>
    <w:rsid w:val="00CC7101"/>
    <w:rsid w:val="00CD0BA4"/>
    <w:rsid w:val="00CD2095"/>
    <w:rsid w:val="00CD324F"/>
    <w:rsid w:val="00CD34A5"/>
    <w:rsid w:val="00CD3563"/>
    <w:rsid w:val="00CD3658"/>
    <w:rsid w:val="00CD3E76"/>
    <w:rsid w:val="00CD4001"/>
    <w:rsid w:val="00CD466F"/>
    <w:rsid w:val="00CD503A"/>
    <w:rsid w:val="00CD645E"/>
    <w:rsid w:val="00CD6B27"/>
    <w:rsid w:val="00CD76FC"/>
    <w:rsid w:val="00CE0457"/>
    <w:rsid w:val="00CE07F2"/>
    <w:rsid w:val="00CE0E24"/>
    <w:rsid w:val="00CE1148"/>
    <w:rsid w:val="00CE1CE7"/>
    <w:rsid w:val="00CE25AA"/>
    <w:rsid w:val="00CE26B1"/>
    <w:rsid w:val="00CE274D"/>
    <w:rsid w:val="00CE2E58"/>
    <w:rsid w:val="00CE31D1"/>
    <w:rsid w:val="00CE493A"/>
    <w:rsid w:val="00CE5736"/>
    <w:rsid w:val="00CE67C0"/>
    <w:rsid w:val="00CE6DD1"/>
    <w:rsid w:val="00CE6FB3"/>
    <w:rsid w:val="00CE72BE"/>
    <w:rsid w:val="00CF034C"/>
    <w:rsid w:val="00CF07A3"/>
    <w:rsid w:val="00CF2F57"/>
    <w:rsid w:val="00CF3283"/>
    <w:rsid w:val="00CF3319"/>
    <w:rsid w:val="00CF39C1"/>
    <w:rsid w:val="00CF3C5C"/>
    <w:rsid w:val="00CF4B06"/>
    <w:rsid w:val="00CF525B"/>
    <w:rsid w:val="00CF5BFA"/>
    <w:rsid w:val="00CF5C8D"/>
    <w:rsid w:val="00CF5E42"/>
    <w:rsid w:val="00CF61DF"/>
    <w:rsid w:val="00CF64EB"/>
    <w:rsid w:val="00D00A57"/>
    <w:rsid w:val="00D00C55"/>
    <w:rsid w:val="00D00CAC"/>
    <w:rsid w:val="00D027A6"/>
    <w:rsid w:val="00D028E9"/>
    <w:rsid w:val="00D03561"/>
    <w:rsid w:val="00D0426C"/>
    <w:rsid w:val="00D04923"/>
    <w:rsid w:val="00D05054"/>
    <w:rsid w:val="00D05789"/>
    <w:rsid w:val="00D0589D"/>
    <w:rsid w:val="00D065E0"/>
    <w:rsid w:val="00D06A9F"/>
    <w:rsid w:val="00D06CD2"/>
    <w:rsid w:val="00D0711E"/>
    <w:rsid w:val="00D0732B"/>
    <w:rsid w:val="00D07AEB"/>
    <w:rsid w:val="00D103AC"/>
    <w:rsid w:val="00D106CA"/>
    <w:rsid w:val="00D10BD4"/>
    <w:rsid w:val="00D112BB"/>
    <w:rsid w:val="00D12B73"/>
    <w:rsid w:val="00D12C1D"/>
    <w:rsid w:val="00D12C7E"/>
    <w:rsid w:val="00D13060"/>
    <w:rsid w:val="00D13F4E"/>
    <w:rsid w:val="00D145A6"/>
    <w:rsid w:val="00D152DA"/>
    <w:rsid w:val="00D16203"/>
    <w:rsid w:val="00D16E6F"/>
    <w:rsid w:val="00D176F4"/>
    <w:rsid w:val="00D20024"/>
    <w:rsid w:val="00D202CB"/>
    <w:rsid w:val="00D20848"/>
    <w:rsid w:val="00D212D7"/>
    <w:rsid w:val="00D21982"/>
    <w:rsid w:val="00D21AF7"/>
    <w:rsid w:val="00D21C0C"/>
    <w:rsid w:val="00D222E6"/>
    <w:rsid w:val="00D22310"/>
    <w:rsid w:val="00D2236C"/>
    <w:rsid w:val="00D2283D"/>
    <w:rsid w:val="00D22BEE"/>
    <w:rsid w:val="00D236A3"/>
    <w:rsid w:val="00D24CF2"/>
    <w:rsid w:val="00D2534D"/>
    <w:rsid w:val="00D25685"/>
    <w:rsid w:val="00D256CA"/>
    <w:rsid w:val="00D262C8"/>
    <w:rsid w:val="00D26B2A"/>
    <w:rsid w:val="00D273A2"/>
    <w:rsid w:val="00D27B3A"/>
    <w:rsid w:val="00D27E11"/>
    <w:rsid w:val="00D3095F"/>
    <w:rsid w:val="00D30B96"/>
    <w:rsid w:val="00D31516"/>
    <w:rsid w:val="00D318AE"/>
    <w:rsid w:val="00D33052"/>
    <w:rsid w:val="00D3314C"/>
    <w:rsid w:val="00D33C51"/>
    <w:rsid w:val="00D34FDF"/>
    <w:rsid w:val="00D35397"/>
    <w:rsid w:val="00D35A7D"/>
    <w:rsid w:val="00D35DC3"/>
    <w:rsid w:val="00D361C1"/>
    <w:rsid w:val="00D36638"/>
    <w:rsid w:val="00D3665A"/>
    <w:rsid w:val="00D4007D"/>
    <w:rsid w:val="00D402A6"/>
    <w:rsid w:val="00D407A9"/>
    <w:rsid w:val="00D413A4"/>
    <w:rsid w:val="00D419AD"/>
    <w:rsid w:val="00D41B05"/>
    <w:rsid w:val="00D41C21"/>
    <w:rsid w:val="00D41C30"/>
    <w:rsid w:val="00D42AC9"/>
    <w:rsid w:val="00D42EC3"/>
    <w:rsid w:val="00D42F8E"/>
    <w:rsid w:val="00D44162"/>
    <w:rsid w:val="00D447E9"/>
    <w:rsid w:val="00D44A1B"/>
    <w:rsid w:val="00D450AA"/>
    <w:rsid w:val="00D46718"/>
    <w:rsid w:val="00D47327"/>
    <w:rsid w:val="00D51C3C"/>
    <w:rsid w:val="00D5285A"/>
    <w:rsid w:val="00D5325D"/>
    <w:rsid w:val="00D534C3"/>
    <w:rsid w:val="00D53AA6"/>
    <w:rsid w:val="00D540E8"/>
    <w:rsid w:val="00D5449B"/>
    <w:rsid w:val="00D54A10"/>
    <w:rsid w:val="00D554DF"/>
    <w:rsid w:val="00D567EC"/>
    <w:rsid w:val="00D56CA5"/>
    <w:rsid w:val="00D607FC"/>
    <w:rsid w:val="00D61779"/>
    <w:rsid w:val="00D617F6"/>
    <w:rsid w:val="00D61BBB"/>
    <w:rsid w:val="00D63BFD"/>
    <w:rsid w:val="00D63E0D"/>
    <w:rsid w:val="00D63F10"/>
    <w:rsid w:val="00D64D01"/>
    <w:rsid w:val="00D666EB"/>
    <w:rsid w:val="00D678A7"/>
    <w:rsid w:val="00D67DEA"/>
    <w:rsid w:val="00D67DFA"/>
    <w:rsid w:val="00D67EDF"/>
    <w:rsid w:val="00D70E8B"/>
    <w:rsid w:val="00D71F19"/>
    <w:rsid w:val="00D733AD"/>
    <w:rsid w:val="00D73641"/>
    <w:rsid w:val="00D7399C"/>
    <w:rsid w:val="00D73A9C"/>
    <w:rsid w:val="00D740C9"/>
    <w:rsid w:val="00D744F7"/>
    <w:rsid w:val="00D752AA"/>
    <w:rsid w:val="00D756F8"/>
    <w:rsid w:val="00D75E12"/>
    <w:rsid w:val="00D76726"/>
    <w:rsid w:val="00D80D02"/>
    <w:rsid w:val="00D81DBA"/>
    <w:rsid w:val="00D81F09"/>
    <w:rsid w:val="00D82511"/>
    <w:rsid w:val="00D82815"/>
    <w:rsid w:val="00D82817"/>
    <w:rsid w:val="00D837E9"/>
    <w:rsid w:val="00D83EF8"/>
    <w:rsid w:val="00D8426A"/>
    <w:rsid w:val="00D843F4"/>
    <w:rsid w:val="00D8467E"/>
    <w:rsid w:val="00D846B9"/>
    <w:rsid w:val="00D84A27"/>
    <w:rsid w:val="00D860D8"/>
    <w:rsid w:val="00D86A94"/>
    <w:rsid w:val="00D86BEC"/>
    <w:rsid w:val="00D873C6"/>
    <w:rsid w:val="00D90D89"/>
    <w:rsid w:val="00D9134B"/>
    <w:rsid w:val="00D91D78"/>
    <w:rsid w:val="00D9275A"/>
    <w:rsid w:val="00D92A58"/>
    <w:rsid w:val="00D92BD2"/>
    <w:rsid w:val="00D93C66"/>
    <w:rsid w:val="00D93CC1"/>
    <w:rsid w:val="00D94031"/>
    <w:rsid w:val="00D940ED"/>
    <w:rsid w:val="00D96484"/>
    <w:rsid w:val="00D9682B"/>
    <w:rsid w:val="00D96983"/>
    <w:rsid w:val="00D96F97"/>
    <w:rsid w:val="00D974DD"/>
    <w:rsid w:val="00DA03B4"/>
    <w:rsid w:val="00DA0420"/>
    <w:rsid w:val="00DA04E0"/>
    <w:rsid w:val="00DA0639"/>
    <w:rsid w:val="00DA0797"/>
    <w:rsid w:val="00DA1B41"/>
    <w:rsid w:val="00DA1D37"/>
    <w:rsid w:val="00DA1F4D"/>
    <w:rsid w:val="00DA221F"/>
    <w:rsid w:val="00DA2392"/>
    <w:rsid w:val="00DA2F57"/>
    <w:rsid w:val="00DA32DE"/>
    <w:rsid w:val="00DA3AAF"/>
    <w:rsid w:val="00DA434F"/>
    <w:rsid w:val="00DA4575"/>
    <w:rsid w:val="00DA4D8A"/>
    <w:rsid w:val="00DA4D9E"/>
    <w:rsid w:val="00DA4F8E"/>
    <w:rsid w:val="00DA5002"/>
    <w:rsid w:val="00DA79E8"/>
    <w:rsid w:val="00DB0D2C"/>
    <w:rsid w:val="00DB1006"/>
    <w:rsid w:val="00DB1BCD"/>
    <w:rsid w:val="00DB1CC3"/>
    <w:rsid w:val="00DB1F76"/>
    <w:rsid w:val="00DB2B5F"/>
    <w:rsid w:val="00DB2CEB"/>
    <w:rsid w:val="00DB319A"/>
    <w:rsid w:val="00DB373C"/>
    <w:rsid w:val="00DB47E4"/>
    <w:rsid w:val="00DB4C12"/>
    <w:rsid w:val="00DB5C62"/>
    <w:rsid w:val="00DB625C"/>
    <w:rsid w:val="00DB66A7"/>
    <w:rsid w:val="00DB6F32"/>
    <w:rsid w:val="00DB7C08"/>
    <w:rsid w:val="00DC0127"/>
    <w:rsid w:val="00DC06E3"/>
    <w:rsid w:val="00DC1091"/>
    <w:rsid w:val="00DC22FF"/>
    <w:rsid w:val="00DC3218"/>
    <w:rsid w:val="00DC3375"/>
    <w:rsid w:val="00DC36E6"/>
    <w:rsid w:val="00DC3722"/>
    <w:rsid w:val="00DC37F1"/>
    <w:rsid w:val="00DC39E3"/>
    <w:rsid w:val="00DC3D13"/>
    <w:rsid w:val="00DC4764"/>
    <w:rsid w:val="00DC515F"/>
    <w:rsid w:val="00DC55FF"/>
    <w:rsid w:val="00DC704B"/>
    <w:rsid w:val="00DD0F34"/>
    <w:rsid w:val="00DD11C5"/>
    <w:rsid w:val="00DD16A7"/>
    <w:rsid w:val="00DD1A77"/>
    <w:rsid w:val="00DD2364"/>
    <w:rsid w:val="00DD2B0E"/>
    <w:rsid w:val="00DD381F"/>
    <w:rsid w:val="00DD446A"/>
    <w:rsid w:val="00DD449F"/>
    <w:rsid w:val="00DD5708"/>
    <w:rsid w:val="00DD5826"/>
    <w:rsid w:val="00DD6CDD"/>
    <w:rsid w:val="00DD7244"/>
    <w:rsid w:val="00DD72F0"/>
    <w:rsid w:val="00DE0A5E"/>
    <w:rsid w:val="00DE0AED"/>
    <w:rsid w:val="00DE2311"/>
    <w:rsid w:val="00DE32D6"/>
    <w:rsid w:val="00DE3F79"/>
    <w:rsid w:val="00DE41CF"/>
    <w:rsid w:val="00DE4BED"/>
    <w:rsid w:val="00DE4EEF"/>
    <w:rsid w:val="00DE5537"/>
    <w:rsid w:val="00DE6112"/>
    <w:rsid w:val="00DE61A1"/>
    <w:rsid w:val="00DF0044"/>
    <w:rsid w:val="00DF056E"/>
    <w:rsid w:val="00DF075C"/>
    <w:rsid w:val="00DF07B2"/>
    <w:rsid w:val="00DF0929"/>
    <w:rsid w:val="00DF1912"/>
    <w:rsid w:val="00DF1BBF"/>
    <w:rsid w:val="00DF1C23"/>
    <w:rsid w:val="00DF22F4"/>
    <w:rsid w:val="00DF236E"/>
    <w:rsid w:val="00DF2832"/>
    <w:rsid w:val="00DF2F59"/>
    <w:rsid w:val="00DF39AC"/>
    <w:rsid w:val="00DF42E7"/>
    <w:rsid w:val="00DF4757"/>
    <w:rsid w:val="00DF4D59"/>
    <w:rsid w:val="00DF5BFC"/>
    <w:rsid w:val="00DF5EF0"/>
    <w:rsid w:val="00DF618E"/>
    <w:rsid w:val="00DF644F"/>
    <w:rsid w:val="00DF6699"/>
    <w:rsid w:val="00DF6A22"/>
    <w:rsid w:val="00DF6CA1"/>
    <w:rsid w:val="00DF7610"/>
    <w:rsid w:val="00E0078B"/>
    <w:rsid w:val="00E04B99"/>
    <w:rsid w:val="00E05055"/>
    <w:rsid w:val="00E05754"/>
    <w:rsid w:val="00E05B80"/>
    <w:rsid w:val="00E07030"/>
    <w:rsid w:val="00E0748E"/>
    <w:rsid w:val="00E077A5"/>
    <w:rsid w:val="00E07813"/>
    <w:rsid w:val="00E07BA1"/>
    <w:rsid w:val="00E12506"/>
    <w:rsid w:val="00E12F07"/>
    <w:rsid w:val="00E14816"/>
    <w:rsid w:val="00E1620D"/>
    <w:rsid w:val="00E1688B"/>
    <w:rsid w:val="00E16C5D"/>
    <w:rsid w:val="00E16D75"/>
    <w:rsid w:val="00E16DDD"/>
    <w:rsid w:val="00E17738"/>
    <w:rsid w:val="00E1783A"/>
    <w:rsid w:val="00E17DF4"/>
    <w:rsid w:val="00E20861"/>
    <w:rsid w:val="00E21804"/>
    <w:rsid w:val="00E2223E"/>
    <w:rsid w:val="00E226D6"/>
    <w:rsid w:val="00E23C02"/>
    <w:rsid w:val="00E24041"/>
    <w:rsid w:val="00E2460F"/>
    <w:rsid w:val="00E24953"/>
    <w:rsid w:val="00E2547B"/>
    <w:rsid w:val="00E25D16"/>
    <w:rsid w:val="00E27826"/>
    <w:rsid w:val="00E3179E"/>
    <w:rsid w:val="00E31C71"/>
    <w:rsid w:val="00E31C89"/>
    <w:rsid w:val="00E32006"/>
    <w:rsid w:val="00E32F24"/>
    <w:rsid w:val="00E32F54"/>
    <w:rsid w:val="00E33178"/>
    <w:rsid w:val="00E333E4"/>
    <w:rsid w:val="00E3370C"/>
    <w:rsid w:val="00E3375A"/>
    <w:rsid w:val="00E33CE5"/>
    <w:rsid w:val="00E33DBA"/>
    <w:rsid w:val="00E3421A"/>
    <w:rsid w:val="00E35482"/>
    <w:rsid w:val="00E35E0E"/>
    <w:rsid w:val="00E36239"/>
    <w:rsid w:val="00E3687F"/>
    <w:rsid w:val="00E36EEF"/>
    <w:rsid w:val="00E374BF"/>
    <w:rsid w:val="00E3768B"/>
    <w:rsid w:val="00E4022B"/>
    <w:rsid w:val="00E40291"/>
    <w:rsid w:val="00E42992"/>
    <w:rsid w:val="00E429C4"/>
    <w:rsid w:val="00E43B41"/>
    <w:rsid w:val="00E43DD5"/>
    <w:rsid w:val="00E44611"/>
    <w:rsid w:val="00E44D82"/>
    <w:rsid w:val="00E44FA5"/>
    <w:rsid w:val="00E45428"/>
    <w:rsid w:val="00E45DAF"/>
    <w:rsid w:val="00E46635"/>
    <w:rsid w:val="00E47771"/>
    <w:rsid w:val="00E47EC0"/>
    <w:rsid w:val="00E500B2"/>
    <w:rsid w:val="00E501ED"/>
    <w:rsid w:val="00E50695"/>
    <w:rsid w:val="00E5093B"/>
    <w:rsid w:val="00E50952"/>
    <w:rsid w:val="00E51B3F"/>
    <w:rsid w:val="00E51B81"/>
    <w:rsid w:val="00E52190"/>
    <w:rsid w:val="00E5222E"/>
    <w:rsid w:val="00E528CA"/>
    <w:rsid w:val="00E52B33"/>
    <w:rsid w:val="00E52C83"/>
    <w:rsid w:val="00E544B1"/>
    <w:rsid w:val="00E546D0"/>
    <w:rsid w:val="00E5482F"/>
    <w:rsid w:val="00E54ABB"/>
    <w:rsid w:val="00E54F20"/>
    <w:rsid w:val="00E56158"/>
    <w:rsid w:val="00E56EF3"/>
    <w:rsid w:val="00E57C24"/>
    <w:rsid w:val="00E57FB4"/>
    <w:rsid w:val="00E6057C"/>
    <w:rsid w:val="00E613CF"/>
    <w:rsid w:val="00E61966"/>
    <w:rsid w:val="00E61EB4"/>
    <w:rsid w:val="00E63606"/>
    <w:rsid w:val="00E6387E"/>
    <w:rsid w:val="00E64397"/>
    <w:rsid w:val="00E645C5"/>
    <w:rsid w:val="00E64EF8"/>
    <w:rsid w:val="00E64F98"/>
    <w:rsid w:val="00E65B23"/>
    <w:rsid w:val="00E6712E"/>
    <w:rsid w:val="00E672AE"/>
    <w:rsid w:val="00E67B30"/>
    <w:rsid w:val="00E71196"/>
    <w:rsid w:val="00E7137B"/>
    <w:rsid w:val="00E7150C"/>
    <w:rsid w:val="00E729AD"/>
    <w:rsid w:val="00E72C24"/>
    <w:rsid w:val="00E7316D"/>
    <w:rsid w:val="00E73775"/>
    <w:rsid w:val="00E747BE"/>
    <w:rsid w:val="00E7525F"/>
    <w:rsid w:val="00E75CEC"/>
    <w:rsid w:val="00E76B9E"/>
    <w:rsid w:val="00E777D9"/>
    <w:rsid w:val="00E81353"/>
    <w:rsid w:val="00E82C2E"/>
    <w:rsid w:val="00E82DC2"/>
    <w:rsid w:val="00E830B4"/>
    <w:rsid w:val="00E8311D"/>
    <w:rsid w:val="00E8318F"/>
    <w:rsid w:val="00E8357B"/>
    <w:rsid w:val="00E83B04"/>
    <w:rsid w:val="00E852CC"/>
    <w:rsid w:val="00E857C6"/>
    <w:rsid w:val="00E86493"/>
    <w:rsid w:val="00E869FD"/>
    <w:rsid w:val="00E86BD9"/>
    <w:rsid w:val="00E9030F"/>
    <w:rsid w:val="00E90892"/>
    <w:rsid w:val="00E90893"/>
    <w:rsid w:val="00E90C58"/>
    <w:rsid w:val="00E9157E"/>
    <w:rsid w:val="00E91A3D"/>
    <w:rsid w:val="00E921E1"/>
    <w:rsid w:val="00E92631"/>
    <w:rsid w:val="00E9403C"/>
    <w:rsid w:val="00E94A9F"/>
    <w:rsid w:val="00E94CC2"/>
    <w:rsid w:val="00E94EC0"/>
    <w:rsid w:val="00E9612D"/>
    <w:rsid w:val="00E9718E"/>
    <w:rsid w:val="00E97D01"/>
    <w:rsid w:val="00EA03C9"/>
    <w:rsid w:val="00EA0EBF"/>
    <w:rsid w:val="00EA3A7C"/>
    <w:rsid w:val="00EA3C70"/>
    <w:rsid w:val="00EA3C78"/>
    <w:rsid w:val="00EA45D0"/>
    <w:rsid w:val="00EA5A32"/>
    <w:rsid w:val="00EA6FE8"/>
    <w:rsid w:val="00EB05B9"/>
    <w:rsid w:val="00EB05E6"/>
    <w:rsid w:val="00EB0CB7"/>
    <w:rsid w:val="00EB116F"/>
    <w:rsid w:val="00EB1BF4"/>
    <w:rsid w:val="00EB2075"/>
    <w:rsid w:val="00EB2235"/>
    <w:rsid w:val="00EB3BFC"/>
    <w:rsid w:val="00EB3F54"/>
    <w:rsid w:val="00EB4207"/>
    <w:rsid w:val="00EB4714"/>
    <w:rsid w:val="00EB6AAF"/>
    <w:rsid w:val="00EC110D"/>
    <w:rsid w:val="00EC14B5"/>
    <w:rsid w:val="00EC1B36"/>
    <w:rsid w:val="00EC1E7A"/>
    <w:rsid w:val="00EC2006"/>
    <w:rsid w:val="00EC33CD"/>
    <w:rsid w:val="00EC41EA"/>
    <w:rsid w:val="00EC48FC"/>
    <w:rsid w:val="00EC57EC"/>
    <w:rsid w:val="00EC5840"/>
    <w:rsid w:val="00EC5CDF"/>
    <w:rsid w:val="00EC6ACB"/>
    <w:rsid w:val="00EC6F81"/>
    <w:rsid w:val="00EC71A6"/>
    <w:rsid w:val="00EC751A"/>
    <w:rsid w:val="00EC77DA"/>
    <w:rsid w:val="00ED06B6"/>
    <w:rsid w:val="00ED07AA"/>
    <w:rsid w:val="00ED1606"/>
    <w:rsid w:val="00ED1B88"/>
    <w:rsid w:val="00ED3648"/>
    <w:rsid w:val="00ED46A1"/>
    <w:rsid w:val="00EE12DE"/>
    <w:rsid w:val="00EE1514"/>
    <w:rsid w:val="00EE220C"/>
    <w:rsid w:val="00EE2467"/>
    <w:rsid w:val="00EE28C9"/>
    <w:rsid w:val="00EE2923"/>
    <w:rsid w:val="00EE332A"/>
    <w:rsid w:val="00EE3A65"/>
    <w:rsid w:val="00EE4B7E"/>
    <w:rsid w:val="00EE503D"/>
    <w:rsid w:val="00EE577E"/>
    <w:rsid w:val="00EE608B"/>
    <w:rsid w:val="00EE678E"/>
    <w:rsid w:val="00EE6C9F"/>
    <w:rsid w:val="00EE6E5C"/>
    <w:rsid w:val="00EE7A30"/>
    <w:rsid w:val="00EE7BB5"/>
    <w:rsid w:val="00EE7C06"/>
    <w:rsid w:val="00EF00E3"/>
    <w:rsid w:val="00EF05AF"/>
    <w:rsid w:val="00EF0984"/>
    <w:rsid w:val="00EF0B53"/>
    <w:rsid w:val="00EF0D6E"/>
    <w:rsid w:val="00EF11F9"/>
    <w:rsid w:val="00EF21FF"/>
    <w:rsid w:val="00EF25A2"/>
    <w:rsid w:val="00EF29A9"/>
    <w:rsid w:val="00EF2A06"/>
    <w:rsid w:val="00EF2EB9"/>
    <w:rsid w:val="00EF2F58"/>
    <w:rsid w:val="00EF3653"/>
    <w:rsid w:val="00EF36E1"/>
    <w:rsid w:val="00EF3AB6"/>
    <w:rsid w:val="00EF48BE"/>
    <w:rsid w:val="00EF5BF2"/>
    <w:rsid w:val="00EF6C5B"/>
    <w:rsid w:val="00EF781E"/>
    <w:rsid w:val="00F000F5"/>
    <w:rsid w:val="00F001DC"/>
    <w:rsid w:val="00F00503"/>
    <w:rsid w:val="00F01BD0"/>
    <w:rsid w:val="00F0232B"/>
    <w:rsid w:val="00F02D2D"/>
    <w:rsid w:val="00F03E11"/>
    <w:rsid w:val="00F04544"/>
    <w:rsid w:val="00F047B8"/>
    <w:rsid w:val="00F04896"/>
    <w:rsid w:val="00F04F36"/>
    <w:rsid w:val="00F057E1"/>
    <w:rsid w:val="00F05DCA"/>
    <w:rsid w:val="00F07664"/>
    <w:rsid w:val="00F07BA5"/>
    <w:rsid w:val="00F104FF"/>
    <w:rsid w:val="00F1119F"/>
    <w:rsid w:val="00F111FF"/>
    <w:rsid w:val="00F117E0"/>
    <w:rsid w:val="00F11E6C"/>
    <w:rsid w:val="00F11E88"/>
    <w:rsid w:val="00F123F8"/>
    <w:rsid w:val="00F1259E"/>
    <w:rsid w:val="00F138F5"/>
    <w:rsid w:val="00F140A3"/>
    <w:rsid w:val="00F14220"/>
    <w:rsid w:val="00F14A7E"/>
    <w:rsid w:val="00F14AD1"/>
    <w:rsid w:val="00F1536D"/>
    <w:rsid w:val="00F16766"/>
    <w:rsid w:val="00F16BC6"/>
    <w:rsid w:val="00F17097"/>
    <w:rsid w:val="00F17473"/>
    <w:rsid w:val="00F17A01"/>
    <w:rsid w:val="00F17DD4"/>
    <w:rsid w:val="00F21C42"/>
    <w:rsid w:val="00F22E3F"/>
    <w:rsid w:val="00F23937"/>
    <w:rsid w:val="00F23CB8"/>
    <w:rsid w:val="00F23F1A"/>
    <w:rsid w:val="00F24CAD"/>
    <w:rsid w:val="00F25148"/>
    <w:rsid w:val="00F255F7"/>
    <w:rsid w:val="00F25D7B"/>
    <w:rsid w:val="00F2602C"/>
    <w:rsid w:val="00F2660C"/>
    <w:rsid w:val="00F26C9B"/>
    <w:rsid w:val="00F276C3"/>
    <w:rsid w:val="00F27B3F"/>
    <w:rsid w:val="00F30C1F"/>
    <w:rsid w:val="00F3109B"/>
    <w:rsid w:val="00F31439"/>
    <w:rsid w:val="00F314AE"/>
    <w:rsid w:val="00F31815"/>
    <w:rsid w:val="00F32B54"/>
    <w:rsid w:val="00F33615"/>
    <w:rsid w:val="00F33E30"/>
    <w:rsid w:val="00F35012"/>
    <w:rsid w:val="00F3524B"/>
    <w:rsid w:val="00F35C54"/>
    <w:rsid w:val="00F36036"/>
    <w:rsid w:val="00F366A5"/>
    <w:rsid w:val="00F37522"/>
    <w:rsid w:val="00F379B3"/>
    <w:rsid w:val="00F37CD1"/>
    <w:rsid w:val="00F37E0A"/>
    <w:rsid w:val="00F40B24"/>
    <w:rsid w:val="00F40BA0"/>
    <w:rsid w:val="00F40E52"/>
    <w:rsid w:val="00F416DA"/>
    <w:rsid w:val="00F4207A"/>
    <w:rsid w:val="00F420B7"/>
    <w:rsid w:val="00F42250"/>
    <w:rsid w:val="00F4264F"/>
    <w:rsid w:val="00F4289A"/>
    <w:rsid w:val="00F4356B"/>
    <w:rsid w:val="00F445B9"/>
    <w:rsid w:val="00F44905"/>
    <w:rsid w:val="00F44948"/>
    <w:rsid w:val="00F45AB2"/>
    <w:rsid w:val="00F462ED"/>
    <w:rsid w:val="00F47C20"/>
    <w:rsid w:val="00F50542"/>
    <w:rsid w:val="00F50613"/>
    <w:rsid w:val="00F50EB7"/>
    <w:rsid w:val="00F51018"/>
    <w:rsid w:val="00F51136"/>
    <w:rsid w:val="00F51924"/>
    <w:rsid w:val="00F52B8B"/>
    <w:rsid w:val="00F5399E"/>
    <w:rsid w:val="00F53B05"/>
    <w:rsid w:val="00F54217"/>
    <w:rsid w:val="00F556F4"/>
    <w:rsid w:val="00F55E9A"/>
    <w:rsid w:val="00F60B00"/>
    <w:rsid w:val="00F61069"/>
    <w:rsid w:val="00F613B9"/>
    <w:rsid w:val="00F6179B"/>
    <w:rsid w:val="00F617E9"/>
    <w:rsid w:val="00F619B9"/>
    <w:rsid w:val="00F61A75"/>
    <w:rsid w:val="00F6214F"/>
    <w:rsid w:val="00F62AA9"/>
    <w:rsid w:val="00F64EA0"/>
    <w:rsid w:val="00F652F2"/>
    <w:rsid w:val="00F65C2A"/>
    <w:rsid w:val="00F6718B"/>
    <w:rsid w:val="00F67747"/>
    <w:rsid w:val="00F7030E"/>
    <w:rsid w:val="00F704D6"/>
    <w:rsid w:val="00F70508"/>
    <w:rsid w:val="00F709B9"/>
    <w:rsid w:val="00F72335"/>
    <w:rsid w:val="00F72F67"/>
    <w:rsid w:val="00F743C3"/>
    <w:rsid w:val="00F744FE"/>
    <w:rsid w:val="00F751CA"/>
    <w:rsid w:val="00F75275"/>
    <w:rsid w:val="00F75DE5"/>
    <w:rsid w:val="00F75EE2"/>
    <w:rsid w:val="00F77CAE"/>
    <w:rsid w:val="00F8184D"/>
    <w:rsid w:val="00F8196C"/>
    <w:rsid w:val="00F81BDB"/>
    <w:rsid w:val="00F8220A"/>
    <w:rsid w:val="00F82FA1"/>
    <w:rsid w:val="00F837C1"/>
    <w:rsid w:val="00F83AC6"/>
    <w:rsid w:val="00F85706"/>
    <w:rsid w:val="00F85804"/>
    <w:rsid w:val="00F85E12"/>
    <w:rsid w:val="00F866A1"/>
    <w:rsid w:val="00F86ACD"/>
    <w:rsid w:val="00F877F8"/>
    <w:rsid w:val="00F91B81"/>
    <w:rsid w:val="00F93528"/>
    <w:rsid w:val="00F946A0"/>
    <w:rsid w:val="00F950D4"/>
    <w:rsid w:val="00F95A08"/>
    <w:rsid w:val="00F95CB3"/>
    <w:rsid w:val="00F968A7"/>
    <w:rsid w:val="00F977EC"/>
    <w:rsid w:val="00FA2E79"/>
    <w:rsid w:val="00FA447C"/>
    <w:rsid w:val="00FA488F"/>
    <w:rsid w:val="00FA4D30"/>
    <w:rsid w:val="00FA50B0"/>
    <w:rsid w:val="00FA5723"/>
    <w:rsid w:val="00FA60AD"/>
    <w:rsid w:val="00FB16EF"/>
    <w:rsid w:val="00FB16F6"/>
    <w:rsid w:val="00FB1857"/>
    <w:rsid w:val="00FB1C38"/>
    <w:rsid w:val="00FB244F"/>
    <w:rsid w:val="00FB27F0"/>
    <w:rsid w:val="00FB3A0E"/>
    <w:rsid w:val="00FB4000"/>
    <w:rsid w:val="00FB464E"/>
    <w:rsid w:val="00FB5F81"/>
    <w:rsid w:val="00FC0E91"/>
    <w:rsid w:val="00FC10CA"/>
    <w:rsid w:val="00FC15BD"/>
    <w:rsid w:val="00FC1689"/>
    <w:rsid w:val="00FC1A5F"/>
    <w:rsid w:val="00FC24ED"/>
    <w:rsid w:val="00FC2A37"/>
    <w:rsid w:val="00FC2EF3"/>
    <w:rsid w:val="00FC3399"/>
    <w:rsid w:val="00FC4897"/>
    <w:rsid w:val="00FC4997"/>
    <w:rsid w:val="00FC4D95"/>
    <w:rsid w:val="00FC58F7"/>
    <w:rsid w:val="00FC5FDA"/>
    <w:rsid w:val="00FC69C1"/>
    <w:rsid w:val="00FC736E"/>
    <w:rsid w:val="00FD0A15"/>
    <w:rsid w:val="00FD0B2A"/>
    <w:rsid w:val="00FD0CBE"/>
    <w:rsid w:val="00FD1E40"/>
    <w:rsid w:val="00FD1E9B"/>
    <w:rsid w:val="00FD2373"/>
    <w:rsid w:val="00FD2B92"/>
    <w:rsid w:val="00FD3432"/>
    <w:rsid w:val="00FD38B5"/>
    <w:rsid w:val="00FD4A08"/>
    <w:rsid w:val="00FD5C51"/>
    <w:rsid w:val="00FD6177"/>
    <w:rsid w:val="00FD69D0"/>
    <w:rsid w:val="00FD76DC"/>
    <w:rsid w:val="00FE0D3E"/>
    <w:rsid w:val="00FE10D4"/>
    <w:rsid w:val="00FE14A0"/>
    <w:rsid w:val="00FE18A9"/>
    <w:rsid w:val="00FE1FDD"/>
    <w:rsid w:val="00FE2511"/>
    <w:rsid w:val="00FE31EA"/>
    <w:rsid w:val="00FE35DB"/>
    <w:rsid w:val="00FE3BB8"/>
    <w:rsid w:val="00FE3CD1"/>
    <w:rsid w:val="00FE425F"/>
    <w:rsid w:val="00FE4B23"/>
    <w:rsid w:val="00FE5441"/>
    <w:rsid w:val="00FE5923"/>
    <w:rsid w:val="00FF1D7B"/>
    <w:rsid w:val="00FF251E"/>
    <w:rsid w:val="00FF28DC"/>
    <w:rsid w:val="00FF33CC"/>
    <w:rsid w:val="00FF54CF"/>
    <w:rsid w:val="00FF5934"/>
    <w:rsid w:val="00FF6154"/>
    <w:rsid w:val="00FF6549"/>
    <w:rsid w:val="00FF6B27"/>
    <w:rsid w:val="00FF7C57"/>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3D35F1"/>
  <w15:docId w15:val="{BAD7BC3E-81C1-414B-A983-CB5A2221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630"/>
    <w:pPr>
      <w:jc w:val="both"/>
    </w:pPr>
    <w:rPr>
      <w:rFonts w:ascii="Arial" w:hAnsi="Arial"/>
      <w:sz w:val="24"/>
    </w:rPr>
  </w:style>
  <w:style w:type="paragraph" w:styleId="Heading1">
    <w:name w:val="heading 1"/>
    <w:basedOn w:val="Normal"/>
    <w:next w:val="Normal"/>
    <w:link w:val="Heading1Char"/>
    <w:qFormat/>
    <w:rsid w:val="001E7BD0"/>
    <w:pPr>
      <w:keepNext/>
      <w:widowControl w:val="0"/>
      <w:tabs>
        <w:tab w:val="left" w:pos="720"/>
      </w:tabs>
      <w:spacing w:before="480" w:after="240"/>
      <w:outlineLvl w:val="0"/>
    </w:pPr>
    <w:rPr>
      <w:b/>
      <w:bCs/>
    </w:rPr>
  </w:style>
  <w:style w:type="paragraph" w:styleId="Heading2">
    <w:name w:val="heading 2"/>
    <w:basedOn w:val="Normal"/>
    <w:next w:val="Normal"/>
    <w:qFormat/>
    <w:rsid w:val="00061135"/>
    <w:pPr>
      <w:keepNext/>
      <w:widowControl w:val="0"/>
      <w:tabs>
        <w:tab w:val="left" w:pos="720"/>
      </w:tabs>
      <w:spacing w:before="240" w:after="240"/>
      <w:ind w:left="360"/>
      <w:outlineLvl w:val="1"/>
    </w:pPr>
    <w:rPr>
      <w:b/>
      <w:bCs/>
    </w:rPr>
  </w:style>
  <w:style w:type="paragraph" w:styleId="Heading3">
    <w:name w:val="heading 3"/>
    <w:basedOn w:val="Normal"/>
    <w:next w:val="Normal"/>
    <w:link w:val="Heading3Char"/>
    <w:qFormat/>
    <w:pPr>
      <w:keepNext/>
      <w:jc w:val="center"/>
      <w:outlineLvl w:val="2"/>
    </w:pPr>
    <w:rPr>
      <w:sz w:val="36"/>
    </w:rPr>
  </w:style>
  <w:style w:type="paragraph" w:styleId="Heading4">
    <w:name w:val="heading 4"/>
    <w:basedOn w:val="Normal"/>
    <w:next w:val="Normal"/>
    <w:qFormat/>
    <w:rsid w:val="00E75CEC"/>
    <w:pPr>
      <w:keepNext/>
      <w:spacing w:before="240" w:after="240"/>
      <w:outlineLvl w:val="3"/>
    </w:pPr>
    <w:rPr>
      <w:b/>
    </w:rPr>
  </w:style>
  <w:style w:type="paragraph" w:styleId="Heading5">
    <w:name w:val="heading 5"/>
    <w:basedOn w:val="Normal"/>
    <w:next w:val="Normal"/>
    <w:link w:val="Heading5Char"/>
    <w:qFormat/>
    <w:rsid w:val="00366F05"/>
    <w:pPr>
      <w:keepNext/>
      <w:widowControl w:val="0"/>
      <w:tabs>
        <w:tab w:val="left" w:pos="720"/>
      </w:tabs>
      <w:spacing w:before="240" w:after="240"/>
      <w:ind w:left="360"/>
      <w:outlineLvl w:val="4"/>
    </w:pPr>
    <w:rPr>
      <w:b/>
      <w:bCs/>
    </w:rPr>
  </w:style>
  <w:style w:type="paragraph" w:styleId="Heading6">
    <w:name w:val="heading 6"/>
    <w:basedOn w:val="Normal"/>
    <w:next w:val="Normal"/>
    <w:qFormat/>
    <w:rsid w:val="008F20D3"/>
    <w:pPr>
      <w:keepNext/>
      <w:widowControl w:val="0"/>
      <w:tabs>
        <w:tab w:val="left" w:pos="1080"/>
      </w:tabs>
      <w:spacing w:before="240" w:after="240"/>
      <w:ind w:left="720"/>
      <w:outlineLvl w:val="5"/>
    </w:pPr>
    <w:rPr>
      <w:b/>
      <w:color w:val="000000"/>
      <w:spacing w:val="-3"/>
    </w:rPr>
  </w:style>
  <w:style w:type="paragraph" w:styleId="Heading7">
    <w:name w:val="heading 7"/>
    <w:basedOn w:val="Normal"/>
    <w:next w:val="Normal"/>
    <w:qFormat/>
    <w:rsid w:val="008F20D3"/>
    <w:pPr>
      <w:keepNext/>
      <w:widowControl w:val="0"/>
      <w:tabs>
        <w:tab w:val="left" w:pos="1440"/>
      </w:tabs>
      <w:autoSpaceDE w:val="0"/>
      <w:autoSpaceDN w:val="0"/>
      <w:adjustRightInd w:val="0"/>
      <w:spacing w:before="240" w:after="240"/>
      <w:ind w:left="1080"/>
      <w:outlineLvl w:val="6"/>
    </w:pPr>
    <w:rPr>
      <w:rFonts w:cs="Arial"/>
      <w:b/>
      <w:bCs/>
      <w:color w:val="000000"/>
    </w:rPr>
  </w:style>
  <w:style w:type="paragraph" w:styleId="Heading8">
    <w:name w:val="heading 8"/>
    <w:basedOn w:val="Normal"/>
    <w:next w:val="Normal"/>
    <w:qFormat/>
    <w:pPr>
      <w:keepNext/>
      <w:tabs>
        <w:tab w:val="left" w:pos="900"/>
      </w:tabs>
      <w:ind w:left="432"/>
      <w:outlineLvl w:val="7"/>
    </w:pPr>
    <w:rPr>
      <w:b/>
      <w:color w:val="000000"/>
    </w:rPr>
  </w:style>
  <w:style w:type="paragraph" w:styleId="Heading9">
    <w:name w:val="heading 9"/>
    <w:basedOn w:val="Normal"/>
    <w:next w:val="Normal"/>
    <w:qFormat/>
    <w:pPr>
      <w:keepNext/>
      <w:tabs>
        <w:tab w:val="left" w:pos="540"/>
      </w:tabs>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color w:val="000000"/>
      <w:sz w:val="36"/>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customStyle="1" w:styleId="Note">
    <w:name w:val="Note"/>
    <w:semiHidden/>
    <w:rPr>
      <w:rFonts w:ascii="Arial" w:hAnsi="Arial" w:cs="Arial"/>
      <w:color w:val="000000"/>
      <w:sz w:val="20"/>
    </w:rPr>
  </w:style>
  <w:style w:type="paragraph" w:styleId="PlainText">
    <w:name w:val="Plain Text"/>
    <w:basedOn w:val="Normal"/>
    <w:rPr>
      <w:rFonts w:ascii="Courier New" w:hAnsi="Courier New" w:cs="Courier New"/>
      <w:sz w:val="20"/>
    </w:rPr>
  </w:style>
  <w:style w:type="paragraph" w:customStyle="1" w:styleId="table">
    <w:name w:val="table"/>
    <w:basedOn w:val="Normal"/>
    <w:pPr>
      <w:jc w:val="center"/>
    </w:pPr>
    <w:rPr>
      <w:rFonts w:ascii="CG Times (W1)" w:hAnsi="CG Times (W1)"/>
    </w:rPr>
  </w:style>
  <w:style w:type="character" w:styleId="Hyperlink">
    <w:name w:val="Hyperlink"/>
    <w:rPr>
      <w:color w:val="0000FF"/>
      <w:u w:val="single"/>
    </w:rPr>
  </w:style>
  <w:style w:type="paragraph" w:customStyle="1" w:styleId="Text1">
    <w:name w:val="Text 1"/>
    <w:basedOn w:val="Heading1"/>
    <w:pPr>
      <w:keepNext w:val="0"/>
      <w:spacing w:before="120" w:after="120"/>
      <w:ind w:left="432"/>
      <w:outlineLvl w:val="9"/>
    </w:pPr>
    <w:rPr>
      <w:rFonts w:cs="Arial"/>
      <w:b w:val="0"/>
      <w:bCs w:val="0"/>
      <w:snapToGrid w:val="0"/>
      <w:kern w:val="32"/>
      <w:sz w:val="22"/>
      <w:szCs w:val="32"/>
    </w:rPr>
  </w:style>
  <w:style w:type="paragraph" w:styleId="BodyTextIndent">
    <w:name w:val="Body Text Indent"/>
    <w:basedOn w:val="Normal"/>
    <w:pPr>
      <w:ind w:left="1080"/>
    </w:pPr>
  </w:style>
  <w:style w:type="paragraph" w:styleId="BodyTextIndent2">
    <w:name w:val="Body Text Indent 2"/>
    <w:basedOn w:val="Normal"/>
    <w:link w:val="BodyTextIndent2Char"/>
    <w:pPr>
      <w:ind w:left="720"/>
    </w:pPr>
  </w:style>
  <w:style w:type="paragraph" w:styleId="BodyTextIndent3">
    <w:name w:val="Body Text Indent 3"/>
    <w:basedOn w:val="Normal"/>
    <w:pPr>
      <w:ind w:left="1080"/>
    </w:pPr>
    <w:rPr>
      <w:color w:val="000000"/>
    </w:rPr>
  </w:style>
  <w:style w:type="paragraph" w:styleId="FootnoteText">
    <w:name w:val="footnote text"/>
    <w:basedOn w:val="Normal"/>
    <w:semiHidden/>
    <w:pPr>
      <w:jc w:val="left"/>
    </w:pPr>
    <w:rPr>
      <w:sz w:val="18"/>
    </w:rPr>
  </w:style>
  <w:style w:type="paragraph" w:styleId="BodyText">
    <w:name w:val="Body Text"/>
    <w:basedOn w:val="Normal"/>
    <w:link w:val="BodyTextChar"/>
    <w:rPr>
      <w:szCs w:val="24"/>
    </w:rPr>
  </w:style>
  <w:style w:type="paragraph" w:styleId="BodyText2">
    <w:name w:val="Body Text 2"/>
    <w:basedOn w:val="Normal"/>
    <w:link w:val="BodyText2Char"/>
    <w:rPr>
      <w:i/>
      <w:iCs/>
      <w:color w:val="0000FF"/>
    </w:rPr>
  </w:style>
  <w:style w:type="paragraph" w:styleId="BodyText3">
    <w:name w:val="Body Text 3"/>
    <w:basedOn w:val="Normal"/>
    <w:link w:val="BodyText3Char"/>
    <w:rPr>
      <w:color w:val="0000FF"/>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EC77D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25A8"/>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C6A44"/>
    <w:rPr>
      <w:rFonts w:ascii="Arial" w:hAnsi="Arial"/>
      <w:sz w:val="24"/>
    </w:rPr>
  </w:style>
  <w:style w:type="paragraph" w:styleId="ListParagraph">
    <w:name w:val="List Paragraph"/>
    <w:aliases w:val="Bullet List 1"/>
    <w:basedOn w:val="Normal"/>
    <w:link w:val="ListParagraphChar"/>
    <w:uiPriority w:val="34"/>
    <w:qFormat/>
    <w:rsid w:val="00974AAE"/>
    <w:pPr>
      <w:ind w:left="720"/>
      <w:contextualSpacing/>
    </w:pPr>
  </w:style>
  <w:style w:type="character" w:styleId="CommentReference">
    <w:name w:val="annotation reference"/>
    <w:basedOn w:val="DefaultParagraphFont"/>
    <w:uiPriority w:val="99"/>
    <w:rsid w:val="00974AAE"/>
    <w:rPr>
      <w:sz w:val="16"/>
      <w:szCs w:val="16"/>
    </w:rPr>
  </w:style>
  <w:style w:type="paragraph" w:styleId="CommentText">
    <w:name w:val="annotation text"/>
    <w:basedOn w:val="Normal"/>
    <w:link w:val="CommentTextChar"/>
    <w:uiPriority w:val="99"/>
    <w:rsid w:val="00974AAE"/>
    <w:rPr>
      <w:sz w:val="20"/>
    </w:rPr>
  </w:style>
  <w:style w:type="character" w:customStyle="1" w:styleId="CommentTextChar">
    <w:name w:val="Comment Text Char"/>
    <w:basedOn w:val="DefaultParagraphFont"/>
    <w:link w:val="CommentText"/>
    <w:uiPriority w:val="99"/>
    <w:rsid w:val="00974AAE"/>
    <w:rPr>
      <w:rFonts w:ascii="Arial" w:hAnsi="Arial"/>
    </w:rPr>
  </w:style>
  <w:style w:type="paragraph" w:styleId="CommentSubject">
    <w:name w:val="annotation subject"/>
    <w:basedOn w:val="CommentText"/>
    <w:next w:val="CommentText"/>
    <w:link w:val="CommentSubjectChar"/>
    <w:rsid w:val="00974AAE"/>
    <w:rPr>
      <w:b/>
      <w:bCs/>
    </w:rPr>
  </w:style>
  <w:style w:type="character" w:customStyle="1" w:styleId="CommentSubjectChar">
    <w:name w:val="Comment Subject Char"/>
    <w:basedOn w:val="CommentTextChar"/>
    <w:link w:val="CommentSubject"/>
    <w:rsid w:val="00974AAE"/>
    <w:rPr>
      <w:rFonts w:ascii="Arial" w:hAnsi="Arial"/>
      <w:b/>
      <w:bCs/>
    </w:rPr>
  </w:style>
  <w:style w:type="character" w:customStyle="1" w:styleId="FooterChar">
    <w:name w:val="Footer Char"/>
    <w:basedOn w:val="DefaultParagraphFont"/>
    <w:link w:val="Footer"/>
    <w:uiPriority w:val="99"/>
    <w:rsid w:val="00974AAE"/>
    <w:rPr>
      <w:rFonts w:ascii="Arial" w:hAnsi="Arial"/>
      <w:sz w:val="24"/>
    </w:rPr>
  </w:style>
  <w:style w:type="table" w:customStyle="1" w:styleId="TableGrid1">
    <w:name w:val="Table Grid1"/>
    <w:basedOn w:val="TableNormal"/>
    <w:next w:val="TableGrid"/>
    <w:rsid w:val="00380E2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E1FF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FE3CD1"/>
    <w:rPr>
      <w:color w:val="800080" w:themeColor="followedHyperlink"/>
      <w:u w:val="single"/>
    </w:rPr>
  </w:style>
  <w:style w:type="character" w:styleId="FootnoteReference">
    <w:name w:val="footnote reference"/>
    <w:rsid w:val="00693D29"/>
    <w:rPr>
      <w:vertAlign w:val="superscript"/>
    </w:rPr>
  </w:style>
  <w:style w:type="paragraph" w:styleId="Subtitle">
    <w:name w:val="Subtitle"/>
    <w:basedOn w:val="Normal"/>
    <w:link w:val="SubtitleChar"/>
    <w:qFormat/>
    <w:rsid w:val="00CF034C"/>
    <w:pPr>
      <w:jc w:val="center"/>
    </w:pPr>
    <w:rPr>
      <w:sz w:val="32"/>
      <w:szCs w:val="24"/>
    </w:rPr>
  </w:style>
  <w:style w:type="character" w:customStyle="1" w:styleId="SubtitleChar">
    <w:name w:val="Subtitle Char"/>
    <w:basedOn w:val="DefaultParagraphFont"/>
    <w:link w:val="Subtitle"/>
    <w:rsid w:val="00CF034C"/>
    <w:rPr>
      <w:rFonts w:ascii="Arial" w:hAnsi="Arial"/>
      <w:sz w:val="32"/>
      <w:szCs w:val="24"/>
    </w:rPr>
  </w:style>
  <w:style w:type="character" w:customStyle="1" w:styleId="BodyTextChar">
    <w:name w:val="Body Text Char"/>
    <w:basedOn w:val="DefaultParagraphFont"/>
    <w:link w:val="BodyText"/>
    <w:rsid w:val="002578EE"/>
    <w:rPr>
      <w:rFonts w:ascii="Arial" w:hAnsi="Arial"/>
      <w:sz w:val="24"/>
      <w:szCs w:val="24"/>
    </w:rPr>
  </w:style>
  <w:style w:type="character" w:customStyle="1" w:styleId="BodyText3Char">
    <w:name w:val="Body Text 3 Char"/>
    <w:basedOn w:val="DefaultParagraphFont"/>
    <w:link w:val="BodyText3"/>
    <w:rsid w:val="002578EE"/>
    <w:rPr>
      <w:rFonts w:ascii="Arial" w:hAnsi="Arial"/>
      <w:color w:val="0000FF"/>
      <w:sz w:val="24"/>
    </w:rPr>
  </w:style>
  <w:style w:type="character" w:customStyle="1" w:styleId="BodyTextIndent2Char">
    <w:name w:val="Body Text Indent 2 Char"/>
    <w:basedOn w:val="DefaultParagraphFont"/>
    <w:link w:val="BodyTextIndent2"/>
    <w:rsid w:val="003E5221"/>
    <w:rPr>
      <w:rFonts w:ascii="Arial" w:hAnsi="Arial"/>
      <w:sz w:val="24"/>
    </w:rPr>
  </w:style>
  <w:style w:type="character" w:customStyle="1" w:styleId="Heading1Char">
    <w:name w:val="Heading 1 Char"/>
    <w:basedOn w:val="DefaultParagraphFont"/>
    <w:link w:val="Heading1"/>
    <w:rsid w:val="001E7BD0"/>
    <w:rPr>
      <w:rFonts w:ascii="Arial" w:hAnsi="Arial"/>
      <w:b/>
      <w:bCs/>
      <w:sz w:val="24"/>
    </w:rPr>
  </w:style>
  <w:style w:type="character" w:customStyle="1" w:styleId="BodyText2Char">
    <w:name w:val="Body Text 2 Char"/>
    <w:basedOn w:val="DefaultParagraphFont"/>
    <w:link w:val="BodyText2"/>
    <w:rsid w:val="00EF3AB6"/>
    <w:rPr>
      <w:rFonts w:ascii="Arial" w:hAnsi="Arial"/>
      <w:i/>
      <w:iCs/>
      <w:color w:val="0000FF"/>
      <w:sz w:val="24"/>
    </w:rPr>
  </w:style>
  <w:style w:type="character" w:customStyle="1" w:styleId="Heading5Char">
    <w:name w:val="Heading 5 Char"/>
    <w:basedOn w:val="DefaultParagraphFont"/>
    <w:link w:val="Heading5"/>
    <w:rsid w:val="00366F05"/>
    <w:rPr>
      <w:rFonts w:ascii="Arial" w:hAnsi="Arial"/>
      <w:b/>
      <w:bCs/>
      <w:sz w:val="24"/>
    </w:rPr>
  </w:style>
  <w:style w:type="character" w:customStyle="1" w:styleId="Heading3Char">
    <w:name w:val="Heading 3 Char"/>
    <w:basedOn w:val="DefaultParagraphFont"/>
    <w:link w:val="Heading3"/>
    <w:rsid w:val="00BA3F1D"/>
    <w:rPr>
      <w:rFonts w:ascii="Arial" w:hAnsi="Arial"/>
      <w:sz w:val="36"/>
    </w:rPr>
  </w:style>
  <w:style w:type="character" w:styleId="UnresolvedMention">
    <w:name w:val="Unresolved Mention"/>
    <w:basedOn w:val="DefaultParagraphFont"/>
    <w:uiPriority w:val="99"/>
    <w:semiHidden/>
    <w:unhideWhenUsed/>
    <w:rsid w:val="008A5DA4"/>
    <w:rPr>
      <w:color w:val="605E5C"/>
      <w:shd w:val="clear" w:color="auto" w:fill="E1DFDD"/>
    </w:rPr>
  </w:style>
  <w:style w:type="character" w:customStyle="1" w:styleId="ListParagraphChar">
    <w:name w:val="List Paragraph Char"/>
    <w:aliases w:val="Bullet List 1 Char"/>
    <w:link w:val="ListParagraph"/>
    <w:uiPriority w:val="34"/>
    <w:locked/>
    <w:rsid w:val="008A1FB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415">
      <w:bodyDiv w:val="1"/>
      <w:marLeft w:val="0"/>
      <w:marRight w:val="0"/>
      <w:marTop w:val="0"/>
      <w:marBottom w:val="0"/>
      <w:divBdr>
        <w:top w:val="none" w:sz="0" w:space="0" w:color="auto"/>
        <w:left w:val="none" w:sz="0" w:space="0" w:color="auto"/>
        <w:bottom w:val="none" w:sz="0" w:space="0" w:color="auto"/>
        <w:right w:val="none" w:sz="0" w:space="0" w:color="auto"/>
      </w:divBdr>
      <w:divsChild>
        <w:div w:id="371851352">
          <w:marLeft w:val="0"/>
          <w:marRight w:val="0"/>
          <w:marTop w:val="0"/>
          <w:marBottom w:val="0"/>
          <w:divBdr>
            <w:top w:val="none" w:sz="0" w:space="0" w:color="auto"/>
            <w:left w:val="none" w:sz="0" w:space="0" w:color="auto"/>
            <w:bottom w:val="none" w:sz="0" w:space="0" w:color="auto"/>
            <w:right w:val="none" w:sz="0" w:space="0" w:color="auto"/>
          </w:divBdr>
        </w:div>
        <w:div w:id="607467966">
          <w:marLeft w:val="0"/>
          <w:marRight w:val="0"/>
          <w:marTop w:val="0"/>
          <w:marBottom w:val="0"/>
          <w:divBdr>
            <w:top w:val="none" w:sz="0" w:space="0" w:color="auto"/>
            <w:left w:val="none" w:sz="0" w:space="0" w:color="auto"/>
            <w:bottom w:val="none" w:sz="0" w:space="0" w:color="auto"/>
            <w:right w:val="none" w:sz="0" w:space="0" w:color="auto"/>
          </w:divBdr>
        </w:div>
        <w:div w:id="691952246">
          <w:marLeft w:val="0"/>
          <w:marRight w:val="0"/>
          <w:marTop w:val="0"/>
          <w:marBottom w:val="0"/>
          <w:divBdr>
            <w:top w:val="none" w:sz="0" w:space="0" w:color="auto"/>
            <w:left w:val="none" w:sz="0" w:space="0" w:color="auto"/>
            <w:bottom w:val="none" w:sz="0" w:space="0" w:color="auto"/>
            <w:right w:val="none" w:sz="0" w:space="0" w:color="auto"/>
          </w:divBdr>
        </w:div>
        <w:div w:id="895357332">
          <w:marLeft w:val="0"/>
          <w:marRight w:val="0"/>
          <w:marTop w:val="0"/>
          <w:marBottom w:val="0"/>
          <w:divBdr>
            <w:top w:val="none" w:sz="0" w:space="0" w:color="auto"/>
            <w:left w:val="none" w:sz="0" w:space="0" w:color="auto"/>
            <w:bottom w:val="none" w:sz="0" w:space="0" w:color="auto"/>
            <w:right w:val="none" w:sz="0" w:space="0" w:color="auto"/>
          </w:divBdr>
        </w:div>
        <w:div w:id="1027416300">
          <w:marLeft w:val="0"/>
          <w:marRight w:val="0"/>
          <w:marTop w:val="0"/>
          <w:marBottom w:val="0"/>
          <w:divBdr>
            <w:top w:val="none" w:sz="0" w:space="0" w:color="auto"/>
            <w:left w:val="none" w:sz="0" w:space="0" w:color="auto"/>
            <w:bottom w:val="none" w:sz="0" w:space="0" w:color="auto"/>
            <w:right w:val="none" w:sz="0" w:space="0" w:color="auto"/>
          </w:divBdr>
        </w:div>
        <w:div w:id="1037782620">
          <w:marLeft w:val="0"/>
          <w:marRight w:val="0"/>
          <w:marTop w:val="0"/>
          <w:marBottom w:val="0"/>
          <w:divBdr>
            <w:top w:val="none" w:sz="0" w:space="0" w:color="auto"/>
            <w:left w:val="none" w:sz="0" w:space="0" w:color="auto"/>
            <w:bottom w:val="none" w:sz="0" w:space="0" w:color="auto"/>
            <w:right w:val="none" w:sz="0" w:space="0" w:color="auto"/>
          </w:divBdr>
        </w:div>
        <w:div w:id="1637104055">
          <w:marLeft w:val="0"/>
          <w:marRight w:val="0"/>
          <w:marTop w:val="0"/>
          <w:marBottom w:val="0"/>
          <w:divBdr>
            <w:top w:val="none" w:sz="0" w:space="0" w:color="auto"/>
            <w:left w:val="none" w:sz="0" w:space="0" w:color="auto"/>
            <w:bottom w:val="none" w:sz="0" w:space="0" w:color="auto"/>
            <w:right w:val="none" w:sz="0" w:space="0" w:color="auto"/>
          </w:divBdr>
        </w:div>
        <w:div w:id="2049721178">
          <w:marLeft w:val="0"/>
          <w:marRight w:val="0"/>
          <w:marTop w:val="0"/>
          <w:marBottom w:val="0"/>
          <w:divBdr>
            <w:top w:val="none" w:sz="0" w:space="0" w:color="auto"/>
            <w:left w:val="none" w:sz="0" w:space="0" w:color="auto"/>
            <w:bottom w:val="none" w:sz="0" w:space="0" w:color="auto"/>
            <w:right w:val="none" w:sz="0" w:space="0" w:color="auto"/>
          </w:divBdr>
        </w:div>
      </w:divsChild>
    </w:div>
    <w:div w:id="102924246">
      <w:bodyDiv w:val="1"/>
      <w:marLeft w:val="0"/>
      <w:marRight w:val="0"/>
      <w:marTop w:val="0"/>
      <w:marBottom w:val="0"/>
      <w:divBdr>
        <w:top w:val="none" w:sz="0" w:space="0" w:color="auto"/>
        <w:left w:val="none" w:sz="0" w:space="0" w:color="auto"/>
        <w:bottom w:val="none" w:sz="0" w:space="0" w:color="auto"/>
        <w:right w:val="none" w:sz="0" w:space="0" w:color="auto"/>
      </w:divBdr>
    </w:div>
    <w:div w:id="286665801">
      <w:bodyDiv w:val="1"/>
      <w:marLeft w:val="0"/>
      <w:marRight w:val="0"/>
      <w:marTop w:val="0"/>
      <w:marBottom w:val="0"/>
      <w:divBdr>
        <w:top w:val="none" w:sz="0" w:space="0" w:color="auto"/>
        <w:left w:val="none" w:sz="0" w:space="0" w:color="auto"/>
        <w:bottom w:val="none" w:sz="0" w:space="0" w:color="auto"/>
        <w:right w:val="none" w:sz="0" w:space="0" w:color="auto"/>
      </w:divBdr>
    </w:div>
    <w:div w:id="610284278">
      <w:bodyDiv w:val="1"/>
      <w:marLeft w:val="0"/>
      <w:marRight w:val="0"/>
      <w:marTop w:val="0"/>
      <w:marBottom w:val="0"/>
      <w:divBdr>
        <w:top w:val="none" w:sz="0" w:space="0" w:color="auto"/>
        <w:left w:val="none" w:sz="0" w:space="0" w:color="auto"/>
        <w:bottom w:val="none" w:sz="0" w:space="0" w:color="auto"/>
        <w:right w:val="none" w:sz="0" w:space="0" w:color="auto"/>
      </w:divBdr>
    </w:div>
    <w:div w:id="867528459">
      <w:bodyDiv w:val="1"/>
      <w:marLeft w:val="0"/>
      <w:marRight w:val="0"/>
      <w:marTop w:val="0"/>
      <w:marBottom w:val="0"/>
      <w:divBdr>
        <w:top w:val="none" w:sz="0" w:space="0" w:color="auto"/>
        <w:left w:val="none" w:sz="0" w:space="0" w:color="auto"/>
        <w:bottom w:val="none" w:sz="0" w:space="0" w:color="auto"/>
        <w:right w:val="none" w:sz="0" w:space="0" w:color="auto"/>
      </w:divBdr>
      <w:divsChild>
        <w:div w:id="795023937">
          <w:marLeft w:val="0"/>
          <w:marRight w:val="0"/>
          <w:marTop w:val="0"/>
          <w:marBottom w:val="0"/>
          <w:divBdr>
            <w:top w:val="none" w:sz="0" w:space="0" w:color="auto"/>
            <w:left w:val="none" w:sz="0" w:space="0" w:color="auto"/>
            <w:bottom w:val="none" w:sz="0" w:space="0" w:color="auto"/>
            <w:right w:val="none" w:sz="0" w:space="0" w:color="auto"/>
          </w:divBdr>
        </w:div>
      </w:divsChild>
    </w:div>
    <w:div w:id="873545089">
      <w:bodyDiv w:val="1"/>
      <w:marLeft w:val="0"/>
      <w:marRight w:val="0"/>
      <w:marTop w:val="0"/>
      <w:marBottom w:val="0"/>
      <w:divBdr>
        <w:top w:val="none" w:sz="0" w:space="0" w:color="auto"/>
        <w:left w:val="none" w:sz="0" w:space="0" w:color="auto"/>
        <w:bottom w:val="none" w:sz="0" w:space="0" w:color="auto"/>
        <w:right w:val="none" w:sz="0" w:space="0" w:color="auto"/>
      </w:divBdr>
    </w:div>
    <w:div w:id="1134641549">
      <w:bodyDiv w:val="1"/>
      <w:marLeft w:val="0"/>
      <w:marRight w:val="0"/>
      <w:marTop w:val="0"/>
      <w:marBottom w:val="0"/>
      <w:divBdr>
        <w:top w:val="none" w:sz="0" w:space="0" w:color="auto"/>
        <w:left w:val="none" w:sz="0" w:space="0" w:color="auto"/>
        <w:bottom w:val="none" w:sz="0" w:space="0" w:color="auto"/>
        <w:right w:val="none" w:sz="0" w:space="0" w:color="auto"/>
      </w:divBdr>
    </w:div>
    <w:div w:id="1324313462">
      <w:bodyDiv w:val="1"/>
      <w:marLeft w:val="0"/>
      <w:marRight w:val="0"/>
      <w:marTop w:val="0"/>
      <w:marBottom w:val="0"/>
      <w:divBdr>
        <w:top w:val="none" w:sz="0" w:space="0" w:color="auto"/>
        <w:left w:val="none" w:sz="0" w:space="0" w:color="auto"/>
        <w:bottom w:val="none" w:sz="0" w:space="0" w:color="auto"/>
        <w:right w:val="none" w:sz="0" w:space="0" w:color="auto"/>
      </w:divBdr>
    </w:div>
    <w:div w:id="1494056811">
      <w:bodyDiv w:val="1"/>
      <w:marLeft w:val="0"/>
      <w:marRight w:val="0"/>
      <w:marTop w:val="0"/>
      <w:marBottom w:val="0"/>
      <w:divBdr>
        <w:top w:val="none" w:sz="0" w:space="0" w:color="auto"/>
        <w:left w:val="none" w:sz="0" w:space="0" w:color="auto"/>
        <w:bottom w:val="none" w:sz="0" w:space="0" w:color="auto"/>
        <w:right w:val="none" w:sz="0" w:space="0" w:color="auto"/>
      </w:divBdr>
    </w:div>
    <w:div w:id="1499426104">
      <w:bodyDiv w:val="1"/>
      <w:marLeft w:val="0"/>
      <w:marRight w:val="0"/>
      <w:marTop w:val="0"/>
      <w:marBottom w:val="0"/>
      <w:divBdr>
        <w:top w:val="none" w:sz="0" w:space="0" w:color="auto"/>
        <w:left w:val="none" w:sz="0" w:space="0" w:color="auto"/>
        <w:bottom w:val="none" w:sz="0" w:space="0" w:color="auto"/>
        <w:right w:val="none" w:sz="0" w:space="0" w:color="auto"/>
      </w:divBdr>
    </w:div>
    <w:div w:id="1622878929">
      <w:bodyDiv w:val="1"/>
      <w:marLeft w:val="0"/>
      <w:marRight w:val="0"/>
      <w:marTop w:val="0"/>
      <w:marBottom w:val="0"/>
      <w:divBdr>
        <w:top w:val="none" w:sz="0" w:space="0" w:color="auto"/>
        <w:left w:val="none" w:sz="0" w:space="0" w:color="auto"/>
        <w:bottom w:val="none" w:sz="0" w:space="0" w:color="auto"/>
        <w:right w:val="none" w:sz="0" w:space="0" w:color="auto"/>
      </w:divBdr>
    </w:div>
    <w:div w:id="1671252257">
      <w:bodyDiv w:val="1"/>
      <w:marLeft w:val="0"/>
      <w:marRight w:val="0"/>
      <w:marTop w:val="0"/>
      <w:marBottom w:val="0"/>
      <w:divBdr>
        <w:top w:val="none" w:sz="0" w:space="0" w:color="auto"/>
        <w:left w:val="none" w:sz="0" w:space="0" w:color="auto"/>
        <w:bottom w:val="none" w:sz="0" w:space="0" w:color="auto"/>
        <w:right w:val="none" w:sz="0" w:space="0" w:color="auto"/>
      </w:divBdr>
    </w:div>
    <w:div w:id="1800151467">
      <w:bodyDiv w:val="1"/>
      <w:marLeft w:val="0"/>
      <w:marRight w:val="0"/>
      <w:marTop w:val="0"/>
      <w:marBottom w:val="0"/>
      <w:divBdr>
        <w:top w:val="none" w:sz="0" w:space="0" w:color="auto"/>
        <w:left w:val="none" w:sz="0" w:space="0" w:color="auto"/>
        <w:bottom w:val="none" w:sz="0" w:space="0" w:color="auto"/>
        <w:right w:val="none" w:sz="0" w:space="0" w:color="auto"/>
      </w:divBdr>
    </w:div>
    <w:div w:id="1942297915">
      <w:bodyDiv w:val="1"/>
      <w:marLeft w:val="0"/>
      <w:marRight w:val="0"/>
      <w:marTop w:val="0"/>
      <w:marBottom w:val="0"/>
      <w:divBdr>
        <w:top w:val="none" w:sz="0" w:space="0" w:color="auto"/>
        <w:left w:val="none" w:sz="0" w:space="0" w:color="auto"/>
        <w:bottom w:val="none" w:sz="0" w:space="0" w:color="auto"/>
        <w:right w:val="none" w:sz="0" w:space="0" w:color="auto"/>
      </w:divBdr>
    </w:div>
    <w:div w:id="208576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law.cornell.edu/definitions/index.php?width=840&amp;height=800&amp;iframe=true&amp;def_id=7c1a34f05032ecf2076f31069e3fb7d9&amp;term_occur=999&amp;term_src=Title:40:Chapter:I:Subchapter:C:Part:51:Subpart:I:51.165" TargetMode="External"/><Relationship Id="rId26" Type="http://schemas.openxmlformats.org/officeDocument/2006/relationships/hyperlink" Target="https://www.valleyair.org/media/mbzb4w02/apr-1905.pdf" TargetMode="External"/><Relationship Id="rId21" Type="http://schemas.openxmlformats.org/officeDocument/2006/relationships/hyperlink" Target="https://www.law.cornell.edu/definitions/index.php?width=840&amp;height=800&amp;iframe=true&amp;def_id=7c1a34f05032ecf2076f31069e3fb7d9&amp;term_occur=999&amp;term_src=Title:40:Chapter:I:Subchapter:C:Part:51:Subpart:I:51.165"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law.cornell.edu/definitions/index.php?width=840&amp;height=800&amp;iframe=true&amp;def_id=50d47c924b05126dd15e54d2a51e680f&amp;term_occur=999&amp;term_src=Title:40:Chapter:I:Subchapter:C:Part:51:Subpart:I:51.165" TargetMode="External"/><Relationship Id="rId25" Type="http://schemas.openxmlformats.org/officeDocument/2006/relationships/hyperlink" Target="https://www.valleyair.org/media/341fy4sn/apr-1925-rule-2201-aaqa-modeling-may-2024.pdf" TargetMode="Externa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valleyair.org/media/bjqc2ewc/apr-1150-major-modification-implementation.pdf" TargetMode="External"/><Relationship Id="rId20" Type="http://schemas.openxmlformats.org/officeDocument/2006/relationships/hyperlink" Target="https://www.law.cornell.edu/definitions/index.php?width=840&amp;height=800&amp;iframe=true&amp;def_id=ac412291592e4a0bef3a14357b980d8d&amp;term_occur=999&amp;term_src=Title:40:Chapter:I:Subchapter:C:Part:51:Subpart:I:51.165" TargetMode="Externa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law.cornell.edu/definitions/index.php?width=840&amp;height=800&amp;iframe=true&amp;def_id=7c1a34f05032ecf2076f31069e3fb7d9&amp;term_occur=999&amp;term_src=Title:40:Chapter:I:Subchapter:C:Part:51:Subpart:I:51.165"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valleyair.org/media/bjqc2ewc/apr-1150-major-modification-implementation.pdf" TargetMode="External"/><Relationship Id="rId23" Type="http://schemas.openxmlformats.org/officeDocument/2006/relationships/hyperlink" Target="https://www.law.cornell.edu/definitions/index.php?width=840&amp;height=800&amp;iframe=true&amp;def_id=ac412291592e4a0bef3a14357b980d8d&amp;term_occur=999&amp;term_src=Title:40:Chapter:I:Subchapter:C:Part:51:Subpart:I:51.165" TargetMode="External"/><Relationship Id="rId28" Type="http://schemas.openxmlformats.org/officeDocument/2006/relationships/image" Target="media/image3.wmf"/><Relationship Id="rId36"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s://www.law.cornell.edu/definitions/index.php?width=840&amp;height=800&amp;iframe=true&amp;def_id=1af889fcb0944c6029e3d1e265f55382&amp;term_occur=999&amp;term_src=Title:40:Chapter:I:Subchapter:C:Part:51:Subpart:I:51.165" TargetMode="External"/><Relationship Id="rId31"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hyperlink" Target="https://www.law.cornell.edu/definitions/index.php?width=840&amp;height=800&amp;iframe=true&amp;def_id=7c1a34f05032ecf2076f31069e3fb7d9&amp;term_occur=999&amp;term_src=Title:40:Chapter:I:Subchapter:C:Part:51:Subpart:I:51.165" TargetMode="External"/><Relationship Id="rId27" Type="http://schemas.openxmlformats.org/officeDocument/2006/relationships/hyperlink" Target="https://www.valleyair.org/media/ycghytgi/apr-1906.pdf" TargetMode="External"/><Relationship Id="rId30" Type="http://schemas.openxmlformats.org/officeDocument/2006/relationships/image" Target="media/image4.wmf"/><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6D39C-EDD8-42B3-B8B6-420EE118C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88</Pages>
  <Words>28602</Words>
  <Characters>154487</Characters>
  <Application>Microsoft Office Word</Application>
  <DocSecurity>0</DocSecurity>
  <Lines>1287</Lines>
  <Paragraphs>365</Paragraphs>
  <ScaleCrop>false</ScaleCrop>
  <HeadingPairs>
    <vt:vector size="2" baseType="variant">
      <vt:variant>
        <vt:lpstr>Title</vt:lpstr>
      </vt:variant>
      <vt:variant>
        <vt:i4>1</vt:i4>
      </vt:variant>
    </vt:vector>
  </HeadingPairs>
  <TitlesOfParts>
    <vt:vector size="1" baseType="lpstr">
      <vt:lpstr>APR 1010</vt:lpstr>
    </vt:vector>
  </TitlesOfParts>
  <Company>SJVUAPCD</Company>
  <LinksUpToDate>false</LinksUpToDate>
  <CharactersWithSpaces>182724</CharactersWithSpaces>
  <SharedDoc>false</SharedDoc>
  <HLinks>
    <vt:vector size="30" baseType="variant">
      <vt:variant>
        <vt:i4>7536757</vt:i4>
      </vt:variant>
      <vt:variant>
        <vt:i4>117</vt:i4>
      </vt:variant>
      <vt:variant>
        <vt:i4>0</vt:i4>
      </vt:variant>
      <vt:variant>
        <vt:i4>5</vt:i4>
      </vt:variant>
      <vt:variant>
        <vt:lpwstr>C:\Users\Documents and Settings\edgehilr\Intranet_files\thaoc\shared\Intranet_files\PER\policies\dustyrose\Intranet_files\PER\policies\dustyrose\Intranet_Files\PER\policies\fyi\documents\71 - School Notice.doc</vt:lpwstr>
      </vt:variant>
      <vt:variant>
        <vt:lpwstr/>
      </vt:variant>
      <vt:variant>
        <vt:i4>5111864</vt:i4>
      </vt:variant>
      <vt:variant>
        <vt:i4>72</vt:i4>
      </vt:variant>
      <vt:variant>
        <vt:i4>0</vt:i4>
      </vt:variant>
      <vt:variant>
        <vt:i4>5</vt:i4>
      </vt:variant>
      <vt:variant>
        <vt:lpwstr>C:\Users\Documents and Settings\edgehilr\Intranet_files\thaoc\shared\Intranet_files\PER\policies\dustyrose\Intranet_files\PER\policies\dustyrose\Intranet_Files\PER\policies\fyi\documents\86-federal_discounting_at_time_of_use.doc</vt:lpwstr>
      </vt:variant>
      <vt:variant>
        <vt:lpwstr/>
      </vt:variant>
      <vt:variant>
        <vt:i4>1507389</vt:i4>
      </vt:variant>
      <vt:variant>
        <vt:i4>69</vt:i4>
      </vt:variant>
      <vt:variant>
        <vt:i4>0</vt:i4>
      </vt:variant>
      <vt:variant>
        <vt:i4>5</vt:i4>
      </vt:variant>
      <vt:variant>
        <vt:lpwstr>http://www.valleyair.org/busind/policies_idx.htm</vt:lpwstr>
      </vt:variant>
      <vt:variant>
        <vt:lpwstr/>
      </vt:variant>
      <vt:variant>
        <vt:i4>1507389</vt:i4>
      </vt:variant>
      <vt:variant>
        <vt:i4>66</vt:i4>
      </vt:variant>
      <vt:variant>
        <vt:i4>0</vt:i4>
      </vt:variant>
      <vt:variant>
        <vt:i4>5</vt:i4>
      </vt:variant>
      <vt:variant>
        <vt:lpwstr>http://www.valleyair.org/busind/policies_idx.htm</vt:lpwstr>
      </vt:variant>
      <vt:variant>
        <vt:lpwstr/>
      </vt:variant>
      <vt:variant>
        <vt:i4>458804</vt:i4>
      </vt:variant>
      <vt:variant>
        <vt:i4>3</vt:i4>
      </vt:variant>
      <vt:variant>
        <vt:i4>0</vt:i4>
      </vt:variant>
      <vt:variant>
        <vt:i4>5</vt:i4>
      </vt:variant>
      <vt:variant>
        <vt:lpwstr>http://www.valleyair.org/policies_per/Policies/APR 1130.pdf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 1010</dc:title>
  <dc:subject/>
  <dc:creator>L Scandura;Steve.Roeder@valleyair.org</dc:creator>
  <cp:keywords>Application Review Format</cp:keywords>
  <dc:description/>
  <cp:lastModifiedBy>Matthew Robinson</cp:lastModifiedBy>
  <cp:revision>3</cp:revision>
  <cp:lastPrinted>2026-03-27T21:40:00Z</cp:lastPrinted>
  <dcterms:created xsi:type="dcterms:W3CDTF">2026-06-19T18:13:00Z</dcterms:created>
  <dcterms:modified xsi:type="dcterms:W3CDTF">2026-06-19T18:14:00Z</dcterms:modified>
</cp:coreProperties>
</file>